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77F26" w14:textId="305DB3A6" w:rsidR="00BB1CAC" w:rsidRPr="00BB1CAC" w:rsidRDefault="00BB1CAC" w:rsidP="00BB1CAC">
      <w:pPr>
        <w:spacing w:line="240" w:lineRule="auto"/>
        <w:jc w:val="center"/>
        <w:rPr>
          <w:rFonts w:ascii="Times New Roman" w:hAnsi="Times New Roman" w:cs="Times New Roman"/>
          <w:b/>
          <w:bCs/>
          <w:color w:val="C00000"/>
          <w:sz w:val="40"/>
          <w:szCs w:val="40"/>
        </w:rPr>
      </w:pPr>
      <w:r w:rsidRPr="00BB1CAC">
        <w:rPr>
          <w:rFonts w:ascii="Times New Roman" w:hAnsi="Times New Roman" w:cs="Times New Roman"/>
          <w:b/>
          <w:bCs/>
          <w:color w:val="C00000"/>
          <w:sz w:val="40"/>
          <w:szCs w:val="40"/>
        </w:rPr>
        <w:t>Thuyền viên giờ đây có thể yêu cầu những khoản thưởng khổng lồ khi đi qua eo biển Hormuz</w:t>
      </w:r>
    </w:p>
    <w:p w14:paraId="2ECA4640" w14:textId="4C6A172D" w:rsidR="00BB1CAC" w:rsidRPr="00BB1CAC" w:rsidRDefault="00BB1CAC" w:rsidP="00BB1CAC">
      <w:pPr>
        <w:jc w:val="right"/>
      </w:pPr>
      <w:hyperlink r:id="rId4" w:history="1">
        <w:r w:rsidRPr="00BB1CAC">
          <w:rPr>
            <w:rStyle w:val="Hyperlink"/>
            <w:b/>
            <w:bCs/>
          </w:rPr>
          <w:t>The Maritime Executive</w:t>
        </w:r>
      </w:hyperlink>
      <w:r w:rsidRPr="00BB1CAC">
        <w:t xml:space="preserve"> </w:t>
      </w:r>
      <w:r>
        <w:t xml:space="preserve"> </w:t>
      </w:r>
    </w:p>
    <w:p w14:paraId="32C44650" w14:textId="77777777" w:rsidR="00BB1CAC" w:rsidRPr="00BB1CAC" w:rsidRDefault="00BB1CAC" w:rsidP="00BB1CAC">
      <w:pPr>
        <w:rPr>
          <w:b/>
          <w:bCs/>
        </w:rPr>
      </w:pPr>
    </w:p>
    <w:p w14:paraId="4185C5CC" w14:textId="410D410A" w:rsidR="00BB1CAC" w:rsidRPr="00BB1CAC" w:rsidRDefault="00BB1CAC" w:rsidP="00BB1CAC">
      <w:pPr>
        <w:jc w:val="center"/>
      </w:pPr>
      <w:r w:rsidRPr="00BB1CAC">
        <w:drawing>
          <wp:inline distT="0" distB="0" distL="0" distR="0" wp14:anchorId="24597164" wp14:editId="4BF9FF4D">
            <wp:extent cx="5943600" cy="3346450"/>
            <wp:effectExtent l="0" t="0" r="0" b="6350"/>
            <wp:docPr id="1565089851" name="Picture 4" descr="Ca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ash"/>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346450"/>
                    </a:xfrm>
                    <a:prstGeom prst="rect">
                      <a:avLst/>
                    </a:prstGeom>
                    <a:noFill/>
                    <a:ln>
                      <a:noFill/>
                    </a:ln>
                  </pic:spPr>
                </pic:pic>
              </a:graphicData>
            </a:graphic>
          </wp:inline>
        </w:drawing>
      </w:r>
    </w:p>
    <w:p w14:paraId="7553CA65" w14:textId="02BEF181" w:rsidR="00BB1CAC" w:rsidRPr="00BB1CAC" w:rsidRDefault="00BB1CAC" w:rsidP="00BB1CAC">
      <w:pPr>
        <w:spacing w:before="120" w:after="120"/>
        <w:jc w:val="both"/>
        <w:rPr>
          <w:rFonts w:ascii="Times New Roman" w:hAnsi="Times New Roman" w:cs="Times New Roman"/>
          <w:color w:val="C00000"/>
          <w:sz w:val="26"/>
          <w:szCs w:val="26"/>
        </w:rPr>
      </w:pPr>
      <w:r w:rsidRPr="00BB1CAC">
        <w:rPr>
          <w:rFonts w:ascii="Times New Roman" w:hAnsi="Times New Roman" w:cs="Times New Roman"/>
          <w:color w:val="C00000"/>
          <w:sz w:val="26"/>
          <w:szCs w:val="26"/>
        </w:rPr>
        <w:t>C</w:t>
      </w:r>
      <w:r w:rsidRPr="00BB1CAC">
        <w:rPr>
          <w:rFonts w:ascii="Times New Roman" w:hAnsi="Times New Roman" w:cs="Times New Roman"/>
          <w:color w:val="C00000"/>
          <w:sz w:val="26"/>
          <w:szCs w:val="26"/>
        </w:rPr>
        <w:t>ác c</w:t>
      </w:r>
      <w:r w:rsidRPr="00BB1CAC">
        <w:rPr>
          <w:rFonts w:ascii="Times New Roman" w:hAnsi="Times New Roman" w:cs="Times New Roman"/>
          <w:color w:val="C00000"/>
          <w:sz w:val="26"/>
          <w:szCs w:val="26"/>
        </w:rPr>
        <w:t>hủ tàu không phải là những người duy nhất kiếm được khoản lợi nhuận khổng lồ từ mức cước thuê tàu lên tới hàng triệu USD mỗi ngày cho các chuyến đi qua eo biển Hormuz. Theo các thông tin được công bố, thuyền viên không chỉ bị ép buộc hoặc bị lừa để đi vào vùng nguy hiểm; họ được cho là có thể kiếm được một khoản tiền rất lớn nếu chấp nhận đối mặt với hành trình ngắn nhưng đầy rủi ro qua eo biển này.</w:t>
      </w:r>
    </w:p>
    <w:p w14:paraId="2A8878AF" w14:textId="77777777" w:rsidR="00BB1CAC" w:rsidRPr="00BB1CAC" w:rsidRDefault="00BB1CAC" w:rsidP="00BB1CAC">
      <w:pPr>
        <w:spacing w:before="120" w:after="120"/>
        <w:jc w:val="both"/>
        <w:rPr>
          <w:rFonts w:ascii="Times New Roman" w:hAnsi="Times New Roman" w:cs="Times New Roman"/>
          <w:color w:val="C00000"/>
          <w:sz w:val="26"/>
          <w:szCs w:val="26"/>
        </w:rPr>
      </w:pPr>
      <w:r w:rsidRPr="00BB1CAC">
        <w:rPr>
          <w:rFonts w:ascii="Times New Roman" w:hAnsi="Times New Roman" w:cs="Times New Roman"/>
          <w:color w:val="C00000"/>
          <w:sz w:val="26"/>
          <w:szCs w:val="26"/>
        </w:rPr>
        <w:t>Theo Financial Times, thuyền trưởng tàu chở dầu có thể nhận mức lương cơ bản lên tới 100.000 USD mỗi tháng, cộng thêm 50.000 USD tiền thưởng cho mỗi chuyến đi trên những con tàu thực hiện hành trình qua Hormuz.</w:t>
      </w:r>
    </w:p>
    <w:p w14:paraId="508A8BF1" w14:textId="77777777" w:rsidR="00BB1CAC" w:rsidRPr="00BB1CAC" w:rsidRDefault="00BB1CAC" w:rsidP="00BB1CAC">
      <w:pPr>
        <w:spacing w:before="120" w:after="120"/>
        <w:jc w:val="both"/>
        <w:rPr>
          <w:rFonts w:ascii="Times New Roman" w:hAnsi="Times New Roman" w:cs="Times New Roman"/>
          <w:color w:val="C00000"/>
          <w:sz w:val="26"/>
          <w:szCs w:val="26"/>
        </w:rPr>
      </w:pPr>
      <w:r w:rsidRPr="00BB1CAC">
        <w:rPr>
          <w:rFonts w:ascii="Times New Roman" w:hAnsi="Times New Roman" w:cs="Times New Roman"/>
          <w:color w:val="C00000"/>
          <w:sz w:val="26"/>
          <w:szCs w:val="26"/>
        </w:rPr>
        <w:t>Các thuyền viên còn lại có thể nhận mức thu nhập gấp bốn đến sáu lần mức lương thông thường. Đây là một yếu tố khuyến khích thường không được đề cập trong các cuộc thảo luận công khai về quyền lợi và an toàn của thuyền viên.</w:t>
      </w:r>
    </w:p>
    <w:p w14:paraId="6E27897E" w14:textId="77777777" w:rsidR="00BB1CAC" w:rsidRPr="00BB1CAC" w:rsidRDefault="00BB1CAC" w:rsidP="00BB1CAC">
      <w:pPr>
        <w:spacing w:before="120" w:after="120"/>
        <w:jc w:val="both"/>
        <w:rPr>
          <w:rFonts w:ascii="Times New Roman" w:hAnsi="Times New Roman" w:cs="Times New Roman"/>
          <w:color w:val="C00000"/>
          <w:sz w:val="26"/>
          <w:szCs w:val="26"/>
        </w:rPr>
      </w:pPr>
      <w:r w:rsidRPr="00BB1CAC">
        <w:rPr>
          <w:rFonts w:ascii="Times New Roman" w:hAnsi="Times New Roman" w:cs="Times New Roman"/>
          <w:color w:val="C00000"/>
          <w:sz w:val="26"/>
          <w:szCs w:val="26"/>
        </w:rPr>
        <w:t>The Wall Street Journal ước tính chi phí cho một chuyến vận chuyển khứ hồi kiểu “con thoi” qua eo biển Hormuz lên tới 40 triệu USD mỗi chuyến. Ngay cả sau khi thanh toán các khoản phí bảo hiểm rủi ro chiến tranh ở mức rất cao, chủ tàu vẫn còn dư địa tài chính đáng kể để bù đắp chi phí cho thuyền viên và giữ lại lợi nhuận.</w:t>
      </w:r>
    </w:p>
    <w:p w14:paraId="7DD2AB05" w14:textId="70B54BB1" w:rsidR="00BB1CAC" w:rsidRPr="00BB1CAC" w:rsidRDefault="00BB1CAC" w:rsidP="00BB1CAC">
      <w:pPr>
        <w:spacing w:before="120" w:after="120"/>
        <w:jc w:val="both"/>
        <w:rPr>
          <w:rFonts w:ascii="Times New Roman" w:hAnsi="Times New Roman" w:cs="Times New Roman"/>
          <w:color w:val="C00000"/>
          <w:sz w:val="26"/>
          <w:szCs w:val="26"/>
        </w:rPr>
      </w:pPr>
      <w:r w:rsidRPr="00BB1CAC">
        <w:rPr>
          <w:rFonts w:ascii="Times New Roman" w:hAnsi="Times New Roman" w:cs="Times New Roman"/>
          <w:color w:val="C00000"/>
          <w:sz w:val="26"/>
          <w:szCs w:val="26"/>
        </w:rPr>
        <w:t>Tờ báo này phát hiện một công ty cung ứng thuyền viên của Trung Quốc đang đề nghị khoản thưởng 25.000 USD cho mỗi chuyến đi đối với thợ máy trực ca và thủy thủ thường.</w:t>
      </w:r>
    </w:p>
    <w:p w14:paraId="15F7CF96" w14:textId="77777777" w:rsidR="00BB1CAC" w:rsidRPr="00BB1CAC" w:rsidRDefault="00BB1CAC" w:rsidP="00BB1CAC">
      <w:pPr>
        <w:spacing w:before="120" w:after="120"/>
        <w:jc w:val="both"/>
        <w:rPr>
          <w:rFonts w:ascii="Times New Roman" w:hAnsi="Times New Roman" w:cs="Times New Roman"/>
          <w:color w:val="C00000"/>
          <w:sz w:val="26"/>
          <w:szCs w:val="26"/>
        </w:rPr>
      </w:pPr>
      <w:r w:rsidRPr="00BB1CAC">
        <w:rPr>
          <w:rFonts w:ascii="Times New Roman" w:hAnsi="Times New Roman" w:cs="Times New Roman"/>
          <w:color w:val="C00000"/>
          <w:sz w:val="26"/>
          <w:szCs w:val="26"/>
        </w:rPr>
        <w:lastRenderedPageBreak/>
        <w:t>Những rủi ro đối với thuyền viên là có thật, nhưng hiếm khi dẫn đến tử vong. Cho đến nay, Iran vẫn chưa đánh chìm tàu chở dầu nào trong cuộc khủng hoảng tại Hormuz.</w:t>
      </w:r>
    </w:p>
    <w:p w14:paraId="5EE36F34" w14:textId="77777777" w:rsidR="00BB1CAC" w:rsidRPr="00BB1CAC" w:rsidRDefault="00BB1CAC" w:rsidP="00BB1CAC">
      <w:pPr>
        <w:spacing w:before="120" w:after="120"/>
        <w:jc w:val="both"/>
        <w:rPr>
          <w:rFonts w:ascii="Times New Roman" w:hAnsi="Times New Roman" w:cs="Times New Roman"/>
          <w:color w:val="C00000"/>
          <w:sz w:val="26"/>
          <w:szCs w:val="26"/>
        </w:rPr>
      </w:pPr>
      <w:r w:rsidRPr="00BB1CAC">
        <w:rPr>
          <w:rFonts w:ascii="Times New Roman" w:hAnsi="Times New Roman" w:cs="Times New Roman"/>
          <w:color w:val="C00000"/>
          <w:sz w:val="26"/>
          <w:szCs w:val="26"/>
        </w:rPr>
        <w:t>Hiện có khoảng 30–40 tàu thường xuyên đi qua tuyến đường thủy này. Phần lớn các tàu không bị tấn công, và trong số những tàu bị đánh trúng, phần lớn không có thuyền viên bị thương hoặc tàu bị vô hiệu hóa.</w:t>
      </w:r>
    </w:p>
    <w:p w14:paraId="562E0331" w14:textId="77777777" w:rsidR="00BB1CAC" w:rsidRPr="00BB1CAC" w:rsidRDefault="00BB1CAC" w:rsidP="00BB1CAC">
      <w:pPr>
        <w:spacing w:before="120" w:after="120"/>
        <w:jc w:val="both"/>
        <w:rPr>
          <w:rFonts w:ascii="Times New Roman" w:hAnsi="Times New Roman" w:cs="Times New Roman"/>
          <w:color w:val="C00000"/>
          <w:sz w:val="26"/>
          <w:szCs w:val="26"/>
        </w:rPr>
      </w:pPr>
      <w:r w:rsidRPr="00BB1CAC">
        <w:rPr>
          <w:rFonts w:ascii="Times New Roman" w:hAnsi="Times New Roman" w:cs="Times New Roman"/>
          <w:color w:val="C00000"/>
          <w:sz w:val="26"/>
          <w:szCs w:val="26"/>
        </w:rPr>
        <w:t>Tần suất các sự cố nghiêm trọng gia tăng gần đây có thể làm thay đổi cách đánh giá rủi ro, nhưng cho đến thời điểm hiện tại, phần lớn các chuyến tàu vẫn đi qua mà không bị cản trở – mặc dù không phải tất cả đều an toàn.</w:t>
      </w:r>
    </w:p>
    <w:p w14:paraId="3E3D5ED2" w14:textId="4507E416" w:rsidR="00BB1CAC" w:rsidRPr="00BB1CAC" w:rsidRDefault="00BB1CAC" w:rsidP="00BB1CAC">
      <w:pPr>
        <w:spacing w:before="120" w:after="120"/>
        <w:jc w:val="both"/>
        <w:rPr>
          <w:rFonts w:ascii="Times New Roman" w:hAnsi="Times New Roman" w:cs="Times New Roman"/>
          <w:color w:val="C00000"/>
          <w:sz w:val="26"/>
          <w:szCs w:val="26"/>
        </w:rPr>
      </w:pPr>
      <w:r w:rsidRPr="00BB1CAC">
        <w:rPr>
          <w:rFonts w:ascii="Times New Roman" w:hAnsi="Times New Roman" w:cs="Times New Roman"/>
          <w:color w:val="C00000"/>
          <w:sz w:val="26"/>
          <w:szCs w:val="26"/>
        </w:rPr>
        <w:t xml:space="preserve">Vào </w:t>
      </w:r>
      <w:r w:rsidRPr="00BB1CAC">
        <w:rPr>
          <w:rFonts w:ascii="Times New Roman" w:hAnsi="Times New Roman" w:cs="Times New Roman"/>
          <w:color w:val="C00000"/>
          <w:sz w:val="26"/>
          <w:szCs w:val="26"/>
        </w:rPr>
        <w:t>hôm 12 hoặc 13/10</w:t>
      </w:r>
      <w:r w:rsidRPr="00BB1CAC">
        <w:rPr>
          <w:rFonts w:ascii="Times New Roman" w:hAnsi="Times New Roman" w:cs="Times New Roman"/>
          <w:color w:val="C00000"/>
          <w:sz w:val="26"/>
          <w:szCs w:val="26"/>
        </w:rPr>
        <w:t xml:space="preserve">, một tàu chở dầu loại LR2 đã bị tấn công </w:t>
      </w:r>
      <w:r w:rsidRPr="00BB1CAC">
        <w:rPr>
          <w:rFonts w:ascii="Times New Roman" w:hAnsi="Times New Roman" w:cs="Times New Roman"/>
          <w:color w:val="C00000"/>
          <w:sz w:val="26"/>
          <w:szCs w:val="26"/>
        </w:rPr>
        <w:t xml:space="preserve">ở </w:t>
      </w:r>
      <w:r w:rsidRPr="00BB1CAC">
        <w:rPr>
          <w:rFonts w:ascii="Times New Roman" w:hAnsi="Times New Roman" w:cs="Times New Roman"/>
          <w:color w:val="C00000"/>
          <w:sz w:val="26"/>
          <w:szCs w:val="26"/>
        </w:rPr>
        <w:t>ngoài khơi bờ biển Oman khi đang trên hành trình rời khỏi khu vực. Vụ việc khiến 12 thuyền viên bị thương và buộc phải tổ chức sơ tán y tế khẩn cấp bằng phương tiện chuyên dụng (medevac).</w:t>
      </w:r>
    </w:p>
    <w:p w14:paraId="536B66F8" w14:textId="77777777" w:rsidR="00BB1CAC" w:rsidRPr="00BB1CAC" w:rsidRDefault="00BB1CAC" w:rsidP="00BB1CAC">
      <w:pPr>
        <w:spacing w:before="120" w:after="120"/>
        <w:jc w:val="both"/>
        <w:rPr>
          <w:rFonts w:ascii="Times New Roman" w:hAnsi="Times New Roman" w:cs="Times New Roman"/>
          <w:color w:val="C00000"/>
          <w:sz w:val="26"/>
          <w:szCs w:val="26"/>
        </w:rPr>
      </w:pPr>
      <w:r w:rsidRPr="00BB1CAC">
        <w:rPr>
          <w:rFonts w:ascii="Times New Roman" w:hAnsi="Times New Roman" w:cs="Times New Roman"/>
          <w:color w:val="C00000"/>
          <w:sz w:val="26"/>
          <w:szCs w:val="26"/>
        </w:rPr>
        <w:t>Khoản phụ cấp rủi ro mà thuyền viên nhận được thấp hơn nhiều so với phần lợi nhuận của chủ tàu, nhưng vẫn cao hơn đáng kể so với mức lương trung bình tại các khu vực cung ứng thuyền viên.</w:t>
      </w:r>
    </w:p>
    <w:p w14:paraId="4D8882D2" w14:textId="77565154" w:rsidR="00BB1CAC" w:rsidRPr="00BB1CAC" w:rsidRDefault="00BB1CAC" w:rsidP="00BB1CAC">
      <w:pPr>
        <w:spacing w:before="120" w:after="120"/>
        <w:jc w:val="both"/>
        <w:rPr>
          <w:rFonts w:ascii="Times New Roman" w:hAnsi="Times New Roman" w:cs="Times New Roman"/>
          <w:color w:val="C00000"/>
          <w:sz w:val="26"/>
          <w:szCs w:val="26"/>
        </w:rPr>
      </w:pPr>
      <w:r w:rsidRPr="00BB1CAC">
        <w:rPr>
          <w:rFonts w:ascii="Times New Roman" w:hAnsi="Times New Roman" w:cs="Times New Roman"/>
          <w:color w:val="C00000"/>
          <w:sz w:val="26"/>
          <w:szCs w:val="26"/>
        </w:rPr>
        <w:t>Ông Richard Matthews, Giám đốc tư vấn của công ty E.A. Gibson, nói với The Wall Street Journal:</w:t>
      </w:r>
      <w:r w:rsidRPr="00BB1CAC">
        <w:rPr>
          <w:rFonts w:ascii="Times New Roman" w:hAnsi="Times New Roman" w:cs="Times New Roman"/>
          <w:color w:val="C00000"/>
          <w:sz w:val="26"/>
          <w:szCs w:val="26"/>
        </w:rPr>
        <w:t xml:space="preserve"> </w:t>
      </w:r>
      <w:r w:rsidRPr="00BB1CAC">
        <w:rPr>
          <w:rFonts w:ascii="Times New Roman" w:hAnsi="Times New Roman" w:cs="Times New Roman"/>
          <w:color w:val="C00000"/>
          <w:sz w:val="26"/>
          <w:szCs w:val="26"/>
        </w:rPr>
        <w:t>“Xét đến hàng triệu USD mà các chủ tàu đang kiếm được vào thời điểm này, những khoản thưởng đó thực sự chẳng đáng là bao đối với họ.”</w:t>
      </w:r>
    </w:p>
    <w:p w14:paraId="5FEEA881" w14:textId="28C95EF4" w:rsidR="00C13E10" w:rsidRPr="00BB1CAC" w:rsidRDefault="00BB1CAC" w:rsidP="00BB1CAC">
      <w:pPr>
        <w:spacing w:before="120" w:after="120"/>
        <w:jc w:val="center"/>
        <w:rPr>
          <w:rFonts w:ascii="Times New Roman" w:hAnsi="Times New Roman" w:cs="Times New Roman"/>
          <w:color w:val="C00000"/>
          <w:sz w:val="26"/>
          <w:szCs w:val="26"/>
        </w:rPr>
      </w:pPr>
      <w:r w:rsidRPr="00BB1CAC">
        <w:rPr>
          <w:rFonts w:ascii="Times New Roman" w:hAnsi="Times New Roman" w:cs="Times New Roman"/>
          <w:color w:val="C00000"/>
          <w:sz w:val="26"/>
          <w:szCs w:val="26"/>
        </w:rPr>
        <w:t>----------------------------------------------</w:t>
      </w:r>
    </w:p>
    <w:sectPr w:rsidR="00C13E10" w:rsidRPr="00BB1CAC" w:rsidSect="00BB1CAC">
      <w:pgSz w:w="12240" w:h="15840"/>
      <w:pgMar w:top="900" w:right="99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CAC"/>
    <w:rsid w:val="000501D0"/>
    <w:rsid w:val="001A169D"/>
    <w:rsid w:val="00BB1CAC"/>
    <w:rsid w:val="00C13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B4EC2"/>
  <w15:chartTrackingRefBased/>
  <w15:docId w15:val="{7EF1F79C-B983-4FA6-8A57-649C3A122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1C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1C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1C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1C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1C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1C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1C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1C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1C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1C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1C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1C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1C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1C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1C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1C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1C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1CAC"/>
    <w:rPr>
      <w:rFonts w:eastAsiaTheme="majorEastAsia" w:cstheme="majorBidi"/>
      <w:color w:val="272727" w:themeColor="text1" w:themeTint="D8"/>
    </w:rPr>
  </w:style>
  <w:style w:type="paragraph" w:styleId="Title">
    <w:name w:val="Title"/>
    <w:basedOn w:val="Normal"/>
    <w:next w:val="Normal"/>
    <w:link w:val="TitleChar"/>
    <w:uiPriority w:val="10"/>
    <w:qFormat/>
    <w:rsid w:val="00BB1C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1C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1C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1C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1CAC"/>
    <w:pPr>
      <w:spacing w:before="160"/>
      <w:jc w:val="center"/>
    </w:pPr>
    <w:rPr>
      <w:i/>
      <w:iCs/>
      <w:color w:val="404040" w:themeColor="text1" w:themeTint="BF"/>
    </w:rPr>
  </w:style>
  <w:style w:type="character" w:customStyle="1" w:styleId="QuoteChar">
    <w:name w:val="Quote Char"/>
    <w:basedOn w:val="DefaultParagraphFont"/>
    <w:link w:val="Quote"/>
    <w:uiPriority w:val="29"/>
    <w:rsid w:val="00BB1CAC"/>
    <w:rPr>
      <w:i/>
      <w:iCs/>
      <w:color w:val="404040" w:themeColor="text1" w:themeTint="BF"/>
    </w:rPr>
  </w:style>
  <w:style w:type="paragraph" w:styleId="ListParagraph">
    <w:name w:val="List Paragraph"/>
    <w:basedOn w:val="Normal"/>
    <w:uiPriority w:val="34"/>
    <w:qFormat/>
    <w:rsid w:val="00BB1CAC"/>
    <w:pPr>
      <w:ind w:left="720"/>
      <w:contextualSpacing/>
    </w:pPr>
  </w:style>
  <w:style w:type="character" w:styleId="IntenseEmphasis">
    <w:name w:val="Intense Emphasis"/>
    <w:basedOn w:val="DefaultParagraphFont"/>
    <w:uiPriority w:val="21"/>
    <w:qFormat/>
    <w:rsid w:val="00BB1CAC"/>
    <w:rPr>
      <w:i/>
      <w:iCs/>
      <w:color w:val="0F4761" w:themeColor="accent1" w:themeShade="BF"/>
    </w:rPr>
  </w:style>
  <w:style w:type="paragraph" w:styleId="IntenseQuote">
    <w:name w:val="Intense Quote"/>
    <w:basedOn w:val="Normal"/>
    <w:next w:val="Normal"/>
    <w:link w:val="IntenseQuoteChar"/>
    <w:uiPriority w:val="30"/>
    <w:qFormat/>
    <w:rsid w:val="00BB1C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1CAC"/>
    <w:rPr>
      <w:i/>
      <w:iCs/>
      <w:color w:val="0F4761" w:themeColor="accent1" w:themeShade="BF"/>
    </w:rPr>
  </w:style>
  <w:style w:type="character" w:styleId="IntenseReference">
    <w:name w:val="Intense Reference"/>
    <w:basedOn w:val="DefaultParagraphFont"/>
    <w:uiPriority w:val="32"/>
    <w:qFormat/>
    <w:rsid w:val="00BB1CAC"/>
    <w:rPr>
      <w:b/>
      <w:bCs/>
      <w:smallCaps/>
      <w:color w:val="0F4761" w:themeColor="accent1" w:themeShade="BF"/>
      <w:spacing w:val="5"/>
    </w:rPr>
  </w:style>
  <w:style w:type="character" w:styleId="Hyperlink">
    <w:name w:val="Hyperlink"/>
    <w:basedOn w:val="DefaultParagraphFont"/>
    <w:uiPriority w:val="99"/>
    <w:unhideWhenUsed/>
    <w:rsid w:val="00BB1CAC"/>
    <w:rPr>
      <w:color w:val="467886" w:themeColor="hyperlink"/>
      <w:u w:val="single"/>
    </w:rPr>
  </w:style>
  <w:style w:type="character" w:styleId="UnresolvedMention">
    <w:name w:val="Unresolved Mention"/>
    <w:basedOn w:val="DefaultParagraphFont"/>
    <w:uiPriority w:val="99"/>
    <w:semiHidden/>
    <w:unhideWhenUsed/>
    <w:rsid w:val="00BB1C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maritime-executive.com/author/mar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420</Words>
  <Characters>2400</Characters>
  <Application>Microsoft Office Word</Application>
  <DocSecurity>0</DocSecurity>
  <Lines>20</Lines>
  <Paragraphs>5</Paragraphs>
  <ScaleCrop>false</ScaleCrop>
  <Company>HP</Company>
  <LinksUpToDate>false</LinksUpToDate>
  <CharactersWithSpaces>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2026-10-14T03:03:00Z</dcterms:created>
  <dcterms:modified xsi:type="dcterms:W3CDTF">2026-10-14T03:09:00Z</dcterms:modified>
</cp:coreProperties>
</file>