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95FAC" w14:textId="776407BA" w:rsidR="008D0CCF" w:rsidRPr="00F25BD9" w:rsidRDefault="008D0CCF" w:rsidP="00F25BD9">
      <w:pPr>
        <w:spacing w:line="240" w:lineRule="auto"/>
        <w:ind w:right="360" w:firstLine="270"/>
        <w:jc w:val="center"/>
        <w:rPr>
          <w:rFonts w:ascii="Times New Roman" w:hAnsi="Times New Roman" w:cs="Times New Roman"/>
          <w:b/>
          <w:bCs/>
          <w:color w:val="EE0000"/>
          <w:sz w:val="40"/>
          <w:szCs w:val="40"/>
        </w:rPr>
      </w:pPr>
      <w:r w:rsidRPr="00F25BD9">
        <w:rPr>
          <w:rFonts w:ascii="Times New Roman" w:hAnsi="Times New Roman" w:cs="Times New Roman"/>
          <w:b/>
          <w:bCs/>
          <w:color w:val="EE0000"/>
          <w:sz w:val="40"/>
          <w:szCs w:val="40"/>
        </w:rPr>
        <w:t xml:space="preserve">Sự bùng nổ </w:t>
      </w:r>
      <w:r w:rsidRPr="00F25BD9">
        <w:rPr>
          <w:rFonts w:ascii="Times New Roman" w:hAnsi="Times New Roman" w:cs="Times New Roman"/>
          <w:b/>
          <w:bCs/>
          <w:color w:val="EE0000"/>
          <w:sz w:val="40"/>
          <w:szCs w:val="40"/>
        </w:rPr>
        <w:t xml:space="preserve">sử dụng </w:t>
      </w:r>
      <w:r w:rsidRPr="00F25BD9">
        <w:rPr>
          <w:rFonts w:ascii="Times New Roman" w:hAnsi="Times New Roman" w:cs="Times New Roman"/>
          <w:b/>
          <w:bCs/>
          <w:color w:val="EE0000"/>
          <w:sz w:val="40"/>
          <w:szCs w:val="40"/>
        </w:rPr>
        <w:t>LNG trong ngành vận tải biển đối mặt với vấn đề phát thải khí mê-tan</w:t>
      </w:r>
    </w:p>
    <w:p w14:paraId="16C82DBE" w14:textId="77777777" w:rsidR="008D0CCF" w:rsidRDefault="008D0CCF" w:rsidP="008D0CCF">
      <w:pPr>
        <w:jc w:val="right"/>
      </w:pPr>
      <w:hyperlink r:id="rId5" w:history="1">
        <w:r w:rsidRPr="008D0CCF">
          <w:rPr>
            <w:rStyle w:val="Hyperlink"/>
            <w:b/>
            <w:bCs/>
          </w:rPr>
          <w:t>Mike Schuler</w:t>
        </w:r>
      </w:hyperlink>
    </w:p>
    <w:p w14:paraId="42C3CFA1" w14:textId="0F8E7C58" w:rsidR="008D0CCF" w:rsidRPr="008D0CCF" w:rsidRDefault="008D0CCF" w:rsidP="008D0CCF">
      <w:pPr>
        <w:jc w:val="center"/>
      </w:pPr>
      <w:r w:rsidRPr="008D0CCF">
        <w:drawing>
          <wp:inline distT="0" distB="0" distL="0" distR="0" wp14:anchorId="6844EEEB" wp14:editId="3BB86512">
            <wp:extent cx="6172200" cy="3572510"/>
            <wp:effectExtent l="0" t="0" r="0" b="8890"/>
            <wp:docPr id="835214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14832" name=""/>
                    <pic:cNvPicPr/>
                  </pic:nvPicPr>
                  <pic:blipFill>
                    <a:blip r:embed="rId6"/>
                    <a:stretch>
                      <a:fillRect/>
                    </a:stretch>
                  </pic:blipFill>
                  <pic:spPr>
                    <a:xfrm>
                      <a:off x="0" y="0"/>
                      <a:ext cx="6172200" cy="3572510"/>
                    </a:xfrm>
                    <a:prstGeom prst="rect">
                      <a:avLst/>
                    </a:prstGeom>
                  </pic:spPr>
                </pic:pic>
              </a:graphicData>
            </a:graphic>
          </wp:inline>
        </w:drawing>
      </w:r>
    </w:p>
    <w:p w14:paraId="1B0932BA" w14:textId="77777777" w:rsidR="008D0CCF" w:rsidRPr="008D0CCF" w:rsidRDefault="008D0CCF" w:rsidP="008D0CCF">
      <w:pPr>
        <w:jc w:val="both"/>
        <w:rPr>
          <w:rFonts w:ascii="Times New Roman" w:hAnsi="Times New Roman" w:cs="Times New Roman"/>
          <w:b/>
          <w:bCs/>
          <w:i/>
          <w:iCs/>
          <w:sz w:val="26"/>
          <w:szCs w:val="26"/>
        </w:rPr>
      </w:pPr>
      <w:r w:rsidRPr="008D0CCF">
        <w:rPr>
          <w:rFonts w:ascii="Times New Roman" w:hAnsi="Times New Roman" w:cs="Times New Roman"/>
          <w:b/>
          <w:bCs/>
          <w:i/>
          <w:iCs/>
          <w:sz w:val="26"/>
          <w:szCs w:val="26"/>
        </w:rPr>
        <w:t>Trong suốt một thập kỷ, LNG được giới thiệu với các chủ tàu như một loại nhiên liệu chuyển tiếp hợp lý. Sạch hơn dầu nhiên liệu nặng, có nguồn cung rộng rãi và được hỗ trợ bởi công nghệ động cơ đã hoàn thiện, LNG đã giành ưu thế rõ rệt trong các quyết định lựa chọn nhiên liệu cho tàu đóng mới.</w:t>
      </w:r>
    </w:p>
    <w:p w14:paraId="4AEBBF12" w14:textId="3C33C9E2"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Paul Morgan (gCaptain) – Các số liệu đã chứng minh điều đó. Báo cáo đánh giá thị trường giữa năm 2026 của liên minh SEA-LNG cho biết tổng số tàu sử dụng LNG làm nhiên liệu, bao gồm tàu đang khai thác và tàu đang đặt đóng</w:t>
      </w:r>
      <w:r>
        <w:rPr>
          <w:rFonts w:ascii="Times New Roman" w:hAnsi="Times New Roman" w:cs="Times New Roman"/>
          <w:sz w:val="26"/>
          <w:szCs w:val="26"/>
        </w:rPr>
        <w:t xml:space="preserve"> mới</w:t>
      </w:r>
      <w:r w:rsidRPr="008D0CCF">
        <w:rPr>
          <w:rFonts w:ascii="Times New Roman" w:hAnsi="Times New Roman" w:cs="Times New Roman"/>
          <w:sz w:val="26"/>
          <w:szCs w:val="26"/>
        </w:rPr>
        <w:t>, đã vượt 1.550 chiếc. Khi liên minh này được thành lập năm 2016, con số chỉ là 81 chiếc.</w:t>
      </w:r>
    </w:p>
    <w:p w14:paraId="510DE38A" w14:textId="77777777"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Hoạt động đặt đóng tàu mới chưa có dấu hiệu chững lại. Dữ liệu của DNV được SEA-LNG trích dẫn cho thấy trong nửa đầu năm 2026, có 73 tàu sử dụng nhiên liệu kép LNG được đặt đóng, chiếm khoảng 90% tổng số đơn đặt hàng tàu sử dụng nhiên liệu thay thế. Riêng tháng 8 có thêm 46 tàu, chủ yếu là tàu container và tàu chở ô tô.</w:t>
      </w:r>
    </w:p>
    <w:p w14:paraId="1CDF0259" w14:textId="0ECBAA90"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Tuy nhiên, loại nhiên liệu này có một nhược điểm mà ngành vận tải biển đã bàn luận suốt nhiều năm nhưng chưa giải quyết triệt để: không phải toàn bộ khí mê-tan đi vào xi-lanh động cơ đều được đốt cháy. Một phần khí đi xuyên qua động cơ và thoát thẳng ra ống khói</w:t>
      </w:r>
      <w:r>
        <w:rPr>
          <w:rFonts w:ascii="Times New Roman" w:hAnsi="Times New Roman" w:cs="Times New Roman"/>
          <w:sz w:val="26"/>
          <w:szCs w:val="26"/>
        </w:rPr>
        <w:t xml:space="preserve"> (Thoát khí metan)</w:t>
      </w:r>
      <w:r w:rsidRPr="008D0CCF">
        <w:rPr>
          <w:rFonts w:ascii="Times New Roman" w:hAnsi="Times New Roman" w:cs="Times New Roman"/>
          <w:sz w:val="26"/>
          <w:szCs w:val="26"/>
        </w:rPr>
        <w:t>. Trong những khoảng thời gian có ý nghĩa đối với khí hậu, mê-tan là khí nhà kính có khả năng gây nóng lên toàn cầu mạnh hơn nhiều so với CO₂.</w:t>
      </w:r>
    </w:p>
    <w:p w14:paraId="3269C24F" w14:textId="77777777"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lastRenderedPageBreak/>
        <w:t>Cho đến gần đây, hiện tượng này chủ yếu gây ảnh hưởng đến uy tín của LNG như một loại nhiên liệu thân thiện với môi trường. Nhưng từ năm nay, nó đã trở thành một khoản chi phí thực tế trên hóa đơn.</w:t>
      </w:r>
    </w:p>
    <w:p w14:paraId="1E503076" w14:textId="04E49137"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 xml:space="preserve">Kể từ ngày 1/1/2026, Hệ thống Thương mại </w:t>
      </w:r>
      <w:r>
        <w:rPr>
          <w:rFonts w:ascii="Times New Roman" w:hAnsi="Times New Roman" w:cs="Times New Roman"/>
          <w:sz w:val="26"/>
          <w:szCs w:val="26"/>
        </w:rPr>
        <w:t>khí</w:t>
      </w:r>
      <w:r w:rsidRPr="008D0CCF">
        <w:rPr>
          <w:rFonts w:ascii="Times New Roman" w:hAnsi="Times New Roman" w:cs="Times New Roman"/>
          <w:sz w:val="26"/>
          <w:szCs w:val="26"/>
        </w:rPr>
        <w:t xml:space="preserve"> thải của Liên minh châu Âu (EU ETS) đã bao gồm khí mê-tan và nitơ oxit (N₂O) phát thải từ tàu biển, chứ không chỉ riêng CO₂. Cùng ngày, giai đoạn áp dụng từng bước kết thúc, đồng nghĩa với việc các đơn vị khai thác tàu hiện phải nộp hạn ngạch phát thải tương ứng với 100% lượng phát thải thuộc phạm vi điều chỉnh đã được xác minh.</w:t>
      </w:r>
    </w:p>
    <w:p w14:paraId="48DE8296" w14:textId="54393235"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Quy định FuelEU Maritime đã tính đến lượng mê-tan thoát lọt trong phép tính cường độ phát thải khí nhà kính của nhiên liệu. Đối với động cơ chưa được chứng nhận, quy định sử dụng giá trị mặc định là 3,1% lượng nhiên liệu tiêu thụ.</w:t>
      </w:r>
      <w:r>
        <w:rPr>
          <w:rFonts w:ascii="Times New Roman" w:hAnsi="Times New Roman" w:cs="Times New Roman"/>
          <w:sz w:val="26"/>
          <w:szCs w:val="26"/>
        </w:rPr>
        <w:t xml:space="preserve"> </w:t>
      </w:r>
      <w:r w:rsidRPr="008D0CCF">
        <w:rPr>
          <w:rFonts w:ascii="Times New Roman" w:hAnsi="Times New Roman" w:cs="Times New Roman"/>
          <w:sz w:val="26"/>
          <w:szCs w:val="26"/>
        </w:rPr>
        <w:t>Con số này hiện có ý nghĩa rất lớn, bởi tỷ lệ đó được áp dụng cho từng tấn LNG đốt cháy trên các chuyến đi có liên quan đến EU.</w:t>
      </w:r>
    </w:p>
    <w:p w14:paraId="1B44A051" w14:textId="77777777"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Câu hỏi khó đặt ra là liệu tỷ lệ 3,1% có phản ánh đúng thực tế hay không. Bằng chứng độc lập tốt nhất hiện có cho thấy, đối với loại động cơ phổ biến nhất, con số này không phản ánh đầy đủ thực tế.</w:t>
      </w:r>
    </w:p>
    <w:p w14:paraId="32C70583" w14:textId="77777777" w:rsidR="008D0CCF" w:rsidRPr="00F25BD9" w:rsidRDefault="008D0CCF" w:rsidP="008D0CCF">
      <w:pPr>
        <w:spacing w:after="120"/>
        <w:jc w:val="both"/>
        <w:rPr>
          <w:rFonts w:ascii="Times New Roman" w:hAnsi="Times New Roman" w:cs="Times New Roman"/>
          <w:b/>
          <w:bCs/>
          <w:color w:val="EE0000"/>
          <w:sz w:val="26"/>
          <w:szCs w:val="26"/>
        </w:rPr>
      </w:pPr>
      <w:r w:rsidRPr="00F25BD9">
        <w:rPr>
          <w:rFonts w:ascii="Times New Roman" w:hAnsi="Times New Roman" w:cs="Times New Roman"/>
          <w:b/>
          <w:bCs/>
          <w:color w:val="EE0000"/>
          <w:sz w:val="26"/>
          <w:szCs w:val="26"/>
        </w:rPr>
        <w:t>Dữ liệu thực tế cho thấy lượng mê-tan thoát lọt có thể cao gấp đôi mức mặc định</w:t>
      </w:r>
    </w:p>
    <w:p w14:paraId="182B5460" w14:textId="77777777" w:rsidR="008D0CCF" w:rsidRPr="008D0CCF" w:rsidRDefault="008D0CCF" w:rsidP="008D0CCF">
      <w:pPr>
        <w:spacing w:after="120"/>
        <w:jc w:val="both"/>
        <w:rPr>
          <w:rFonts w:ascii="Times New Roman" w:hAnsi="Times New Roman" w:cs="Times New Roman"/>
          <w:sz w:val="26"/>
          <w:szCs w:val="26"/>
        </w:rPr>
      </w:pPr>
      <w:r w:rsidRPr="008D0CCF">
        <w:rPr>
          <w:rFonts w:ascii="Times New Roman" w:hAnsi="Times New Roman" w:cs="Times New Roman"/>
          <w:sz w:val="26"/>
          <w:szCs w:val="26"/>
        </w:rPr>
        <w:t>Dự án FUMES, được Hội đồng Quốc tế về Giao thông sạch (ICCT) phối hợp với tổ chức Explicit và Viện nghiên cứu TNO của Hà Lan công bố vào tháng 1/2024, đã đo lượng mê-tan trong các luồng khí thải của 18 tàu sử dụng LNG làm nhiên liệu. Nghiên cứu sử dụng máy bay không người lái, trực thăng và thiết bị đo trực tiếp tại ống khói trên tàu.</w:t>
      </w:r>
    </w:p>
    <w:p w14:paraId="1C7A9DA7" w14:textId="51DDD1D3"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Đối với động cơ bốn kỳ nhiên liệu kép áp thấp — loại động cơ được sử dụng phổ biến trong đội tàu LNG — tỷ lệ mê-tan thoát lọt trung bình trong điều kiện khai thác thực tế đạt 6,4%.</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Mức này xấp xỉ gấp đôi giả định 3,1% của EU và cao hơn đáng kể so với mức 3,5% của Tổ chức Hàng hải Quốc tế (IMO).</w:t>
      </w:r>
    </w:p>
    <w:p w14:paraId="26FEDF3E" w14:textId="45C76B56"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Tình trạng thoát mê-tan nghiêm trọng nhất xảy ra khi động cơ hoạt động ở tải thấp, đúng vào điều kiện mà nhiều tàu phải duy trì trong phần lớn thời gian khai thác. ICCT khuyến nghị các cơ quan quản lý nâng tỷ lệ mặc định đối với loại động cơ này lên ít nhất 6%.</w:t>
      </w:r>
    </w:p>
    <w:p w14:paraId="1AC7239E" w14:textId="77777777" w:rsidR="008D0CCF" w:rsidRPr="00F25BD9" w:rsidRDefault="008D0CCF" w:rsidP="008D0CCF">
      <w:pPr>
        <w:jc w:val="both"/>
        <w:rPr>
          <w:rFonts w:ascii="Times New Roman" w:hAnsi="Times New Roman" w:cs="Times New Roman"/>
          <w:b/>
          <w:bCs/>
          <w:color w:val="0070C0"/>
          <w:sz w:val="26"/>
          <w:szCs w:val="26"/>
        </w:rPr>
      </w:pPr>
      <w:r w:rsidRPr="00F25BD9">
        <w:rPr>
          <w:rFonts w:ascii="Times New Roman" w:hAnsi="Times New Roman" w:cs="Times New Roman"/>
          <w:b/>
          <w:bCs/>
          <w:color w:val="0070C0"/>
          <w:sz w:val="26"/>
          <w:szCs w:val="26"/>
        </w:rPr>
        <w:t>Những con số thấp hơn cho thấy tiềm năng giảm phát thải</w:t>
      </w:r>
    </w:p>
    <w:p w14:paraId="2477CC2D" w14:textId="0F53D995"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Chiều ngược lại của vấn đề cũng đáng chú ý không kém.</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 xml:space="preserve">Tháng 5/2026, MSC Cruises trở thành hãng tàu du lịch đầu tiên đạt được việc xác minh độc lập và được quốc gia </w:t>
      </w:r>
      <w:r w:rsidR="00343952">
        <w:rPr>
          <w:rFonts w:ascii="Times New Roman" w:hAnsi="Times New Roman" w:cs="Times New Roman"/>
          <w:sz w:val="26"/>
          <w:szCs w:val="26"/>
        </w:rPr>
        <w:t>tàu mang</w:t>
      </w:r>
      <w:r w:rsidRPr="008D0CCF">
        <w:rPr>
          <w:rFonts w:ascii="Times New Roman" w:hAnsi="Times New Roman" w:cs="Times New Roman"/>
          <w:sz w:val="26"/>
          <w:szCs w:val="26"/>
        </w:rPr>
        <w:t xml:space="preserve"> cờ công nhận tỷ lệ mê-tan thoát lọt đo đạc thực tế để phục vụ việc tuân thủ FuelEU Maritime.</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Tổ chức Bureau Veritas đã xác minh tỷ lệ thoát lọt mê-tan ở mức 1,67% đối với tàu MSC World Europa và 1,48% đối với tàu MSC Euribia. Cả hai mức đều thấp hơn đáng kể so với giá trị mặc định.</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Chương trình đo đạc này được thực hiện theo Nghị quyết IMO MEPC.402(83), quy định phương pháp đo tham chiếu, cùng với các hướng dẫn FuelEU của Ủy ban châu Âu.</w:t>
      </w:r>
    </w:p>
    <w:p w14:paraId="22E0A0C8" w14:textId="1ECEE766"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lastRenderedPageBreak/>
        <w:t>Các nhà sản xuất động cơ cũng đang đi theo hướng tương tự. Wärtsilä cho biết tỷ lệ mê-tan thoát lọt bình quân gia quyền của các động cơ bốn kỳ trang bị công nghệ NextDF của hãng vào khoảng 0,9%. Hãng cũng cho biết lượng mê-tan thoát từ các động cơ nhiên liệu kép của mình đã giảm 75% trong 25 năm qua.</w:t>
      </w:r>
    </w:p>
    <w:p w14:paraId="1E84E89B" w14:textId="1CE47649"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 xml:space="preserve">Đặt những con số này cạnh nhau, có thể thấy bài học rất rõ ràng: </w:t>
      </w:r>
      <w:r w:rsidR="00343952" w:rsidRPr="008D0CCF">
        <w:rPr>
          <w:rFonts w:ascii="Times New Roman" w:hAnsi="Times New Roman" w:cs="Times New Roman"/>
          <w:sz w:val="26"/>
          <w:szCs w:val="26"/>
        </w:rPr>
        <w:t xml:space="preserve">thoát </w:t>
      </w:r>
      <w:r w:rsidRPr="008D0CCF">
        <w:rPr>
          <w:rFonts w:ascii="Times New Roman" w:hAnsi="Times New Roman" w:cs="Times New Roman"/>
          <w:sz w:val="26"/>
          <w:szCs w:val="26"/>
        </w:rPr>
        <w:t xml:space="preserve">mê-tan không phải là một tỷ lệ cố định. Tỷ lệ này thay đổi theo thiết kế </w:t>
      </w:r>
      <w:r w:rsidR="00343952">
        <w:rPr>
          <w:rFonts w:ascii="Times New Roman" w:hAnsi="Times New Roman" w:cs="Times New Roman"/>
          <w:sz w:val="26"/>
          <w:szCs w:val="26"/>
        </w:rPr>
        <w:t xml:space="preserve">của </w:t>
      </w:r>
      <w:r w:rsidRPr="008D0CCF">
        <w:rPr>
          <w:rFonts w:ascii="Times New Roman" w:hAnsi="Times New Roman" w:cs="Times New Roman"/>
          <w:sz w:val="26"/>
          <w:szCs w:val="26"/>
        </w:rPr>
        <w:t>động cơ, tuổi đời thiết bị, đặc tính tải và cách thức vận hành thực tế của tàu.</w:t>
      </w:r>
    </w:p>
    <w:p w14:paraId="6BDC54E1" w14:textId="0E1137AC"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 xml:space="preserve">Một hệ số mặc định sẽ gom tất cả những </w:t>
      </w:r>
      <w:r w:rsidR="00343952">
        <w:rPr>
          <w:rFonts w:ascii="Times New Roman" w:hAnsi="Times New Roman" w:cs="Times New Roman"/>
          <w:sz w:val="26"/>
          <w:szCs w:val="26"/>
        </w:rPr>
        <w:t xml:space="preserve">sự </w:t>
      </w:r>
      <w:r w:rsidRPr="008D0CCF">
        <w:rPr>
          <w:rFonts w:ascii="Times New Roman" w:hAnsi="Times New Roman" w:cs="Times New Roman"/>
          <w:sz w:val="26"/>
          <w:szCs w:val="26"/>
        </w:rPr>
        <w:t xml:space="preserve">khác </w:t>
      </w:r>
      <w:r w:rsidR="00343952">
        <w:rPr>
          <w:rFonts w:ascii="Times New Roman" w:hAnsi="Times New Roman" w:cs="Times New Roman"/>
          <w:sz w:val="26"/>
          <w:szCs w:val="26"/>
        </w:rPr>
        <w:t>nhau</w:t>
      </w:r>
      <w:r w:rsidRPr="008D0CCF">
        <w:rPr>
          <w:rFonts w:ascii="Times New Roman" w:hAnsi="Times New Roman" w:cs="Times New Roman"/>
          <w:sz w:val="26"/>
          <w:szCs w:val="26"/>
        </w:rPr>
        <w:t xml:space="preserve"> đó thành một giá trị trung bình thuận tiện. Đối với những động cơ phát thải cao, hệ số này đánh giá thấp tác động </w:t>
      </w:r>
      <w:r w:rsidR="00343952">
        <w:rPr>
          <w:rFonts w:ascii="Times New Roman" w:hAnsi="Times New Roman" w:cs="Times New Roman"/>
          <w:sz w:val="26"/>
          <w:szCs w:val="26"/>
        </w:rPr>
        <w:t xml:space="preserve">tới </w:t>
      </w:r>
      <w:r w:rsidRPr="008D0CCF">
        <w:rPr>
          <w:rFonts w:ascii="Times New Roman" w:hAnsi="Times New Roman" w:cs="Times New Roman"/>
          <w:sz w:val="26"/>
          <w:szCs w:val="26"/>
        </w:rPr>
        <w:t>khí hậu. Đối với những động cơ hoạt động tốt nhất, nó lại làm tăng chi phí tuân thủ được tính toán. Trong cả hai trường hợp, chủ tàu đều khó biết chính xác tình trạng của đội tàu mình.</w:t>
      </w:r>
    </w:p>
    <w:p w14:paraId="7EB11C05" w14:textId="77777777"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Đó là lý do việc đo đạc phải đi trước các biện pháp giảm phát thải. Một đơn vị khai thác tàu không thể đưa ra quyết định đầu tư hợp lý vào bộ xúc tác, hoặc bảo vệ một giá trị đo đạc trước tổ chức xác minh, nếu trước hết chưa biết chính xác những gì đang thoát ra từ ống khói.</w:t>
      </w:r>
    </w:p>
    <w:p w14:paraId="6B8CD563" w14:textId="77777777" w:rsidR="008D0CCF" w:rsidRPr="00F25BD9" w:rsidRDefault="008D0CCF" w:rsidP="008D0CCF">
      <w:pPr>
        <w:jc w:val="both"/>
        <w:rPr>
          <w:rFonts w:ascii="Times New Roman" w:hAnsi="Times New Roman" w:cs="Times New Roman"/>
          <w:b/>
          <w:bCs/>
          <w:color w:val="0070C0"/>
          <w:sz w:val="26"/>
          <w:szCs w:val="26"/>
        </w:rPr>
      </w:pPr>
      <w:r w:rsidRPr="00F25BD9">
        <w:rPr>
          <w:rFonts w:ascii="Times New Roman" w:hAnsi="Times New Roman" w:cs="Times New Roman"/>
          <w:b/>
          <w:bCs/>
          <w:color w:val="0070C0"/>
          <w:sz w:val="26"/>
          <w:szCs w:val="26"/>
        </w:rPr>
        <w:t>MAMII: Hợp tác phát triển công nghệ đo và giảm phát thải mê-tan</w:t>
      </w:r>
    </w:p>
    <w:p w14:paraId="3C4BAA70" w14:textId="1250E58B"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Ngành vận tải biển đã cùng nhau xây dựng kiến thức và công nghệ để giải quyết vấn đề này.</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Tháng 9/2022, Safetytech Accelerator — tổ chức do Lloyd’s Register thành lập — khởi động Sáng kiến Đổi mới về Giảm phát thải Mê-tan trong Hàng hải, gọi tắt là MAMII.</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Các đơn vị hỗ trợ sáng lập bao gồm Maran Gas Maritime, MSC, Carnival Corporation, Seaspan, Shell, Knutsen và Lloyd’s Register.</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Mục tiêu của sáng kiến là xác định, thử nghiệm và thúc đẩy các công nghệ đo lường, giảm phát thải mê-tan từ tàu sử dụng LNG làm nhiên liệu.</w:t>
      </w:r>
    </w:p>
    <w:p w14:paraId="3DD65B76" w14:textId="77777777"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Đợt nghiên cứu khả thi đầu tiên, được công bố năm 2024, đã lựa chọn bốn công ty trong số 20 đơn vị đăng ký tham gia. Mỗi công ty tiếp cận vấn đề khí thải theo một phương pháp khác nhau.</w:t>
      </w:r>
    </w:p>
    <w:p w14:paraId="637F905D" w14:textId="0E65D416" w:rsidR="008D0CCF" w:rsidRPr="00343952" w:rsidRDefault="008D0CCF" w:rsidP="00343952">
      <w:pPr>
        <w:pStyle w:val="ListParagraph"/>
        <w:numPr>
          <w:ilvl w:val="0"/>
          <w:numId w:val="2"/>
        </w:numPr>
        <w:jc w:val="both"/>
        <w:rPr>
          <w:rFonts w:ascii="Times New Roman" w:hAnsi="Times New Roman" w:cs="Times New Roman"/>
          <w:sz w:val="26"/>
          <w:szCs w:val="26"/>
        </w:rPr>
      </w:pPr>
      <w:r w:rsidRPr="00343952">
        <w:rPr>
          <w:rFonts w:ascii="Times New Roman" w:hAnsi="Times New Roman" w:cs="Times New Roman"/>
          <w:sz w:val="26"/>
          <w:szCs w:val="26"/>
        </w:rPr>
        <w:t xml:space="preserve">CDTi Advanced Materials đề xuất sử dụng bộ xúc tác oxy hóa thụ động. Công ty </w:t>
      </w:r>
      <w:r w:rsidR="00343952">
        <w:rPr>
          <w:rFonts w:ascii="Times New Roman" w:hAnsi="Times New Roman" w:cs="Times New Roman"/>
          <w:sz w:val="26"/>
          <w:szCs w:val="26"/>
        </w:rPr>
        <w:t xml:space="preserve">này </w:t>
      </w:r>
      <w:r w:rsidRPr="00343952">
        <w:rPr>
          <w:rFonts w:ascii="Times New Roman" w:hAnsi="Times New Roman" w:cs="Times New Roman"/>
          <w:sz w:val="26"/>
          <w:szCs w:val="26"/>
        </w:rPr>
        <w:t>báo cáo khả năng chuyển hóa 80% mê-tan ở nhiệt độ thấp hơn, trong một dải điều kiện tải động cơ khác nhau.</w:t>
      </w:r>
    </w:p>
    <w:p w14:paraId="2FD2191A" w14:textId="2E6214BC" w:rsidR="008D0CCF" w:rsidRPr="00343952" w:rsidRDefault="008D0CCF" w:rsidP="00343952">
      <w:pPr>
        <w:pStyle w:val="ListParagraph"/>
        <w:numPr>
          <w:ilvl w:val="0"/>
          <w:numId w:val="2"/>
        </w:numPr>
        <w:jc w:val="both"/>
        <w:rPr>
          <w:rFonts w:ascii="Times New Roman" w:hAnsi="Times New Roman" w:cs="Times New Roman"/>
          <w:sz w:val="26"/>
          <w:szCs w:val="26"/>
        </w:rPr>
      </w:pPr>
      <w:r w:rsidRPr="00343952">
        <w:rPr>
          <w:rFonts w:ascii="Times New Roman" w:hAnsi="Times New Roman" w:cs="Times New Roman"/>
          <w:sz w:val="26"/>
          <w:szCs w:val="26"/>
        </w:rPr>
        <w:t>Daphne Technology đưa ra giải pháp thiết bị xúc tác plasma lắp trên đường ống khí thải; nghiên cứu giả định thiết bị có thể loại bỏ 80% lượng mê-tan.</w:t>
      </w:r>
    </w:p>
    <w:p w14:paraId="2A19C1B4" w14:textId="738607D0" w:rsidR="008D0CCF" w:rsidRPr="00343952" w:rsidRDefault="008D0CCF" w:rsidP="00343952">
      <w:pPr>
        <w:pStyle w:val="ListParagraph"/>
        <w:numPr>
          <w:ilvl w:val="0"/>
          <w:numId w:val="2"/>
        </w:numPr>
        <w:jc w:val="both"/>
        <w:rPr>
          <w:rFonts w:ascii="Times New Roman" w:hAnsi="Times New Roman" w:cs="Times New Roman"/>
          <w:sz w:val="26"/>
          <w:szCs w:val="26"/>
        </w:rPr>
      </w:pPr>
      <w:r w:rsidRPr="00343952">
        <w:rPr>
          <w:rFonts w:ascii="Times New Roman" w:hAnsi="Times New Roman" w:cs="Times New Roman"/>
          <w:sz w:val="26"/>
          <w:szCs w:val="26"/>
        </w:rPr>
        <w:t>Plenesys lựa chọn phương pháp hoàn toàn khác, sử dụng đèn khò plasma để phân tách mê-tan thành hydro và cacbon rắn, sau đó đưa hydro trở lại động cơ làm nhiên liệu. Công ty báo cáo mức giảm mê-tan thoát đạt 78%.</w:t>
      </w:r>
    </w:p>
    <w:p w14:paraId="3928E644" w14:textId="3ABEC05A" w:rsidR="008D0CCF" w:rsidRPr="00343952" w:rsidRDefault="008D0CCF" w:rsidP="00343952">
      <w:pPr>
        <w:pStyle w:val="ListParagraph"/>
        <w:numPr>
          <w:ilvl w:val="0"/>
          <w:numId w:val="2"/>
        </w:numPr>
        <w:jc w:val="both"/>
        <w:rPr>
          <w:rFonts w:ascii="Times New Roman" w:hAnsi="Times New Roman" w:cs="Times New Roman"/>
          <w:sz w:val="26"/>
          <w:szCs w:val="26"/>
        </w:rPr>
      </w:pPr>
      <w:r w:rsidRPr="00343952">
        <w:rPr>
          <w:rFonts w:ascii="Times New Roman" w:hAnsi="Times New Roman" w:cs="Times New Roman"/>
          <w:sz w:val="26"/>
          <w:szCs w:val="26"/>
        </w:rPr>
        <w:t>Rotoboost đề xuất phương pháp phân hủy nhiệt xúc tác để sản xuất hydro ngay trên tàu, dùng hydro làm thành phần pha trộn bổ sung cho LNG.</w:t>
      </w:r>
    </w:p>
    <w:p w14:paraId="71168A4E" w14:textId="2B2E8329"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lastRenderedPageBreak/>
        <w:t xml:space="preserve">Đợt nghiên cứu thứ hai, được công bố vào tháng 1/2025 với sự tham gia của Chevron, Carnival, Shell và Seapeak, chuyển trọng tâm sang phát thải mê-tan rò rỉ — tức lượng khí thoát ra do rò rỉ hoặc xả thông trong quá trình từ cụm </w:t>
      </w:r>
      <w:r w:rsidR="00343952">
        <w:rPr>
          <w:rFonts w:ascii="Times New Roman" w:hAnsi="Times New Roman" w:cs="Times New Roman"/>
          <w:sz w:val="26"/>
          <w:szCs w:val="26"/>
        </w:rPr>
        <w:t>họng</w:t>
      </w:r>
      <w:r w:rsidRPr="008D0CCF">
        <w:rPr>
          <w:rFonts w:ascii="Times New Roman" w:hAnsi="Times New Roman" w:cs="Times New Roman"/>
          <w:sz w:val="26"/>
          <w:szCs w:val="26"/>
        </w:rPr>
        <w:t xml:space="preserve"> nhận nhiên liệu đến động cơ.</w:t>
      </w:r>
    </w:p>
    <w:p w14:paraId="08C4B6BE" w14:textId="16695CD9"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Xplorobot đánh giá các thiết bị cầm tay và nền tảng trí tuệ nhân tạo (AI) phục vụ định lượng lượng khí rò rỉ. Sorama nghiên cứu khả năng sử dụng camera âm học, chuyển đổi</w:t>
      </w:r>
      <w:r w:rsidR="00343952">
        <w:rPr>
          <w:rFonts w:ascii="Times New Roman" w:hAnsi="Times New Roman" w:cs="Times New Roman"/>
          <w:sz w:val="26"/>
          <w:szCs w:val="26"/>
        </w:rPr>
        <w:t xml:space="preserve"> sóng</w:t>
      </w:r>
      <w:r w:rsidRPr="008D0CCF">
        <w:rPr>
          <w:rFonts w:ascii="Times New Roman" w:hAnsi="Times New Roman" w:cs="Times New Roman"/>
          <w:sz w:val="26"/>
          <w:szCs w:val="26"/>
        </w:rPr>
        <w:t xml:space="preserve"> âm thành bản đồ để xác định chính xác vị trí rò rỉ trên boong đường ống của tàu chở LNG. Trong khi đó, Framergy nghiên cứu một loại vật liệu khung cơ kim (MOF) có khả năng thu giữ lượng mê-tan bị xả ra môi trường.</w:t>
      </w:r>
    </w:p>
    <w:p w14:paraId="7EB847C9" w14:textId="7CF496F4" w:rsidR="008D0CCF" w:rsidRPr="008D0CCF" w:rsidRDefault="00343952" w:rsidP="00343952">
      <w:pPr>
        <w:spacing w:after="120"/>
        <w:jc w:val="both"/>
        <w:rPr>
          <w:rFonts w:ascii="Times New Roman" w:hAnsi="Times New Roman" w:cs="Times New Roman"/>
          <w:sz w:val="26"/>
          <w:szCs w:val="26"/>
        </w:rPr>
      </w:pPr>
      <w:r>
        <w:rPr>
          <w:rFonts w:ascii="Times New Roman" w:hAnsi="Times New Roman" w:cs="Times New Roman"/>
          <w:sz w:val="26"/>
          <w:szCs w:val="26"/>
        </w:rPr>
        <w:t>Các k</w:t>
      </w:r>
      <w:r w:rsidR="008D0CCF" w:rsidRPr="008D0CCF">
        <w:rPr>
          <w:rFonts w:ascii="Times New Roman" w:hAnsi="Times New Roman" w:cs="Times New Roman"/>
          <w:sz w:val="26"/>
          <w:szCs w:val="26"/>
        </w:rPr>
        <w:t>ết quả nghiên cứu mang lại triển vọng tích cực nhưng cũng cho thấy nhiều hạn chế.</w:t>
      </w:r>
      <w:r w:rsidR="00F25BD9">
        <w:rPr>
          <w:rFonts w:ascii="Times New Roman" w:hAnsi="Times New Roman" w:cs="Times New Roman"/>
          <w:sz w:val="26"/>
          <w:szCs w:val="26"/>
        </w:rPr>
        <w:t xml:space="preserve"> </w:t>
      </w:r>
      <w:r w:rsidR="008D0CCF" w:rsidRPr="008D0CCF">
        <w:rPr>
          <w:rFonts w:ascii="Times New Roman" w:hAnsi="Times New Roman" w:cs="Times New Roman"/>
          <w:sz w:val="26"/>
          <w:szCs w:val="26"/>
        </w:rPr>
        <w:t xml:space="preserve">Đánh giá của Xplorobot chủ yếu dựa trên phân tích dữ liệu sẵn có từ các ngành công nghiệp trên bờ chứ chưa phải thử nghiệm thực tế toàn diện trên tàu. Độ chính xác đạt khoảng 30% đối với các điểm rò rỉ lớn và khoảng 50% đối với các điểm rò rỉ nhỏ. Công trình của Sorama mới xác định phạm vi cho một chương trình thử nghiệm kéo dài </w:t>
      </w:r>
      <w:r>
        <w:rPr>
          <w:rFonts w:ascii="Times New Roman" w:hAnsi="Times New Roman" w:cs="Times New Roman"/>
          <w:sz w:val="26"/>
          <w:szCs w:val="26"/>
        </w:rPr>
        <w:t>6</w:t>
      </w:r>
      <w:r w:rsidR="008D0CCF" w:rsidRPr="008D0CCF">
        <w:rPr>
          <w:rFonts w:ascii="Times New Roman" w:hAnsi="Times New Roman" w:cs="Times New Roman"/>
          <w:sz w:val="26"/>
          <w:szCs w:val="26"/>
        </w:rPr>
        <w:t xml:space="preserve"> tháng chứ chưa báo cáo kết quả của chương trình thử nghiệm đó.</w:t>
      </w:r>
    </w:p>
    <w:p w14:paraId="7EA6ED37" w14:textId="77777777" w:rsidR="008D0CCF" w:rsidRPr="00F25BD9" w:rsidRDefault="008D0CCF" w:rsidP="008D0CCF">
      <w:pPr>
        <w:jc w:val="both"/>
        <w:rPr>
          <w:rFonts w:ascii="Times New Roman" w:hAnsi="Times New Roman" w:cs="Times New Roman"/>
          <w:b/>
          <w:bCs/>
          <w:color w:val="EE0000"/>
          <w:sz w:val="26"/>
          <w:szCs w:val="26"/>
        </w:rPr>
      </w:pPr>
      <w:r w:rsidRPr="00F25BD9">
        <w:rPr>
          <w:rFonts w:ascii="Times New Roman" w:hAnsi="Times New Roman" w:cs="Times New Roman"/>
          <w:b/>
          <w:bCs/>
          <w:color w:val="EE0000"/>
          <w:sz w:val="26"/>
          <w:szCs w:val="26"/>
        </w:rPr>
        <w:t>Khoảng cách giữa phòng thí nghiệm và buồng máy</w:t>
      </w:r>
    </w:p>
    <w:p w14:paraId="619D2895" w14:textId="0A61E839"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Chính khoảng cách giữa phòng thí nghiệm và buồng máy là nơi nhiều ý tưởng đầy triển vọng gặp khó khăn.</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Một thiết bị được thiết kế để phát hiện rò rỉ tại mặt bích van sẽ không phù hợp để đo khí mê-tan trong luồng khí thải nóng, chuyển động nhanh. Ngược lại, một thiết bị phân tích khí tại ống khói, dù có độ chính xác cao đến đâu, cũng không thể cho kỹ sư biết chính xác mối nối nào đang rò rỉ trong phòng cụm van khí.</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Mỗi nguồn phát thải cần có thiết bị đo phù hợp riêng, và mỗi thiết bị phải chịu được điều kiện thực tế trên một con tàu đang hoạt động.</w:t>
      </w:r>
    </w:p>
    <w:p w14:paraId="652AD716" w14:textId="77777777"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Không gian trên tàu hạn chế, các khu vực có nguy cơ cháy nổ do khí đòi hỏi thiết bị phải đáp ứng những quy định nghiêm ngặt, còn bất kỳ thiết bị nào được lắp bổ sung trên đường ống khí thải cũng có thể ảnh hưởng đến áp suất ngược của động cơ.</w:t>
      </w:r>
    </w:p>
    <w:p w14:paraId="4E505844" w14:textId="63FFCAEF" w:rsidR="008D0CCF" w:rsidRPr="008D0CCF" w:rsidRDefault="008D0CCF" w:rsidP="00343952">
      <w:pPr>
        <w:spacing w:after="120"/>
        <w:jc w:val="both"/>
        <w:rPr>
          <w:rFonts w:ascii="Times New Roman" w:hAnsi="Times New Roman" w:cs="Times New Roman"/>
          <w:sz w:val="26"/>
          <w:szCs w:val="26"/>
        </w:rPr>
      </w:pPr>
      <w:r w:rsidRPr="008D0CCF">
        <w:rPr>
          <w:rFonts w:ascii="Times New Roman" w:hAnsi="Times New Roman" w:cs="Times New Roman"/>
          <w:sz w:val="26"/>
          <w:szCs w:val="26"/>
        </w:rPr>
        <w:t>Thành phần hóa học của nhiên liệu còn tạo ra một trở ngại khác.</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 xml:space="preserve">Nghiên cứu của VTT, tổ chức nghiên cứu kỹ thuật của Phần Lan, công bố năm 2021 cho thấy các bộ xúc tác oxy hóa mê-tan trên động cơ LNG đốt cháy hỗn hợp nghèo rất nhạy cảm với hiện tượng nhiễm lưu huỳnh. Hiệu suất </w:t>
      </w:r>
      <w:r w:rsidR="00343952">
        <w:rPr>
          <w:rFonts w:ascii="Times New Roman" w:hAnsi="Times New Roman" w:cs="Times New Roman"/>
          <w:sz w:val="26"/>
          <w:szCs w:val="26"/>
        </w:rPr>
        <w:t xml:space="preserve">của chúng </w:t>
      </w:r>
      <w:r w:rsidRPr="008D0CCF">
        <w:rPr>
          <w:rFonts w:ascii="Times New Roman" w:hAnsi="Times New Roman" w:cs="Times New Roman"/>
          <w:sz w:val="26"/>
          <w:szCs w:val="26"/>
        </w:rPr>
        <w:t>giảm dần theo thời gian và chỉ có thể được khôi phục thông qua quá trình tái sinh hằng ngày.</w:t>
      </w:r>
    </w:p>
    <w:p w14:paraId="7B570310" w14:textId="089D4991"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 xml:space="preserve">Điều đó không có nghĩa là nên từ bỏ công nghệ xúc tác. Thay vào đó, cần chứng minh hiệu quả của công nghệ </w:t>
      </w:r>
      <w:r w:rsidR="00343952">
        <w:rPr>
          <w:rFonts w:ascii="Times New Roman" w:hAnsi="Times New Roman" w:cs="Times New Roman"/>
          <w:sz w:val="26"/>
          <w:szCs w:val="26"/>
        </w:rPr>
        <w:t xml:space="preserve">này ở </w:t>
      </w:r>
      <w:r w:rsidRPr="008D0CCF">
        <w:rPr>
          <w:rFonts w:ascii="Times New Roman" w:hAnsi="Times New Roman" w:cs="Times New Roman"/>
          <w:sz w:val="26"/>
          <w:szCs w:val="26"/>
        </w:rPr>
        <w:t>trên biển, dưới tải thực tế và trong suốt thời gian vận hành thực tế, trước khi kết luận rằng vấn đề đã được giải quyết.</w:t>
      </w:r>
    </w:p>
    <w:p w14:paraId="541D7F43" w14:textId="77777777" w:rsidR="008D0CCF" w:rsidRPr="00F25BD9" w:rsidRDefault="008D0CCF" w:rsidP="00343952">
      <w:pPr>
        <w:spacing w:after="120"/>
        <w:jc w:val="both"/>
        <w:rPr>
          <w:rFonts w:ascii="Times New Roman" w:hAnsi="Times New Roman" w:cs="Times New Roman"/>
          <w:b/>
          <w:bCs/>
          <w:color w:val="004E9A"/>
          <w:sz w:val="26"/>
          <w:szCs w:val="26"/>
        </w:rPr>
      </w:pPr>
      <w:r w:rsidRPr="00F25BD9">
        <w:rPr>
          <w:rFonts w:ascii="Times New Roman" w:hAnsi="Times New Roman" w:cs="Times New Roman"/>
          <w:b/>
          <w:bCs/>
          <w:color w:val="004E9A"/>
          <w:sz w:val="26"/>
          <w:szCs w:val="26"/>
        </w:rPr>
        <w:t>Thử nghiệm trên biển cho thấy mức giảm mê-tan lên tới 98%</w:t>
      </w:r>
    </w:p>
    <w:p w14:paraId="63CF3024" w14:textId="2203C901"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Một số bằng chứng thực tế hiện đã bắt đầu xuất hiện.</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Tại Nhật Bản, một dự án do Tổ chức Phát triển Công nghệ và Năng lượng mới (NEDO) tài trợ, với sự tham gia của Kanadevia, Yanmar Power Technology và Mitsui O.S.K. Lines, đã lắp đặt hệ thống xúc tác oxy hóa mê-</w:t>
      </w:r>
      <w:r w:rsidRPr="008D0CCF">
        <w:rPr>
          <w:rFonts w:ascii="Times New Roman" w:hAnsi="Times New Roman" w:cs="Times New Roman"/>
          <w:sz w:val="26"/>
          <w:szCs w:val="26"/>
        </w:rPr>
        <w:lastRenderedPageBreak/>
        <w:t>tan kết hợp tuần hoàn khí thải trên tàu hàng rời Panamax Reimei.</w:t>
      </w:r>
      <w:r w:rsidR="00343952">
        <w:rPr>
          <w:rFonts w:ascii="Times New Roman" w:hAnsi="Times New Roman" w:cs="Times New Roman"/>
          <w:sz w:val="26"/>
          <w:szCs w:val="26"/>
        </w:rPr>
        <w:t xml:space="preserve"> </w:t>
      </w:r>
      <w:r w:rsidRPr="008D0CCF">
        <w:rPr>
          <w:rFonts w:ascii="Times New Roman" w:hAnsi="Times New Roman" w:cs="Times New Roman"/>
          <w:sz w:val="26"/>
          <w:szCs w:val="26"/>
        </w:rPr>
        <w:t>Các cuộc thử nghiệm trên biển bắt đầu vào tháng 5/2025. Ở mức tải động cơ khoảng 75%, hệ thống đã giảm lượng mê-tan thoát tới 98%. Kết quả này được tổ chức đăng kiểm ClassNK xác minh.</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Trước đó, các thử nghiệm trên bờ vào tháng 12/2023 đã ghi nhận mức giảm 93,8% khi động cơ hoạt động ở tải toàn phần.</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 xml:space="preserve">Tuy nhiên, các đối tác tham gia dự án lưu ý rằng thử nghiệm vẫn tiếp tục trong năm 2026 nhằm đánh giá độ bền và hiệu suất dài hạn. Công nghệ </w:t>
      </w:r>
      <w:r w:rsidR="00F25BD9">
        <w:rPr>
          <w:rFonts w:ascii="Times New Roman" w:hAnsi="Times New Roman" w:cs="Times New Roman"/>
          <w:sz w:val="26"/>
          <w:szCs w:val="26"/>
        </w:rPr>
        <w:t xml:space="preserve">này </w:t>
      </w:r>
      <w:r w:rsidRPr="008D0CCF">
        <w:rPr>
          <w:rFonts w:ascii="Times New Roman" w:hAnsi="Times New Roman" w:cs="Times New Roman"/>
          <w:sz w:val="26"/>
          <w:szCs w:val="26"/>
        </w:rPr>
        <w:t>dự kiến có thể được đưa ra thị trường từ năm 2027.</w:t>
      </w:r>
    </w:p>
    <w:p w14:paraId="1E76AF38" w14:textId="77777777"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Sự kiện đầu tiên dành cho các thành viên MAMII tại Brussels vào cuối tháng 11/2025 cũng đưa ra nhận định tương tự. Những người tham dự được thông báo rằng một số loại động cơ đã giảm được lượng mê-tan thoát lọt từ 60% đến 70% trong những năm gần đây, trong khi các hệ thống xử lý khí thải sau động cơ có thể giúp giảm thêm 80% đến 90%.</w:t>
      </w:r>
    </w:p>
    <w:p w14:paraId="319609F3" w14:textId="51684D60"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Hệ thống xúc tác mê-tan do Shell tự phát triển dự kiến bắt đầu được thử nghiệm trên tàu vào tháng 12/2025. Đây là thử nghiệm công nghệ xử lý khí thải sau động cơ thứ ba trong số các thành viên MAMII.</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Các kết quả ban đầu từ những chương trình thử nghiệm của các thành viên được đánh giá là tích cực, với khả năng đạt mức sẵn sàng thương mại ngay từ năm 2027.</w:t>
      </w:r>
    </w:p>
    <w:p w14:paraId="64087F00" w14:textId="77777777" w:rsidR="008D0CCF" w:rsidRPr="008D0CCF" w:rsidRDefault="008D0CCF" w:rsidP="00F25BD9">
      <w:pPr>
        <w:spacing w:after="120"/>
        <w:jc w:val="both"/>
        <w:rPr>
          <w:rFonts w:ascii="Times New Roman" w:hAnsi="Times New Roman" w:cs="Times New Roman"/>
          <w:b/>
          <w:bCs/>
          <w:sz w:val="26"/>
          <w:szCs w:val="26"/>
        </w:rPr>
      </w:pPr>
      <w:r w:rsidRPr="008D0CCF">
        <w:rPr>
          <w:rFonts w:ascii="Times New Roman" w:hAnsi="Times New Roman" w:cs="Times New Roman"/>
          <w:b/>
          <w:bCs/>
          <w:sz w:val="26"/>
          <w:szCs w:val="26"/>
        </w:rPr>
        <w:t>Vai trò của tổ chức đăng kiểm và nhà sản xuất động cơ</w:t>
      </w:r>
    </w:p>
    <w:p w14:paraId="6A038430" w14:textId="6013E3BC"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Sự tham gia của các tổ chức đăng kiểm là điểm chung trong những dự án đã đạt được tiến triển.</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ClassNK xác minh kết quả thử nghiệm tại Nhật Bản. Bureau Veritas đóng vai trò quan trọng trong việc xác nhận kết quả đo đạc cho các tàu của MSC. Lloyd’s Register là tổ chức giữ vai trò trung tâm trong chính sáng kiến MAMII.</w:t>
      </w:r>
    </w:p>
    <w:p w14:paraId="23F30DD1" w14:textId="77777777"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Đối với các đơn vị phát triển công nghệ, bài học thực tiễn là cần phối hợp với tổ chức đăng kiểm và nhà sản xuất động cơ ngay từ đầu, thay vì chờ đến khi chế tạo xong nguyên mẫu mới bắt đầu làm việc với họ. Cách tiếp cận này giúp quá trình phê duyệt thuận lợi hơn và tăng khả năng được chủ tàu chấp nhận mua công nghệ.</w:t>
      </w:r>
    </w:p>
    <w:p w14:paraId="606BA568" w14:textId="46F4421E" w:rsidR="008D0CCF" w:rsidRPr="008D0CCF" w:rsidRDefault="008D0CCF" w:rsidP="00F25BD9">
      <w:pPr>
        <w:tabs>
          <w:tab w:val="left" w:pos="6720"/>
        </w:tabs>
        <w:spacing w:after="120"/>
        <w:jc w:val="both"/>
        <w:rPr>
          <w:rFonts w:ascii="Times New Roman" w:hAnsi="Times New Roman" w:cs="Times New Roman"/>
          <w:sz w:val="26"/>
          <w:szCs w:val="26"/>
        </w:rPr>
      </w:pPr>
      <w:r w:rsidRPr="008D0CCF">
        <w:rPr>
          <w:rFonts w:ascii="Times New Roman" w:hAnsi="Times New Roman" w:cs="Times New Roman"/>
          <w:sz w:val="26"/>
          <w:szCs w:val="26"/>
        </w:rPr>
        <w:t>Dù vậy, vẫn còn nhiều khoảng trống cần giải quyết.</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Quá ít chương trình thử nghiệm trên tàu sử dụng phương pháp đo lường thống nhất, khiến việc so sánh kết quả trở nên khó khăn. Dữ liệu thực tế đã được xác minh nhưng được công bố rộng rãi vẫn còn quá ít.</w:t>
      </w:r>
    </w:p>
    <w:p w14:paraId="1CB57753" w14:textId="77777777"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Phát thải mê-tan rò rỉ trong quá trình tiếp nhận nhiên liệu, xử lý hàng hóa và tái hóa khí nổi vẫn chưa nhận được sự quan tâm tương xứng so với khí thải từ ống khói. Bên cạnh đó, chi phí cho các thử nghiệm ban đầu hiện vẫn chủ yếu do một nhóm nhỏ các chủ tàu tiên phong và đơn vị phát triển công nghệ gánh chịu.</w:t>
      </w:r>
    </w:p>
    <w:p w14:paraId="78AF7E3F" w14:textId="77777777" w:rsidR="008D0CCF" w:rsidRPr="00F25BD9" w:rsidRDefault="008D0CCF" w:rsidP="00F25BD9">
      <w:pPr>
        <w:spacing w:after="120"/>
        <w:jc w:val="both"/>
        <w:rPr>
          <w:rFonts w:ascii="Times New Roman" w:hAnsi="Times New Roman" w:cs="Times New Roman"/>
          <w:b/>
          <w:bCs/>
          <w:color w:val="004E9A"/>
          <w:sz w:val="26"/>
          <w:szCs w:val="26"/>
        </w:rPr>
      </w:pPr>
      <w:r w:rsidRPr="00F25BD9">
        <w:rPr>
          <w:rFonts w:ascii="Times New Roman" w:hAnsi="Times New Roman" w:cs="Times New Roman"/>
          <w:b/>
          <w:bCs/>
          <w:color w:val="004E9A"/>
          <w:sz w:val="26"/>
          <w:szCs w:val="26"/>
        </w:rPr>
        <w:t>Các quy định quốc tế sẽ thúc đẩy thay đổi</w:t>
      </w:r>
    </w:p>
    <w:p w14:paraId="17944426" w14:textId="49788BD1"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t>Lịch trình xây dựng quy định đang tạo thêm sức ép phải hành động.</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Ủy ban Bảo vệ Môi trường Biển của IMO dự kiến tổ chức kỳ họp MEPC 85 từ ngày 30/11 đến ngày 3/12/2026. Phiên họp bất thường tiếp tục được triệu tập để quyết định việc thông qua Khuôn khổ Net-Zero của IMO được lên lịch vào ngày 4/12.</w:t>
      </w:r>
    </w:p>
    <w:p w14:paraId="2E071263" w14:textId="637EF8BB" w:rsidR="008D0CCF" w:rsidRPr="008D0CCF" w:rsidRDefault="008D0CCF" w:rsidP="00F25BD9">
      <w:pPr>
        <w:spacing w:after="120"/>
        <w:jc w:val="both"/>
        <w:rPr>
          <w:rFonts w:ascii="Times New Roman" w:hAnsi="Times New Roman" w:cs="Times New Roman"/>
          <w:sz w:val="26"/>
          <w:szCs w:val="26"/>
        </w:rPr>
      </w:pPr>
      <w:r w:rsidRPr="008D0CCF">
        <w:rPr>
          <w:rFonts w:ascii="Times New Roman" w:hAnsi="Times New Roman" w:cs="Times New Roman"/>
          <w:sz w:val="26"/>
          <w:szCs w:val="26"/>
        </w:rPr>
        <w:lastRenderedPageBreak/>
        <w:t>Dù kết quả tại London như thế nào</w:t>
      </w:r>
      <w:r w:rsidR="00F25BD9">
        <w:rPr>
          <w:rFonts w:ascii="Times New Roman" w:hAnsi="Times New Roman" w:cs="Times New Roman"/>
          <w:sz w:val="26"/>
          <w:szCs w:val="26"/>
        </w:rPr>
        <w:t xml:space="preserve"> thì </w:t>
      </w:r>
      <w:r w:rsidRPr="008D0CCF">
        <w:rPr>
          <w:rFonts w:ascii="Times New Roman" w:hAnsi="Times New Roman" w:cs="Times New Roman"/>
          <w:sz w:val="26"/>
          <w:szCs w:val="26"/>
        </w:rPr>
        <w:t xml:space="preserve">xu hướng chung đã rõ ràng. Châu Âu đã bắt đầu định giá phát thải mê-tan, còn khuôn khổ toàn cầu đang được đàm phán dựa trên cường độ phát thải khí nhà kính theo phương pháp từ giếng </w:t>
      </w:r>
      <w:r w:rsidR="00F25BD9">
        <w:rPr>
          <w:rFonts w:ascii="Times New Roman" w:hAnsi="Times New Roman" w:cs="Times New Roman"/>
          <w:sz w:val="26"/>
          <w:szCs w:val="26"/>
        </w:rPr>
        <w:t xml:space="preserve">khoan </w:t>
      </w:r>
      <w:r w:rsidRPr="008D0CCF">
        <w:rPr>
          <w:rFonts w:ascii="Times New Roman" w:hAnsi="Times New Roman" w:cs="Times New Roman"/>
          <w:sz w:val="26"/>
          <w:szCs w:val="26"/>
        </w:rPr>
        <w:t xml:space="preserve">đến </w:t>
      </w:r>
      <w:r w:rsidR="00F25BD9">
        <w:rPr>
          <w:rFonts w:ascii="Times New Roman" w:hAnsi="Times New Roman" w:cs="Times New Roman"/>
          <w:sz w:val="26"/>
          <w:szCs w:val="26"/>
        </w:rPr>
        <w:t>thiết bị sử dụng</w:t>
      </w:r>
      <w:r w:rsidRPr="008D0CCF">
        <w:rPr>
          <w:rFonts w:ascii="Times New Roman" w:hAnsi="Times New Roman" w:cs="Times New Roman"/>
          <w:sz w:val="26"/>
          <w:szCs w:val="26"/>
        </w:rPr>
        <w:t xml:space="preserve"> (well-to-wake), tức </w:t>
      </w:r>
      <w:r w:rsidR="00F25BD9">
        <w:rPr>
          <w:rFonts w:ascii="Times New Roman" w:hAnsi="Times New Roman" w:cs="Times New Roman"/>
          <w:sz w:val="26"/>
          <w:szCs w:val="26"/>
        </w:rPr>
        <w:t xml:space="preserve">là </w:t>
      </w:r>
      <w:r w:rsidRPr="008D0CCF">
        <w:rPr>
          <w:rFonts w:ascii="Times New Roman" w:hAnsi="Times New Roman" w:cs="Times New Roman"/>
          <w:sz w:val="26"/>
          <w:szCs w:val="26"/>
        </w:rPr>
        <w:t xml:space="preserve">xem xét lượng phát thải trong toàn bộ chuỗi từ khai thác, sản xuất nhiên liệu đến khi sử dụng </w:t>
      </w:r>
      <w:r w:rsidR="00F25BD9">
        <w:rPr>
          <w:rFonts w:ascii="Times New Roman" w:hAnsi="Times New Roman" w:cs="Times New Roman"/>
          <w:sz w:val="26"/>
          <w:szCs w:val="26"/>
        </w:rPr>
        <w:t xml:space="preserve">ở </w:t>
      </w:r>
      <w:r w:rsidRPr="008D0CCF">
        <w:rPr>
          <w:rFonts w:ascii="Times New Roman" w:hAnsi="Times New Roman" w:cs="Times New Roman"/>
          <w:sz w:val="26"/>
          <w:szCs w:val="26"/>
        </w:rPr>
        <w:t>trên tàu.</w:t>
      </w:r>
    </w:p>
    <w:p w14:paraId="5A7B8076" w14:textId="70393DD4" w:rsidR="008D0CCF" w:rsidRPr="008D0CCF" w:rsidRDefault="008D0CCF" w:rsidP="008D0CCF">
      <w:pPr>
        <w:jc w:val="both"/>
        <w:rPr>
          <w:rFonts w:ascii="Times New Roman" w:hAnsi="Times New Roman" w:cs="Times New Roman"/>
          <w:sz w:val="26"/>
          <w:szCs w:val="26"/>
        </w:rPr>
      </w:pPr>
      <w:r w:rsidRPr="008D0CCF">
        <w:rPr>
          <w:rFonts w:ascii="Times New Roman" w:hAnsi="Times New Roman" w:cs="Times New Roman"/>
          <w:sz w:val="26"/>
          <w:szCs w:val="26"/>
        </w:rPr>
        <w:t>Đối với các chủ tàu sử dụng LNG, điều này làm thay đổi bài toán kinh tế.</w:t>
      </w:r>
      <w:r w:rsidR="00F25BD9">
        <w:rPr>
          <w:rFonts w:ascii="Times New Roman" w:hAnsi="Times New Roman" w:cs="Times New Roman"/>
          <w:sz w:val="26"/>
          <w:szCs w:val="26"/>
        </w:rPr>
        <w:t xml:space="preserve"> </w:t>
      </w:r>
      <w:r w:rsidRPr="008D0CCF">
        <w:rPr>
          <w:rFonts w:ascii="Times New Roman" w:hAnsi="Times New Roman" w:cs="Times New Roman"/>
          <w:sz w:val="26"/>
          <w:szCs w:val="26"/>
        </w:rPr>
        <w:t>Một con tàu có thể chứng minh tỷ lệ mê-tan thoát lọt thấp sẽ có chi phí tuân thủ quy định thấp hơn. Ngược lại, tàu không có dữ liệu đo đạc đáng tin cậy sẽ phải áp dụng giá trị mặc định; chi phí còn có thể cao hơn nếu các giá trị mặc định được điều chỉnh tăng theo khuyến nghị của ICCT.</w:t>
      </w:r>
    </w:p>
    <w:p w14:paraId="3A7E8488" w14:textId="00239C72" w:rsidR="008D0CCF" w:rsidRPr="00F25BD9" w:rsidRDefault="008D0CCF" w:rsidP="008D0CCF">
      <w:pPr>
        <w:jc w:val="both"/>
        <w:rPr>
          <w:rFonts w:ascii="Times New Roman" w:hAnsi="Times New Roman" w:cs="Times New Roman"/>
          <w:color w:val="004E9A"/>
          <w:sz w:val="26"/>
          <w:szCs w:val="26"/>
        </w:rPr>
      </w:pPr>
      <w:r w:rsidRPr="00F25BD9">
        <w:rPr>
          <w:rFonts w:ascii="Times New Roman" w:hAnsi="Times New Roman" w:cs="Times New Roman"/>
          <w:color w:val="004E9A"/>
          <w:sz w:val="26"/>
          <w:szCs w:val="26"/>
        </w:rPr>
        <w:t>LNG đã giành được vị trí trong danh mục tàu đặt đóng nhờ lời hứa về mức phát thải thấp hơn.</w:t>
      </w:r>
      <w:r w:rsidR="00F25BD9" w:rsidRPr="00F25BD9">
        <w:rPr>
          <w:rFonts w:ascii="Times New Roman" w:hAnsi="Times New Roman" w:cs="Times New Roman"/>
          <w:color w:val="004E9A"/>
          <w:sz w:val="26"/>
          <w:szCs w:val="26"/>
        </w:rPr>
        <w:t xml:space="preserve"> </w:t>
      </w:r>
      <w:r w:rsidRPr="00F25BD9">
        <w:rPr>
          <w:rFonts w:ascii="Times New Roman" w:hAnsi="Times New Roman" w:cs="Times New Roman"/>
          <w:color w:val="004E9A"/>
          <w:sz w:val="26"/>
          <w:szCs w:val="26"/>
        </w:rPr>
        <w:t>Giờ đây, để duy trì vị thế đó, ngành vận tải biển phải chứng minh được lời hứa này bằng số liệu đo trực tiếp tại ống khói, được bên thứ ba xác minh và được kiểm chứng trong điều kiện khai thác thực tế trên biển.</w:t>
      </w:r>
    </w:p>
    <w:p w14:paraId="0AB9B253" w14:textId="7475DC95" w:rsidR="00C13E10" w:rsidRPr="00F25BD9" w:rsidRDefault="00F25BD9" w:rsidP="00F25BD9">
      <w:pPr>
        <w:jc w:val="center"/>
        <w:rPr>
          <w:rFonts w:ascii="Times New Roman" w:hAnsi="Times New Roman" w:cs="Times New Roman"/>
          <w:sz w:val="26"/>
          <w:szCs w:val="26"/>
        </w:rPr>
      </w:pPr>
      <w:r>
        <w:rPr>
          <w:rFonts w:ascii="Times New Roman" w:hAnsi="Times New Roman" w:cs="Times New Roman"/>
          <w:sz w:val="26"/>
          <w:szCs w:val="26"/>
        </w:rPr>
        <w:t>-----------------------------------------------------</w:t>
      </w:r>
    </w:p>
    <w:sectPr w:rsidR="00C13E10" w:rsidRPr="00F25BD9" w:rsidSect="008D0CCF">
      <w:pgSz w:w="12240" w:h="15840"/>
      <w:pgMar w:top="108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355F"/>
    <w:multiLevelType w:val="hybridMultilevel"/>
    <w:tmpl w:val="6CA42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4540A9"/>
    <w:multiLevelType w:val="hybridMultilevel"/>
    <w:tmpl w:val="992C93E0"/>
    <w:lvl w:ilvl="0" w:tplc="BFA46A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893947">
    <w:abstractNumId w:val="0"/>
  </w:num>
  <w:num w:numId="2" w16cid:durableId="457995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CCF"/>
    <w:rsid w:val="000501D0"/>
    <w:rsid w:val="000F701C"/>
    <w:rsid w:val="00343952"/>
    <w:rsid w:val="008D0CCF"/>
    <w:rsid w:val="00C13E10"/>
    <w:rsid w:val="00F25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F14B"/>
  <w15:chartTrackingRefBased/>
  <w15:docId w15:val="{5299AC32-1C65-458B-B7C8-BBA2EDD2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CCF"/>
    <w:rPr>
      <w:rFonts w:eastAsiaTheme="majorEastAsia" w:cstheme="majorBidi"/>
      <w:color w:val="272727" w:themeColor="text1" w:themeTint="D8"/>
    </w:rPr>
  </w:style>
  <w:style w:type="paragraph" w:styleId="Title">
    <w:name w:val="Title"/>
    <w:basedOn w:val="Normal"/>
    <w:next w:val="Normal"/>
    <w:link w:val="TitleChar"/>
    <w:uiPriority w:val="10"/>
    <w:qFormat/>
    <w:rsid w:val="008D0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CCF"/>
    <w:pPr>
      <w:spacing w:before="160"/>
      <w:jc w:val="center"/>
    </w:pPr>
    <w:rPr>
      <w:i/>
      <w:iCs/>
      <w:color w:val="404040" w:themeColor="text1" w:themeTint="BF"/>
    </w:rPr>
  </w:style>
  <w:style w:type="character" w:customStyle="1" w:styleId="QuoteChar">
    <w:name w:val="Quote Char"/>
    <w:basedOn w:val="DefaultParagraphFont"/>
    <w:link w:val="Quote"/>
    <w:uiPriority w:val="29"/>
    <w:rsid w:val="008D0CCF"/>
    <w:rPr>
      <w:i/>
      <w:iCs/>
      <w:color w:val="404040" w:themeColor="text1" w:themeTint="BF"/>
    </w:rPr>
  </w:style>
  <w:style w:type="paragraph" w:styleId="ListParagraph">
    <w:name w:val="List Paragraph"/>
    <w:basedOn w:val="Normal"/>
    <w:uiPriority w:val="34"/>
    <w:qFormat/>
    <w:rsid w:val="008D0CCF"/>
    <w:pPr>
      <w:ind w:left="720"/>
      <w:contextualSpacing/>
    </w:pPr>
  </w:style>
  <w:style w:type="character" w:styleId="IntenseEmphasis">
    <w:name w:val="Intense Emphasis"/>
    <w:basedOn w:val="DefaultParagraphFont"/>
    <w:uiPriority w:val="21"/>
    <w:qFormat/>
    <w:rsid w:val="008D0CCF"/>
    <w:rPr>
      <w:i/>
      <w:iCs/>
      <w:color w:val="0F4761" w:themeColor="accent1" w:themeShade="BF"/>
    </w:rPr>
  </w:style>
  <w:style w:type="paragraph" w:styleId="IntenseQuote">
    <w:name w:val="Intense Quote"/>
    <w:basedOn w:val="Normal"/>
    <w:next w:val="Normal"/>
    <w:link w:val="IntenseQuoteChar"/>
    <w:uiPriority w:val="30"/>
    <w:qFormat/>
    <w:rsid w:val="008D0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CCF"/>
    <w:rPr>
      <w:i/>
      <w:iCs/>
      <w:color w:val="0F4761" w:themeColor="accent1" w:themeShade="BF"/>
    </w:rPr>
  </w:style>
  <w:style w:type="character" w:styleId="IntenseReference">
    <w:name w:val="Intense Reference"/>
    <w:basedOn w:val="DefaultParagraphFont"/>
    <w:uiPriority w:val="32"/>
    <w:qFormat/>
    <w:rsid w:val="008D0CCF"/>
    <w:rPr>
      <w:b/>
      <w:bCs/>
      <w:smallCaps/>
      <w:color w:val="0F4761" w:themeColor="accent1" w:themeShade="BF"/>
      <w:spacing w:val="5"/>
    </w:rPr>
  </w:style>
  <w:style w:type="character" w:styleId="Hyperlink">
    <w:name w:val="Hyperlink"/>
    <w:basedOn w:val="DefaultParagraphFont"/>
    <w:uiPriority w:val="99"/>
    <w:unhideWhenUsed/>
    <w:rsid w:val="008D0CCF"/>
    <w:rPr>
      <w:color w:val="467886" w:themeColor="hyperlink"/>
      <w:u w:val="single"/>
    </w:rPr>
  </w:style>
  <w:style w:type="character" w:styleId="UnresolvedMention">
    <w:name w:val="Unresolved Mention"/>
    <w:basedOn w:val="DefaultParagraphFont"/>
    <w:uiPriority w:val="99"/>
    <w:semiHidden/>
    <w:unhideWhenUsed/>
    <w:rsid w:val="008D0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captain.com/author/mi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2054</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2026-10-13T01:18:00Z</dcterms:created>
  <dcterms:modified xsi:type="dcterms:W3CDTF">2026-10-13T01:45:00Z</dcterms:modified>
</cp:coreProperties>
</file>