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7CB16" w14:textId="618E0E66" w:rsidR="007B22CB" w:rsidRPr="007B22CB" w:rsidRDefault="007B22CB" w:rsidP="007B22CB">
      <w:pPr>
        <w:jc w:val="center"/>
        <w:rPr>
          <w:rFonts w:ascii="Times New Roman" w:hAnsi="Times New Roman" w:cs="Times New Roman"/>
          <w:b/>
          <w:bCs/>
          <w:sz w:val="40"/>
          <w:szCs w:val="40"/>
        </w:rPr>
      </w:pPr>
      <w:r w:rsidRPr="007B22CB">
        <w:rPr>
          <w:rFonts w:ascii="Times New Roman" w:hAnsi="Times New Roman" w:cs="Times New Roman"/>
          <w:b/>
          <w:bCs/>
          <w:sz w:val="40"/>
          <w:szCs w:val="40"/>
        </w:rPr>
        <w:t xml:space="preserve">Mỹ </w:t>
      </w:r>
      <w:r w:rsidRPr="007B22CB">
        <w:rPr>
          <w:rFonts w:ascii="Times New Roman" w:hAnsi="Times New Roman" w:cs="Times New Roman"/>
          <w:b/>
          <w:bCs/>
          <w:sz w:val="40"/>
          <w:szCs w:val="40"/>
        </w:rPr>
        <w:t>chuyển sang</w:t>
      </w:r>
      <w:r w:rsidRPr="007B22CB">
        <w:rPr>
          <w:rFonts w:ascii="Times New Roman" w:hAnsi="Times New Roman" w:cs="Times New Roman"/>
          <w:b/>
          <w:bCs/>
          <w:sz w:val="40"/>
          <w:szCs w:val="40"/>
        </w:rPr>
        <w:t xml:space="preserve"> hợp pháp hóa đội tàu chở dầu </w:t>
      </w:r>
      <w:r w:rsidRPr="007B22CB">
        <w:rPr>
          <w:rFonts w:ascii="Times New Roman" w:hAnsi="Times New Roman" w:cs="Times New Roman"/>
          <w:b/>
          <w:bCs/>
          <w:sz w:val="40"/>
          <w:szCs w:val="40"/>
        </w:rPr>
        <w:t>bóng tối</w:t>
      </w:r>
    </w:p>
    <w:p w14:paraId="0B9836C3" w14:textId="49D4CDC5" w:rsidR="007B22CB" w:rsidRPr="007B22CB" w:rsidRDefault="007B22CB" w:rsidP="007B22CB">
      <w:pPr>
        <w:jc w:val="right"/>
      </w:pPr>
      <w:hyperlink r:id="rId4" w:tooltip="Sam Chambers" w:history="1">
        <w:r w:rsidRPr="007B22CB">
          <w:rPr>
            <w:rStyle w:val="Hyperlink"/>
            <w:b/>
            <w:bCs/>
          </w:rPr>
          <w:t>Sam Chambers</w:t>
        </w:r>
      </w:hyperlink>
      <w:r>
        <w:t xml:space="preserve"> </w:t>
      </w:r>
    </w:p>
    <w:p w14:paraId="6979860B" w14:textId="0FCC7334" w:rsidR="007B22CB" w:rsidRPr="007B22CB" w:rsidRDefault="007B22CB" w:rsidP="007B22CB">
      <w:pPr>
        <w:jc w:val="center"/>
      </w:pPr>
      <w:r w:rsidRPr="007B22CB">
        <w:drawing>
          <wp:inline distT="0" distB="0" distL="0" distR="0" wp14:anchorId="44F892E2" wp14:editId="1DAA22DA">
            <wp:extent cx="5943600" cy="3584575"/>
            <wp:effectExtent l="0" t="0" r="0" b="0"/>
            <wp:docPr id="9186274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2CFCF2B0" w14:textId="77777777" w:rsidR="007B22CB" w:rsidRP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t>Chính quyền Trump đang cho phép bán các tàu chở dầu thuộc diện trừng phạt cho những nhà đầu tư được phê duyệt. Các nhà đầu tư này sẽ sửa chữa, nâng cấp tàu và đưa chúng trở lại hoạt động vận chuyển dầu thô hợp pháp. Bộ trưởng Năng lượng Mỹ Chris Wright tiết lộ thông tin này hôm qua, trong bối cảnh Washington đang tìm cách kiềm chế chi phí vận tải biển tăng vọt do cuộc khủng hoảng tại eo biển Hormuz.</w:t>
      </w:r>
    </w:p>
    <w:p w14:paraId="666CE5C5" w14:textId="1A6D49C4" w:rsidR="007B22CB" w:rsidRP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t>Phát biểu tại một sự kiện do Citadel Securities tổ chức ở New York, ông Wright cho biết chính phủ đang xây dựng quy trình phê duyệt để những tàu từng nằm trong danh sách đen có thể hoạt động dưới quyền sở hữu của các chủ tàu được công nhận, với điều kiện chỉ vận chuyển dầu không thuộc diện trừng phạt.</w:t>
      </w:r>
      <w:r>
        <w:rPr>
          <w:rFonts w:ascii="Times New Roman" w:hAnsi="Times New Roman" w:cs="Times New Roman"/>
          <w:sz w:val="26"/>
          <w:szCs w:val="26"/>
        </w:rPr>
        <w:t xml:space="preserve"> </w:t>
      </w:r>
      <w:r w:rsidRPr="007B22CB">
        <w:rPr>
          <w:rFonts w:ascii="Times New Roman" w:hAnsi="Times New Roman" w:cs="Times New Roman"/>
          <w:i/>
          <w:iCs/>
          <w:sz w:val="26"/>
          <w:szCs w:val="26"/>
        </w:rPr>
        <w:t>“Chúng ta sẽ chuyển một số tàu từ cái mà tôi gọi là ‘đội tàu của phe xấu’ sang ‘đội tàu của phe tốt’”,</w:t>
      </w:r>
      <w:r w:rsidRPr="007B22CB">
        <w:rPr>
          <w:rFonts w:ascii="Times New Roman" w:hAnsi="Times New Roman" w:cs="Times New Roman"/>
          <w:sz w:val="26"/>
          <w:szCs w:val="26"/>
        </w:rPr>
        <w:t xml:space="preserve"> ông nói.</w:t>
      </w:r>
    </w:p>
    <w:p w14:paraId="7AB7A562" w14:textId="7C360E82" w:rsidR="007B22CB" w:rsidRP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t xml:space="preserve">Ông Wright nhấn mạnh rằng động thái này không đồng nghĩa với việc dỡ bỏ toàn bộ các biện pháp trừng phạt đối với dầu mỏ </w:t>
      </w:r>
      <w:r>
        <w:rPr>
          <w:rFonts w:ascii="Times New Roman" w:hAnsi="Times New Roman" w:cs="Times New Roman"/>
          <w:sz w:val="26"/>
          <w:szCs w:val="26"/>
        </w:rPr>
        <w:t xml:space="preserve">của </w:t>
      </w:r>
      <w:r w:rsidRPr="007B22CB">
        <w:rPr>
          <w:rFonts w:ascii="Times New Roman" w:hAnsi="Times New Roman" w:cs="Times New Roman"/>
          <w:sz w:val="26"/>
          <w:szCs w:val="26"/>
        </w:rPr>
        <w:t xml:space="preserve">Iran hoặc </w:t>
      </w:r>
      <w:r>
        <w:rPr>
          <w:rFonts w:ascii="Times New Roman" w:hAnsi="Times New Roman" w:cs="Times New Roman"/>
          <w:sz w:val="26"/>
          <w:szCs w:val="26"/>
        </w:rPr>
        <w:t xml:space="preserve">của </w:t>
      </w:r>
      <w:r w:rsidRPr="007B22CB">
        <w:rPr>
          <w:rFonts w:ascii="Times New Roman" w:hAnsi="Times New Roman" w:cs="Times New Roman"/>
          <w:sz w:val="26"/>
          <w:szCs w:val="26"/>
        </w:rPr>
        <w:t xml:space="preserve">Nga. Thay vào đó, ông mô tả đây là quá trình chuyển đổi các con tàu thành những tài sản hợp pháp. Ông ước tính đội tàu </w:t>
      </w:r>
      <w:r>
        <w:rPr>
          <w:rFonts w:ascii="Times New Roman" w:hAnsi="Times New Roman" w:cs="Times New Roman"/>
          <w:sz w:val="26"/>
          <w:szCs w:val="26"/>
        </w:rPr>
        <w:t>bóng tối</w:t>
      </w:r>
      <w:r w:rsidRPr="007B22CB">
        <w:rPr>
          <w:rFonts w:ascii="Times New Roman" w:hAnsi="Times New Roman" w:cs="Times New Roman"/>
          <w:sz w:val="26"/>
          <w:szCs w:val="26"/>
        </w:rPr>
        <w:t xml:space="preserve"> toàn cầu có khoảng 1.600 tàu chở dầu và cho rằng cuối cùng có thể có “hàng chục”, thậm chí “hàng trăm” tàu quay trở lại hoạt động thương mại tuân thủ các quy định.</w:t>
      </w:r>
    </w:p>
    <w:p w14:paraId="7250933D" w14:textId="77777777" w:rsidR="007B22CB" w:rsidRP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t>Hiệp hội chủ tàu chở dầu INTERTANKO đã phản đối mạnh mẽ kế hoạch này, cảnh báo rằng việc hợp pháp hóa một con tàu không tự động giải quyết được các vấn đề về tình trạng kỹ thuật, quyền sở hữu hoặc bảo hiểm của tàu.</w:t>
      </w:r>
    </w:p>
    <w:p w14:paraId="182D8812" w14:textId="2B06E20A" w:rsidR="007B22CB" w:rsidRPr="007B22CB" w:rsidRDefault="007B22CB" w:rsidP="007B22CB">
      <w:pPr>
        <w:spacing w:before="120" w:after="120"/>
        <w:jc w:val="both"/>
        <w:rPr>
          <w:rFonts w:ascii="Times New Roman" w:hAnsi="Times New Roman" w:cs="Times New Roman"/>
          <w:color w:val="EE0000"/>
          <w:sz w:val="26"/>
          <w:szCs w:val="26"/>
        </w:rPr>
      </w:pPr>
      <w:r w:rsidRPr="007B22CB">
        <w:rPr>
          <w:rFonts w:ascii="Times New Roman" w:hAnsi="Times New Roman" w:cs="Times New Roman"/>
          <w:sz w:val="26"/>
          <w:szCs w:val="26"/>
        </w:rPr>
        <w:lastRenderedPageBreak/>
        <w:t xml:space="preserve">Hiệp hội </w:t>
      </w:r>
      <w:r>
        <w:rPr>
          <w:rFonts w:ascii="Times New Roman" w:hAnsi="Times New Roman" w:cs="Times New Roman"/>
          <w:sz w:val="26"/>
          <w:szCs w:val="26"/>
        </w:rPr>
        <w:t xml:space="preserve">này </w:t>
      </w:r>
      <w:r w:rsidRPr="007B22CB">
        <w:rPr>
          <w:rFonts w:ascii="Times New Roman" w:hAnsi="Times New Roman" w:cs="Times New Roman"/>
          <w:sz w:val="26"/>
          <w:szCs w:val="26"/>
        </w:rPr>
        <w:t>tuyên bố</w:t>
      </w:r>
      <w:r w:rsidRPr="007B22CB">
        <w:rPr>
          <w:rFonts w:ascii="Times New Roman" w:hAnsi="Times New Roman" w:cs="Times New Roman"/>
          <w:color w:val="EE0000"/>
          <w:sz w:val="26"/>
          <w:szCs w:val="26"/>
        </w:rPr>
        <w:t>: “Nếu cần bổ sung năng lực vận tải dầu bằng tàu chở dầu</w:t>
      </w:r>
      <w:r>
        <w:rPr>
          <w:rFonts w:ascii="Times New Roman" w:hAnsi="Times New Roman" w:cs="Times New Roman"/>
          <w:color w:val="EE0000"/>
          <w:sz w:val="26"/>
          <w:szCs w:val="26"/>
        </w:rPr>
        <w:t xml:space="preserve"> thì</w:t>
      </w:r>
      <w:r w:rsidRPr="007B22CB">
        <w:rPr>
          <w:rFonts w:ascii="Times New Roman" w:hAnsi="Times New Roman" w:cs="Times New Roman"/>
          <w:color w:val="EE0000"/>
          <w:sz w:val="26"/>
          <w:szCs w:val="26"/>
        </w:rPr>
        <w:t xml:space="preserve"> các chính sách nên khuyến khích hàng hóa được vận chuyển bằng đội tàu có chất lượng và tuân thủ đầy đủ các quy định.”</w:t>
      </w:r>
    </w:p>
    <w:p w14:paraId="25C9C639" w14:textId="77777777" w:rsidR="007B22CB" w:rsidRP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t>INTERTANKO cảnh báo rằng các thỏa thuận bảo hiểm thiếu minh bạch, hoạt động giám sát yếu kém và hồ sơ kiểm tra tàu không đầy đủ sẽ tạo ra rủi ro đối với thuyền viên, môi trường và các quốc gia ven biển. Đồng thời, kế hoạch này có thể gửi đi một tín hiệu sai lệch tới những chủ tàu đã đầu tư đáng kể vào an toàn và tuân thủ quy định.</w:t>
      </w:r>
    </w:p>
    <w:p w14:paraId="7AC13D62" w14:textId="1E2484C3" w:rsidR="007B22CB" w:rsidRP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t>Các nhà phân tích thị trường cũng hoài nghi về khả năng sáng kiến này có thể giúp giảm đáng kể mức cước vận tải biển đang tăng đột biến.</w:t>
      </w:r>
      <w:r>
        <w:rPr>
          <w:rFonts w:ascii="Times New Roman" w:hAnsi="Times New Roman" w:cs="Times New Roman"/>
          <w:sz w:val="26"/>
          <w:szCs w:val="26"/>
        </w:rPr>
        <w:t xml:space="preserve"> </w:t>
      </w:r>
      <w:r w:rsidRPr="007B22CB">
        <w:rPr>
          <w:rFonts w:ascii="Times New Roman" w:hAnsi="Times New Roman" w:cs="Times New Roman"/>
          <w:sz w:val="26"/>
          <w:szCs w:val="26"/>
        </w:rPr>
        <w:t xml:space="preserve">Theo ước tính của Kpler, trong khoảng 160 tàu chở dầu thô cỡ VLCC bị Văn phòng Kiểm soát Tài sản Nước ngoài của Mỹ (OFAC) áp đặt lệnh trừng phạt, chỉ có 24 tàu có khả năng thực tế quay trở lại hoạt động thương mại thông thường </w:t>
      </w:r>
      <w:r>
        <w:rPr>
          <w:rFonts w:ascii="Times New Roman" w:hAnsi="Times New Roman" w:cs="Times New Roman"/>
          <w:sz w:val="26"/>
          <w:szCs w:val="26"/>
        </w:rPr>
        <w:t xml:space="preserve">được </w:t>
      </w:r>
      <w:r w:rsidRPr="007B22CB">
        <w:rPr>
          <w:rFonts w:ascii="Times New Roman" w:hAnsi="Times New Roman" w:cs="Times New Roman"/>
          <w:sz w:val="26"/>
          <w:szCs w:val="26"/>
        </w:rPr>
        <w:t>sau khi tính đến các hạn chế về quyền sở hữu và tuổi tàu. Hôm qua, Kpler lập luận rằng rủi ro chiến tranh tại khu vực Vịnh Trung Đông, chứ không đơn thuần là số lượng tàu, mới là yếu tố đẩy chi phí vận tải lên cao. Theo công ty này, việc nới lỏng trừng phạt có thể làm suy yếu đòn bẩy địa chính trị mà không mang lại sự giảm nhẹ đáng kể cho thị trường.</w:t>
      </w:r>
    </w:p>
    <w:p w14:paraId="1D219D97" w14:textId="1E364515" w:rsidR="007B22CB" w:rsidRP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t>Braemar đưa ra con số tiềm năng còn thấp hơn, chỉ 19 tàu VLCC, sau khi loại trừ các tàu có liên quan đến những biện pháp trừng phạt của Iran và châu Âu.</w:t>
      </w:r>
      <w:r>
        <w:rPr>
          <w:rFonts w:ascii="Times New Roman" w:hAnsi="Times New Roman" w:cs="Times New Roman"/>
          <w:sz w:val="26"/>
          <w:szCs w:val="26"/>
        </w:rPr>
        <w:t xml:space="preserve"> Ông</w:t>
      </w:r>
      <w:r w:rsidRPr="007B22CB">
        <w:rPr>
          <w:rFonts w:ascii="Times New Roman" w:hAnsi="Times New Roman" w:cs="Times New Roman"/>
          <w:sz w:val="26"/>
          <w:szCs w:val="26"/>
        </w:rPr>
        <w:t xml:space="preserve"> nhấn mạnh rằng mọi tác động lâu dài đều phụ thuộc vào lưu lượng tàu và hàng hóa qua eo biển Hormuz, cũng như thời gian Washington duy trì cơ chế phê duyệt này.</w:t>
      </w:r>
    </w:p>
    <w:p w14:paraId="2DA77070" w14:textId="464D05C8" w:rsidR="007B22CB" w:rsidRP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t xml:space="preserve">Phương pháp sàng lọc của Arrow Research xác định </w:t>
      </w:r>
      <w:r>
        <w:rPr>
          <w:rFonts w:ascii="Times New Roman" w:hAnsi="Times New Roman" w:cs="Times New Roman"/>
          <w:sz w:val="26"/>
          <w:szCs w:val="26"/>
        </w:rPr>
        <w:t xml:space="preserve">có </w:t>
      </w:r>
      <w:r w:rsidRPr="007B22CB">
        <w:rPr>
          <w:rFonts w:ascii="Times New Roman" w:hAnsi="Times New Roman" w:cs="Times New Roman"/>
          <w:sz w:val="26"/>
          <w:szCs w:val="26"/>
        </w:rPr>
        <w:t xml:space="preserve">tối đa </w:t>
      </w:r>
      <w:r>
        <w:rPr>
          <w:rFonts w:ascii="Times New Roman" w:hAnsi="Times New Roman" w:cs="Times New Roman"/>
          <w:sz w:val="26"/>
          <w:szCs w:val="26"/>
        </w:rPr>
        <w:t xml:space="preserve">là </w:t>
      </w:r>
      <w:r w:rsidRPr="007B22CB">
        <w:rPr>
          <w:rFonts w:ascii="Times New Roman" w:hAnsi="Times New Roman" w:cs="Times New Roman"/>
          <w:sz w:val="26"/>
          <w:szCs w:val="26"/>
        </w:rPr>
        <w:t>22 tàu chở dầu đủ điều kiện thuộc tất cả các nhóm kích cỡ, trong đó có 14 tàu VLCC và không có tàu nào thuộc nhóm Suezmax hoặc Aframax.</w:t>
      </w:r>
    </w:p>
    <w:p w14:paraId="0B915694" w14:textId="77777777" w:rsidR="007B22CB" w:rsidRP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t>Arrow nhận định rủi ro cước vận tải tiếp tục tăng vẫn hiện hữu. Thị trường mạnh có thể kéo dài đến hết quý I năm 2027, khi các hoạt động vận chuyển dầu theo tuyến trung chuyển, chuyển tải dầu từ tàu sang tàu và những rủi ro an ninh tiếp tục khiến một phần năng lực đội tàu bị giữ lại, không thể tự do tham gia thị trường.</w:t>
      </w:r>
    </w:p>
    <w:p w14:paraId="61B30FBB" w14:textId="37907C21" w:rsidR="007B22CB" w:rsidRP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t>Trong khi đó, BRS xác định có 148 tàu chở dầu hoạt động trên các tuyến biển xa bị riêng Mỹ áp đặt lệnh trừng phạt, tương đương</w:t>
      </w:r>
      <w:r>
        <w:rPr>
          <w:rFonts w:ascii="Times New Roman" w:hAnsi="Times New Roman" w:cs="Times New Roman"/>
          <w:sz w:val="26"/>
          <w:szCs w:val="26"/>
        </w:rPr>
        <w:t xml:space="preserve"> với</w:t>
      </w:r>
      <w:r w:rsidRPr="007B22CB">
        <w:rPr>
          <w:rFonts w:ascii="Times New Roman" w:hAnsi="Times New Roman" w:cs="Times New Roman"/>
          <w:sz w:val="26"/>
          <w:szCs w:val="26"/>
        </w:rPr>
        <w:t xml:space="preserve"> chỉ 2,5% tổng đội tàu chở dầu biển xa toàn cầu. Chỉ có 14 tàu dường như đã ngừng hoạt động hơn ba tháng. Phần lớn số tàu còn lại hiện vẫn đang hoạt động trong các giao dịch thương mại thuộc vùng xám. Tuy nhiên, các hạn chế của Anh và Liên minh châu Âu có thể ngăn cản những tàu này tiếp cận bảo hiểm thiết yếu và các dịch vụ hàng hải khác.</w:t>
      </w:r>
    </w:p>
    <w:p w14:paraId="2D6F59F8" w14:textId="77777777" w:rsidR="007B22CB" w:rsidRP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t>BRS khẳng định sáng kiến của Washington khó có thể tạo ra tác động đáng kể ngay lập tức đối với cước vận tải biển, bởi phần lớn số tàu có khả năng đủ điều kiện đã được đưa vào khai thác. Trong khi đó, những hạn chế cơ bản đối với hoạt động vận chuyển tàu chở dầu qua eo biển Hormuz vẫn chưa được giải quyết.</w:t>
      </w:r>
    </w:p>
    <w:p w14:paraId="23DB3B30" w14:textId="3083F606" w:rsidR="007B22CB" w:rsidRDefault="007B22CB" w:rsidP="007B22CB">
      <w:pPr>
        <w:spacing w:before="120" w:after="120"/>
        <w:jc w:val="both"/>
        <w:rPr>
          <w:rFonts w:ascii="Times New Roman" w:hAnsi="Times New Roman" w:cs="Times New Roman"/>
          <w:sz w:val="26"/>
          <w:szCs w:val="26"/>
        </w:rPr>
      </w:pPr>
      <w:r w:rsidRPr="007B22CB">
        <w:rPr>
          <w:rFonts w:ascii="Times New Roman" w:hAnsi="Times New Roman" w:cs="Times New Roman"/>
          <w:sz w:val="26"/>
          <w:szCs w:val="26"/>
        </w:rPr>
        <w:lastRenderedPageBreak/>
        <w:t xml:space="preserve">Động thái đối với đội tàu </w:t>
      </w:r>
      <w:r>
        <w:rPr>
          <w:rFonts w:ascii="Times New Roman" w:hAnsi="Times New Roman" w:cs="Times New Roman"/>
          <w:sz w:val="26"/>
          <w:szCs w:val="26"/>
        </w:rPr>
        <w:t>bóng tối</w:t>
      </w:r>
      <w:r w:rsidRPr="007B22CB">
        <w:rPr>
          <w:rFonts w:ascii="Times New Roman" w:hAnsi="Times New Roman" w:cs="Times New Roman"/>
          <w:sz w:val="26"/>
          <w:szCs w:val="26"/>
        </w:rPr>
        <w:t xml:space="preserve"> diễn ra sau quyết định của Washington hồi đầu tháng này về việc tạm thời cho phép giao dịch dầu diesel của Nga đến ngày 7/4/2027. Quyết định đó đã vấp phải sự chỉ trích từ Kyiv và các nhà lập pháp Mỹ.</w:t>
      </w:r>
    </w:p>
    <w:p w14:paraId="63F17D94" w14:textId="3DC006A2" w:rsidR="00C13E10" w:rsidRPr="007B22CB" w:rsidRDefault="007B22CB" w:rsidP="007B22CB">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7B22CB" w:rsidSect="007B22CB">
      <w:pgSz w:w="12240" w:h="15840"/>
      <w:pgMar w:top="1080" w:right="99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2CB"/>
    <w:rsid w:val="000501D0"/>
    <w:rsid w:val="002D41EE"/>
    <w:rsid w:val="007B22CB"/>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6056C"/>
  <w15:chartTrackingRefBased/>
  <w15:docId w15:val="{F833EE4E-8F06-4A22-AFE2-0B74A9DC1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22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2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2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2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2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2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2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2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2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2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2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2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2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2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2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2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2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2CB"/>
    <w:rPr>
      <w:rFonts w:eastAsiaTheme="majorEastAsia" w:cstheme="majorBidi"/>
      <w:color w:val="272727" w:themeColor="text1" w:themeTint="D8"/>
    </w:rPr>
  </w:style>
  <w:style w:type="paragraph" w:styleId="Title">
    <w:name w:val="Title"/>
    <w:basedOn w:val="Normal"/>
    <w:next w:val="Normal"/>
    <w:link w:val="TitleChar"/>
    <w:uiPriority w:val="10"/>
    <w:qFormat/>
    <w:rsid w:val="007B2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2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2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2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2CB"/>
    <w:pPr>
      <w:spacing w:before="160"/>
      <w:jc w:val="center"/>
    </w:pPr>
    <w:rPr>
      <w:i/>
      <w:iCs/>
      <w:color w:val="404040" w:themeColor="text1" w:themeTint="BF"/>
    </w:rPr>
  </w:style>
  <w:style w:type="character" w:customStyle="1" w:styleId="QuoteChar">
    <w:name w:val="Quote Char"/>
    <w:basedOn w:val="DefaultParagraphFont"/>
    <w:link w:val="Quote"/>
    <w:uiPriority w:val="29"/>
    <w:rsid w:val="007B22CB"/>
    <w:rPr>
      <w:i/>
      <w:iCs/>
      <w:color w:val="404040" w:themeColor="text1" w:themeTint="BF"/>
    </w:rPr>
  </w:style>
  <w:style w:type="paragraph" w:styleId="ListParagraph">
    <w:name w:val="List Paragraph"/>
    <w:basedOn w:val="Normal"/>
    <w:uiPriority w:val="34"/>
    <w:qFormat/>
    <w:rsid w:val="007B22CB"/>
    <w:pPr>
      <w:ind w:left="720"/>
      <w:contextualSpacing/>
    </w:pPr>
  </w:style>
  <w:style w:type="character" w:styleId="IntenseEmphasis">
    <w:name w:val="Intense Emphasis"/>
    <w:basedOn w:val="DefaultParagraphFont"/>
    <w:uiPriority w:val="21"/>
    <w:qFormat/>
    <w:rsid w:val="007B22CB"/>
    <w:rPr>
      <w:i/>
      <w:iCs/>
      <w:color w:val="0F4761" w:themeColor="accent1" w:themeShade="BF"/>
    </w:rPr>
  </w:style>
  <w:style w:type="paragraph" w:styleId="IntenseQuote">
    <w:name w:val="Intense Quote"/>
    <w:basedOn w:val="Normal"/>
    <w:next w:val="Normal"/>
    <w:link w:val="IntenseQuoteChar"/>
    <w:uiPriority w:val="30"/>
    <w:qFormat/>
    <w:rsid w:val="007B22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2CB"/>
    <w:rPr>
      <w:i/>
      <w:iCs/>
      <w:color w:val="0F4761" w:themeColor="accent1" w:themeShade="BF"/>
    </w:rPr>
  </w:style>
  <w:style w:type="character" w:styleId="IntenseReference">
    <w:name w:val="Intense Reference"/>
    <w:basedOn w:val="DefaultParagraphFont"/>
    <w:uiPriority w:val="32"/>
    <w:qFormat/>
    <w:rsid w:val="007B22CB"/>
    <w:rPr>
      <w:b/>
      <w:bCs/>
      <w:smallCaps/>
      <w:color w:val="0F4761" w:themeColor="accent1" w:themeShade="BF"/>
      <w:spacing w:val="5"/>
    </w:rPr>
  </w:style>
  <w:style w:type="character" w:styleId="Hyperlink">
    <w:name w:val="Hyperlink"/>
    <w:basedOn w:val="DefaultParagraphFont"/>
    <w:uiPriority w:val="99"/>
    <w:unhideWhenUsed/>
    <w:rsid w:val="007B22CB"/>
    <w:rPr>
      <w:color w:val="467886" w:themeColor="hyperlink"/>
      <w:u w:val="single"/>
    </w:rPr>
  </w:style>
  <w:style w:type="character" w:styleId="UnresolvedMention">
    <w:name w:val="Unresolved Mention"/>
    <w:basedOn w:val="DefaultParagraphFont"/>
    <w:uiPriority w:val="99"/>
    <w:semiHidden/>
    <w:unhideWhenUsed/>
    <w:rsid w:val="007B22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s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709</Words>
  <Characters>4045</Characters>
  <Application>Microsoft Office Word</Application>
  <DocSecurity>0</DocSecurity>
  <Lines>33</Lines>
  <Paragraphs>9</Paragraphs>
  <ScaleCrop>false</ScaleCrop>
  <Company>HP</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2026-10-21T00:28:00Z</dcterms:created>
  <dcterms:modified xsi:type="dcterms:W3CDTF">2026-10-21T00:39:00Z</dcterms:modified>
</cp:coreProperties>
</file>