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36DC2" w14:textId="6360489F" w:rsidR="00A64919" w:rsidRPr="00A64919" w:rsidRDefault="00A64919" w:rsidP="00A64919">
      <w:pPr>
        <w:spacing w:line="240" w:lineRule="auto"/>
        <w:jc w:val="center"/>
        <w:rPr>
          <w:rFonts w:ascii="Times New Roman" w:hAnsi="Times New Roman" w:cs="Times New Roman"/>
          <w:b/>
          <w:bCs/>
          <w:sz w:val="40"/>
          <w:szCs w:val="40"/>
        </w:rPr>
      </w:pPr>
      <w:r w:rsidRPr="00A64919">
        <w:rPr>
          <w:rFonts w:ascii="Times New Roman" w:hAnsi="Times New Roman" w:cs="Times New Roman"/>
          <w:b/>
          <w:bCs/>
          <w:sz w:val="40"/>
          <w:szCs w:val="40"/>
        </w:rPr>
        <w:t>Các công đoàn kêu gọi tăng cường bảo vệ thuyền viên sau 20 năm Công ước Lao động Hàng hải (MLC) được thông qua</w:t>
      </w:r>
    </w:p>
    <w:p w14:paraId="24147C05" w14:textId="5F6C7C14" w:rsidR="00A64919" w:rsidRPr="00A64919" w:rsidRDefault="00A64919" w:rsidP="00A64919">
      <w:pPr>
        <w:jc w:val="right"/>
      </w:pPr>
      <w:hyperlink r:id="rId4" w:history="1">
        <w:r w:rsidRPr="00A64919">
          <w:rPr>
            <w:rStyle w:val="Hyperlink"/>
          </w:rPr>
          <w:t>Seafarers</w:t>
        </w:r>
      </w:hyperlink>
    </w:p>
    <w:p w14:paraId="40E68031" w14:textId="28E86FFD" w:rsidR="00A64919" w:rsidRPr="00A64919" w:rsidRDefault="00A64919" w:rsidP="00A64919">
      <w:pPr>
        <w:jc w:val="center"/>
      </w:pPr>
      <w:r w:rsidRPr="00A64919">
        <w:drawing>
          <wp:inline distT="0" distB="0" distL="0" distR="0" wp14:anchorId="5DF6143E" wp14:editId="557C9EE4">
            <wp:extent cx="5943600" cy="2974975"/>
            <wp:effectExtent l="0" t="0" r="0" b="0"/>
            <wp:docPr id="1077550977" name="Picture 2" descr="Credit: I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IT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54FE96D7" w14:textId="22B5C69E"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 xml:space="preserve">Các tổ chức công đoàn đã kêu gọi tăng cường thực thi Công ước Lao động Hàng hải (MLC), </w:t>
      </w:r>
      <w:r>
        <w:rPr>
          <w:rFonts w:ascii="Times New Roman" w:hAnsi="Times New Roman" w:cs="Times New Roman"/>
          <w:sz w:val="26"/>
          <w:szCs w:val="26"/>
        </w:rPr>
        <w:t>khắc phục</w:t>
      </w:r>
      <w:r w:rsidRPr="00A64919">
        <w:rPr>
          <w:rFonts w:ascii="Times New Roman" w:hAnsi="Times New Roman" w:cs="Times New Roman"/>
          <w:sz w:val="26"/>
          <w:szCs w:val="26"/>
        </w:rPr>
        <w:t xml:space="preserve"> tình trạng làm việc quá giờ và cải thiện phúc lợi </w:t>
      </w:r>
      <w:r>
        <w:rPr>
          <w:rFonts w:ascii="Times New Roman" w:hAnsi="Times New Roman" w:cs="Times New Roman"/>
          <w:sz w:val="26"/>
          <w:szCs w:val="26"/>
        </w:rPr>
        <w:t xml:space="preserve">cho </w:t>
      </w:r>
      <w:r w:rsidRPr="00A64919">
        <w:rPr>
          <w:rFonts w:ascii="Times New Roman" w:hAnsi="Times New Roman" w:cs="Times New Roman"/>
          <w:sz w:val="26"/>
          <w:szCs w:val="26"/>
        </w:rPr>
        <w:t>thuyền viên. Lời kêu gọi được đưa ra khi các bên liên quan trong ngành hàng hải tập trung tại Athens vào ngày 18 tháng 9 để kỷ niệm 20 năm ngày Công ước được thông qua.</w:t>
      </w:r>
    </w:p>
    <w:p w14:paraId="45ED962A" w14:textId="093683E1"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 xml:space="preserve">Hội nghị chuyên đề do Liên đoàn Thủy thủ toàn Hy Lạp (PNO) và Liên đoàn Công nhân Giao thông, Dầu khí và Nông nghiệp (OMEPEGE/FTPAW-SEK) tổ chức, quy tụ các tổ chức công đoàn, </w:t>
      </w:r>
      <w:r>
        <w:rPr>
          <w:rFonts w:ascii="Times New Roman" w:hAnsi="Times New Roman" w:cs="Times New Roman"/>
          <w:sz w:val="26"/>
          <w:szCs w:val="26"/>
        </w:rPr>
        <w:t xml:space="preserve">đại diện </w:t>
      </w:r>
      <w:r w:rsidRPr="00A64919">
        <w:rPr>
          <w:rFonts w:ascii="Times New Roman" w:hAnsi="Times New Roman" w:cs="Times New Roman"/>
          <w:sz w:val="26"/>
          <w:szCs w:val="26"/>
        </w:rPr>
        <w:t>chính phủ, cơ quan quốc tế và chủ tàu nhằm đánh giá những thành tựu của Công ước và xác định các lĩnh vực cần tiếp tục hành động.</w:t>
      </w:r>
    </w:p>
    <w:p w14:paraId="46A69DDA"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Được thông qua năm 2006, MLC được xem rộng rãi là trụ cột thứ tư của hệ thống quy định hàng hải quốc tế, bên cạnh SOLAS, MARPOL và STCW. Công ước thiết lập các tiêu chuẩn tối thiểu quốc tế về điều kiện làm việc và sinh hoạt của thuyền viên, tiền lương, hồi hương, chăm sóc y tế và những quyền cơ bản khác.</w:t>
      </w:r>
    </w:p>
    <w:p w14:paraId="010290D0" w14:textId="64FDAB74" w:rsid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 xml:space="preserve">Tuy nhiên, Liên đoàn Công nhân Giao thông vận tải châu Âu (ETF) cảnh báo rằng việc triển khai và thực thi không đồng nhất giữa các quốc gia </w:t>
      </w:r>
      <w:r>
        <w:rPr>
          <w:rFonts w:ascii="Times New Roman" w:hAnsi="Times New Roman" w:cs="Times New Roman"/>
          <w:sz w:val="26"/>
          <w:szCs w:val="26"/>
        </w:rPr>
        <w:t>tàu mang</w:t>
      </w:r>
      <w:r w:rsidRPr="00A64919">
        <w:rPr>
          <w:rFonts w:ascii="Times New Roman" w:hAnsi="Times New Roman" w:cs="Times New Roman"/>
          <w:sz w:val="26"/>
          <w:szCs w:val="26"/>
        </w:rPr>
        <w:t xml:space="preserve"> cờ và quốc gia có cảng tiếp tục làm suy yếu khả năng bảo vệ thuyền viên cũng như </w:t>
      </w:r>
      <w:r>
        <w:rPr>
          <w:rFonts w:ascii="Times New Roman" w:hAnsi="Times New Roman" w:cs="Times New Roman"/>
          <w:sz w:val="26"/>
          <w:szCs w:val="26"/>
        </w:rPr>
        <w:t xml:space="preserve">sự </w:t>
      </w:r>
      <w:r w:rsidRPr="00A64919">
        <w:rPr>
          <w:rFonts w:ascii="Times New Roman" w:hAnsi="Times New Roman" w:cs="Times New Roman"/>
          <w:sz w:val="26"/>
          <w:szCs w:val="26"/>
        </w:rPr>
        <w:t>cạnh tranh công bằng trong ngành hàng hải.</w:t>
      </w:r>
    </w:p>
    <w:p w14:paraId="19F839BF" w14:textId="77777777" w:rsidR="00A64919" w:rsidRPr="00A64919" w:rsidRDefault="00A64919" w:rsidP="00A64919">
      <w:pPr>
        <w:spacing w:before="120" w:after="120"/>
        <w:jc w:val="both"/>
        <w:rPr>
          <w:rFonts w:ascii="Times New Roman" w:hAnsi="Times New Roman" w:cs="Times New Roman"/>
          <w:sz w:val="26"/>
          <w:szCs w:val="26"/>
        </w:rPr>
      </w:pPr>
    </w:p>
    <w:p w14:paraId="5A7A1C28" w14:textId="7B5BE350" w:rsidR="00A64919" w:rsidRPr="00A64919" w:rsidRDefault="00A64919" w:rsidP="00A64919">
      <w:pPr>
        <w:spacing w:before="120" w:after="120"/>
        <w:jc w:val="both"/>
        <w:rPr>
          <w:rFonts w:ascii="Times New Roman" w:hAnsi="Times New Roman" w:cs="Times New Roman"/>
          <w:b/>
          <w:bCs/>
          <w:sz w:val="26"/>
          <w:szCs w:val="26"/>
        </w:rPr>
      </w:pPr>
      <w:r>
        <w:rPr>
          <w:rFonts w:ascii="Times New Roman" w:hAnsi="Times New Roman" w:cs="Times New Roman"/>
          <w:b/>
          <w:bCs/>
          <w:sz w:val="26"/>
          <w:szCs w:val="26"/>
        </w:rPr>
        <w:lastRenderedPageBreak/>
        <w:t>Số</w:t>
      </w:r>
      <w:r w:rsidRPr="00A64919">
        <w:rPr>
          <w:rFonts w:ascii="Times New Roman" w:hAnsi="Times New Roman" w:cs="Times New Roman"/>
          <w:b/>
          <w:bCs/>
          <w:sz w:val="26"/>
          <w:szCs w:val="26"/>
        </w:rPr>
        <w:t xml:space="preserve"> giờ làm việc quá mức làm dấy lên lo ngại về an toàn</w:t>
      </w:r>
    </w:p>
    <w:p w14:paraId="51A3ACBE" w14:textId="16DEB99E" w:rsidR="00A64919" w:rsidRPr="00A64919" w:rsidRDefault="00A64919" w:rsidP="00A64919">
      <w:pPr>
        <w:spacing w:before="120" w:after="120"/>
        <w:jc w:val="both"/>
        <w:rPr>
          <w:rFonts w:ascii="Times New Roman" w:hAnsi="Times New Roman" w:cs="Times New Roman"/>
          <w:sz w:val="26"/>
          <w:szCs w:val="26"/>
        </w:rPr>
      </w:pPr>
      <w:r>
        <w:rPr>
          <w:rFonts w:ascii="Times New Roman" w:hAnsi="Times New Roman" w:cs="Times New Roman"/>
          <w:sz w:val="26"/>
          <w:szCs w:val="26"/>
        </w:rPr>
        <w:t>Số</w:t>
      </w:r>
      <w:r w:rsidRPr="00A64919">
        <w:rPr>
          <w:rFonts w:ascii="Times New Roman" w:hAnsi="Times New Roman" w:cs="Times New Roman"/>
          <w:sz w:val="26"/>
          <w:szCs w:val="26"/>
        </w:rPr>
        <w:t xml:space="preserve"> giờ làm việc </w:t>
      </w:r>
      <w:r>
        <w:rPr>
          <w:rFonts w:ascii="Times New Roman" w:hAnsi="Times New Roman" w:cs="Times New Roman"/>
          <w:sz w:val="26"/>
          <w:szCs w:val="26"/>
        </w:rPr>
        <w:t xml:space="preserve">nhiều </w:t>
      </w:r>
      <w:r w:rsidRPr="00A64919">
        <w:rPr>
          <w:rFonts w:ascii="Times New Roman" w:hAnsi="Times New Roman" w:cs="Times New Roman"/>
          <w:sz w:val="26"/>
          <w:szCs w:val="26"/>
        </w:rPr>
        <w:t>và tình trạng mệt mỏi được xác định là những vấn đề ưu tiên cần cải cách hơn nữa.</w:t>
      </w:r>
      <w:r>
        <w:rPr>
          <w:rFonts w:ascii="Times New Roman" w:hAnsi="Times New Roman" w:cs="Times New Roman"/>
          <w:sz w:val="26"/>
          <w:szCs w:val="26"/>
        </w:rPr>
        <w:t xml:space="preserve"> </w:t>
      </w:r>
      <w:r w:rsidRPr="00A64919">
        <w:rPr>
          <w:rFonts w:ascii="Times New Roman" w:hAnsi="Times New Roman" w:cs="Times New Roman"/>
          <w:sz w:val="26"/>
          <w:szCs w:val="26"/>
        </w:rPr>
        <w:t xml:space="preserve">Theo nghiên cứu được đề cập trong một công trình của Đại học Hàng hải Thế giới, do ETF và Liên đoàn Công nhân Giao thông vận tải Quốc tế (ITF) đặt hàng, thuyền viên làm việc trung bình gần 75 giờ mỗi tuần, </w:t>
      </w:r>
      <w:r>
        <w:rPr>
          <w:rFonts w:ascii="Times New Roman" w:hAnsi="Times New Roman" w:cs="Times New Roman"/>
          <w:sz w:val="26"/>
          <w:szCs w:val="26"/>
        </w:rPr>
        <w:t>còn</w:t>
      </w:r>
      <w:r w:rsidRPr="00A64919">
        <w:rPr>
          <w:rFonts w:ascii="Times New Roman" w:hAnsi="Times New Roman" w:cs="Times New Roman"/>
          <w:sz w:val="26"/>
          <w:szCs w:val="26"/>
        </w:rPr>
        <w:t xml:space="preserve"> các quy định hàng hải quốc tế có thể cho phép thời gian làm việc lên tới 91 giờ trong bảy ngày.</w:t>
      </w:r>
    </w:p>
    <w:p w14:paraId="0F26CFEA" w14:textId="4C745F98"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 xml:space="preserve">Tổng thư ký ETF Livia Spera cảnh báo rằng những quy định như vậy cho thấy khoảng cách </w:t>
      </w:r>
      <w:r>
        <w:rPr>
          <w:rFonts w:ascii="Times New Roman" w:hAnsi="Times New Roman" w:cs="Times New Roman"/>
          <w:sz w:val="26"/>
          <w:szCs w:val="26"/>
        </w:rPr>
        <w:t xml:space="preserve">lớn </w:t>
      </w:r>
      <w:r w:rsidRPr="00A64919">
        <w:rPr>
          <w:rFonts w:ascii="Times New Roman" w:hAnsi="Times New Roman" w:cs="Times New Roman"/>
          <w:sz w:val="26"/>
          <w:szCs w:val="26"/>
        </w:rPr>
        <w:t xml:space="preserve">giữa mức độ bảo vệ người lao động hàng hải và các biện pháp bảo vệ dành cho người lao động </w:t>
      </w:r>
      <w:r>
        <w:rPr>
          <w:rFonts w:ascii="Times New Roman" w:hAnsi="Times New Roman" w:cs="Times New Roman"/>
          <w:sz w:val="26"/>
          <w:szCs w:val="26"/>
        </w:rPr>
        <w:t xml:space="preserve">ở </w:t>
      </w:r>
      <w:r w:rsidRPr="00A64919">
        <w:rPr>
          <w:rFonts w:ascii="Times New Roman" w:hAnsi="Times New Roman" w:cs="Times New Roman"/>
          <w:sz w:val="26"/>
          <w:szCs w:val="26"/>
        </w:rPr>
        <w:t>trên bờ.</w:t>
      </w:r>
    </w:p>
    <w:p w14:paraId="5F030425" w14:textId="6E8AE741" w:rsidR="00A64919" w:rsidRPr="00A64919" w:rsidRDefault="00A64919" w:rsidP="00A64919">
      <w:pPr>
        <w:spacing w:before="120" w:after="120"/>
        <w:jc w:val="both"/>
        <w:rPr>
          <w:rFonts w:ascii="Times New Roman" w:hAnsi="Times New Roman" w:cs="Times New Roman"/>
          <w:sz w:val="26"/>
          <w:szCs w:val="26"/>
        </w:rPr>
      </w:pPr>
      <w:r>
        <w:rPr>
          <w:rFonts w:ascii="Times New Roman" w:hAnsi="Times New Roman" w:cs="Times New Roman"/>
          <w:sz w:val="26"/>
          <w:szCs w:val="26"/>
        </w:rPr>
        <w:t>Số</w:t>
      </w:r>
      <w:r w:rsidRPr="00A64919">
        <w:rPr>
          <w:rFonts w:ascii="Times New Roman" w:hAnsi="Times New Roman" w:cs="Times New Roman"/>
          <w:sz w:val="26"/>
          <w:szCs w:val="26"/>
        </w:rPr>
        <w:t xml:space="preserve"> giờ làm việc quá mức không chỉ là vấn đề về quyền lao động mà còn liên quan trực tiếp đến an toàn hàng hải, bởi tình trạng mệt mỏi có thể làm suy giảm khả năng tập trung, năng lực phán đoán và thời gian phản ứng.</w:t>
      </w:r>
    </w:p>
    <w:p w14:paraId="11C2EBDE" w14:textId="34155E93"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 xml:space="preserve">Tổng thư ký PNO, Thuyền trưởng Emmanuel Tsikalakis, cũng nhấn mạnh các vấn đề về </w:t>
      </w:r>
      <w:r w:rsidR="00841033">
        <w:rPr>
          <w:rFonts w:ascii="Times New Roman" w:hAnsi="Times New Roman" w:cs="Times New Roman"/>
          <w:sz w:val="26"/>
          <w:szCs w:val="26"/>
        </w:rPr>
        <w:t>số</w:t>
      </w:r>
      <w:r w:rsidRPr="00A64919">
        <w:rPr>
          <w:rFonts w:ascii="Times New Roman" w:hAnsi="Times New Roman" w:cs="Times New Roman"/>
          <w:sz w:val="26"/>
          <w:szCs w:val="26"/>
        </w:rPr>
        <w:t xml:space="preserve"> giờ làm việc, mệt mỏi và sức khỏe tâm thần. Ông liên hệ những thách thức chưa được giải quyết này với khó khăn trong việc thu hút và giữ chân người trẻ theo nghề đi biển.</w:t>
      </w:r>
    </w:p>
    <w:p w14:paraId="7DDF50C0"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ETF kêu gọi giải quyết tình trạng làm việc quá giờ trong giai đoạn tiếp theo của quá trình hoàn thiện MLC, đồng thời tăng cường các cơ chế thực thi và cải thiện việc bảo vệ quyền lợi thuyền viên.</w:t>
      </w:r>
    </w:p>
    <w:p w14:paraId="7B29E349" w14:textId="77777777" w:rsidR="00A64919" w:rsidRPr="00A64919" w:rsidRDefault="00A64919" w:rsidP="00A64919">
      <w:pPr>
        <w:spacing w:before="120" w:after="120"/>
        <w:jc w:val="both"/>
        <w:rPr>
          <w:rFonts w:ascii="Times New Roman" w:hAnsi="Times New Roman" w:cs="Times New Roman"/>
          <w:b/>
          <w:bCs/>
          <w:sz w:val="26"/>
          <w:szCs w:val="26"/>
        </w:rPr>
      </w:pPr>
      <w:r w:rsidRPr="00A64919">
        <w:rPr>
          <w:rFonts w:ascii="Times New Roman" w:hAnsi="Times New Roman" w:cs="Times New Roman"/>
          <w:b/>
          <w:bCs/>
          <w:sz w:val="26"/>
          <w:szCs w:val="26"/>
        </w:rPr>
        <w:t>Cần tăng cường thực thi Công ước</w:t>
      </w:r>
    </w:p>
    <w:p w14:paraId="11016C5F"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Tổng thư ký OMEPEGE/FTPAW-SEK, Charalambos Avgoustis, kêu gọi triển khai Công ước hiệu quả hơn, nhằm bảo đảm các quyền được quy định trong Công ước thực sự được tôn trọng trong thực tế.</w:t>
      </w:r>
    </w:p>
    <w:p w14:paraId="6E9A1738" w14:textId="0B31D378"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 xml:space="preserve">ETF cũng đề nghị Cơ quan </w:t>
      </w:r>
      <w:proofErr w:type="gramStart"/>
      <w:r w:rsidRPr="00A64919">
        <w:rPr>
          <w:rFonts w:ascii="Times New Roman" w:hAnsi="Times New Roman" w:cs="Times New Roman"/>
          <w:sz w:val="26"/>
          <w:szCs w:val="26"/>
        </w:rPr>
        <w:t>An</w:t>
      </w:r>
      <w:proofErr w:type="gramEnd"/>
      <w:r w:rsidRPr="00A64919">
        <w:rPr>
          <w:rFonts w:ascii="Times New Roman" w:hAnsi="Times New Roman" w:cs="Times New Roman"/>
          <w:sz w:val="26"/>
          <w:szCs w:val="26"/>
        </w:rPr>
        <w:t xml:space="preserve"> toàn Hàng hải châu Âu (EMSA) tăng cường đóng góp vào công tác thực thi, bao gồm việc nâng cao chất lượng và chuẩn hóa công tác đào tạo dành cho thanh tra viên </w:t>
      </w:r>
      <w:r w:rsidR="00841033">
        <w:rPr>
          <w:rFonts w:ascii="Times New Roman" w:hAnsi="Times New Roman" w:cs="Times New Roman"/>
          <w:sz w:val="26"/>
          <w:szCs w:val="26"/>
        </w:rPr>
        <w:t xml:space="preserve">của </w:t>
      </w:r>
      <w:r w:rsidRPr="00A64919">
        <w:rPr>
          <w:rFonts w:ascii="Times New Roman" w:hAnsi="Times New Roman" w:cs="Times New Roman"/>
          <w:sz w:val="26"/>
          <w:szCs w:val="26"/>
        </w:rPr>
        <w:t>nhà nước tại cảng (PSC), đồng thời chú trọng hơn đến việc tuân thủ các yêu cầu của MLC.</w:t>
      </w:r>
      <w:r w:rsidR="00841033">
        <w:rPr>
          <w:rFonts w:ascii="Times New Roman" w:hAnsi="Times New Roman" w:cs="Times New Roman"/>
          <w:sz w:val="26"/>
          <w:szCs w:val="26"/>
        </w:rPr>
        <w:t xml:space="preserve"> </w:t>
      </w:r>
      <w:r w:rsidRPr="00A64919">
        <w:rPr>
          <w:rFonts w:ascii="Times New Roman" w:hAnsi="Times New Roman" w:cs="Times New Roman"/>
          <w:sz w:val="26"/>
          <w:szCs w:val="26"/>
        </w:rPr>
        <w:t>Theo liên đoàn</w:t>
      </w:r>
      <w:r w:rsidR="00841033">
        <w:rPr>
          <w:rFonts w:ascii="Times New Roman" w:hAnsi="Times New Roman" w:cs="Times New Roman"/>
          <w:sz w:val="26"/>
          <w:szCs w:val="26"/>
        </w:rPr>
        <w:t xml:space="preserve"> này</w:t>
      </w:r>
      <w:r w:rsidRPr="00A64919">
        <w:rPr>
          <w:rFonts w:ascii="Times New Roman" w:hAnsi="Times New Roman" w:cs="Times New Roman"/>
          <w:sz w:val="26"/>
          <w:szCs w:val="26"/>
        </w:rPr>
        <w:t xml:space="preserve">, hoạt động kiểm tra hiệu quả đóng vai trò thiết yếu trong việc phát hiện </w:t>
      </w:r>
      <w:r w:rsidR="00841033">
        <w:rPr>
          <w:rFonts w:ascii="Times New Roman" w:hAnsi="Times New Roman" w:cs="Times New Roman"/>
          <w:sz w:val="26"/>
          <w:szCs w:val="26"/>
        </w:rPr>
        <w:t xml:space="preserve">ra </w:t>
      </w:r>
      <w:r w:rsidRPr="00A64919">
        <w:rPr>
          <w:rFonts w:ascii="Times New Roman" w:hAnsi="Times New Roman" w:cs="Times New Roman"/>
          <w:sz w:val="26"/>
          <w:szCs w:val="26"/>
        </w:rPr>
        <w:t xml:space="preserve">các vi phạm liên quan đến </w:t>
      </w:r>
      <w:r w:rsidR="00841033">
        <w:rPr>
          <w:rFonts w:ascii="Times New Roman" w:hAnsi="Times New Roman" w:cs="Times New Roman"/>
          <w:sz w:val="26"/>
          <w:szCs w:val="26"/>
        </w:rPr>
        <w:t>số</w:t>
      </w:r>
      <w:r w:rsidRPr="00A64919">
        <w:rPr>
          <w:rFonts w:ascii="Times New Roman" w:hAnsi="Times New Roman" w:cs="Times New Roman"/>
          <w:sz w:val="26"/>
          <w:szCs w:val="26"/>
        </w:rPr>
        <w:t xml:space="preserve"> giờ làm việc và nghỉ ngơi, tiền lương chưa được thanh toán và những hành vi xâm phạm quyền lợi khác của thuyền viên.</w:t>
      </w:r>
    </w:p>
    <w:p w14:paraId="2879A0AD"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Tổng thư ký ITF Stephen Cotton nhấn mạnh tầm quan trọng của quan hệ đối tác ba bên giữa người lao động, chính phủ và người sử dụng lao động – nền tảng của Công ước. Ông kêu gọi các bên tiếp tục hợp tác để giải quyết những thách thức mới đang xuất hiện trong toàn ngành hàng hải.</w:t>
      </w:r>
    </w:p>
    <w:p w14:paraId="5D15E4E3"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Chiến dịch của ITF về cờ thuận tiện (Flag of Convenience – FOC), các thỏa ước lao động tập thể và mạng lưới thanh tra viên toàn cầu của tổ chức này cũng đã góp phần thu hồi tiền lương chưa được thanh toán và hỗ trợ những thuyền viên bị bỏ rơi, bổ sung cho các cơ chế bảo vệ được thiết lập theo MLC.</w:t>
      </w:r>
    </w:p>
    <w:p w14:paraId="2BFAC2B7" w14:textId="77777777" w:rsidR="00A64919" w:rsidRPr="00A64919" w:rsidRDefault="00A64919" w:rsidP="00A64919">
      <w:pPr>
        <w:spacing w:before="120" w:after="120"/>
        <w:jc w:val="both"/>
        <w:rPr>
          <w:rFonts w:ascii="Times New Roman" w:hAnsi="Times New Roman" w:cs="Times New Roman"/>
          <w:b/>
          <w:bCs/>
          <w:sz w:val="26"/>
          <w:szCs w:val="26"/>
        </w:rPr>
      </w:pPr>
      <w:r w:rsidRPr="00A64919">
        <w:rPr>
          <w:rFonts w:ascii="Times New Roman" w:hAnsi="Times New Roman" w:cs="Times New Roman"/>
          <w:b/>
          <w:bCs/>
          <w:sz w:val="26"/>
          <w:szCs w:val="26"/>
        </w:rPr>
        <w:lastRenderedPageBreak/>
        <w:t>ETF kêu gọi phát triển ngành vận tải biển châu Âu theo hướng bền vững về mặt xã hội</w:t>
      </w:r>
    </w:p>
    <w:p w14:paraId="4E0CAFAF"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Các cuộc thảo luận cũng đề cập đến mối quan hệ giữa phúc lợi thuyền viên và năng lực cạnh tranh của ngành hàng hải châu Âu.</w:t>
      </w:r>
    </w:p>
    <w:p w14:paraId="57BCB82C"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ETF cho rằng ngành vận tải biển châu Âu nên cạnh tranh dựa trên đội ngũ lao động có trình độ, việc làm chất lượng và các tiêu chuẩn xã hội vững chắc, thay vì dựa vào chi phí lao động thấp hơn hoặc điều kiện làm việc kém hơn.</w:t>
      </w:r>
    </w:p>
    <w:p w14:paraId="7DF24387"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Liên đoàn đang kêu gọi xây dựng một Không gian Hàng hải châu Âu cho hoạt động vận tải biển bền vững về mặt xã hội. Theo đề xuất này, các doanh nghiệp được hưởng lợi từ quyền tiếp cận Thị trường chung EU và các nguồn hỗ trợ công của châu Âu cũng phải có trách nhiệm tuân thủ những tiêu chuẩn xã hội có liên quan.</w:t>
      </w:r>
    </w:p>
    <w:p w14:paraId="52158030"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ETF cũng nhấn mạnh rằng việc thay đổi cờ tàu không được dẫn đến tình trạng mức độ bảo vệ dành cho thuyền viên bị suy giảm.</w:t>
      </w:r>
    </w:p>
    <w:p w14:paraId="1DE38BE1"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Tham dự hội nghị chuyên đề tại Athens có Tổng thư ký ITF Stephen Cotton, đại diện Tổ chức Lao động Quốc tế (ILO) Beatriz Vacotto, Bộ trưởng Hàng hải Hy Lạp Vassilis Kikilias và Thứ trưởng Hàng hải Cyprus Marina Hadjimanolis, cùng đại diện các tổ chức công đoàn và chủ tàu của Hy Lạp, Cyprus và cộng đồng hàng hải quốc tế rộng lớn hơn.</w:t>
      </w:r>
    </w:p>
    <w:p w14:paraId="3D79F36E" w14:textId="77777777" w:rsidR="00A64919" w:rsidRPr="00A64919" w:rsidRDefault="00A64919" w:rsidP="00A64919">
      <w:pPr>
        <w:spacing w:before="120" w:after="120"/>
        <w:jc w:val="both"/>
        <w:rPr>
          <w:rFonts w:ascii="Times New Roman" w:hAnsi="Times New Roman" w:cs="Times New Roman"/>
          <w:sz w:val="26"/>
          <w:szCs w:val="26"/>
        </w:rPr>
      </w:pPr>
      <w:r w:rsidRPr="00A64919">
        <w:rPr>
          <w:rFonts w:ascii="Times New Roman" w:hAnsi="Times New Roman" w:cs="Times New Roman"/>
          <w:sz w:val="26"/>
          <w:szCs w:val="26"/>
        </w:rPr>
        <w:t>Khi MLC bước vào thập niên thứ ba kể từ khi được thông qua, các cuộc thảo luận đã nhấn mạnh sự cần thiết phải phát huy những thành tựu đã đạt được thông qua việc tăng cường thực thi Công ước, cải thiện điều kiện làm việc và bảo vệ quyền lợi thuyền viên một cách hiệu quả hơn.</w:t>
      </w:r>
    </w:p>
    <w:p w14:paraId="22D172F9" w14:textId="4E08387B" w:rsidR="00C13E10" w:rsidRDefault="00841033" w:rsidP="00841033">
      <w:pPr>
        <w:jc w:val="center"/>
      </w:pPr>
      <w:r>
        <w:t>------------------------------------------------</w:t>
      </w:r>
    </w:p>
    <w:sectPr w:rsidR="00C13E10" w:rsidSect="00841033">
      <w:pgSz w:w="12240" w:h="15840"/>
      <w:pgMar w:top="810" w:right="99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919"/>
    <w:rsid w:val="000501D0"/>
    <w:rsid w:val="004028E9"/>
    <w:rsid w:val="00841033"/>
    <w:rsid w:val="00A64919"/>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FFB59"/>
  <w15:chartTrackingRefBased/>
  <w15:docId w15:val="{0F4EB38F-A540-4C1B-8C8C-CB08E6699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9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9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9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9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9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9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9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9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9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9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919"/>
    <w:rPr>
      <w:rFonts w:eastAsiaTheme="majorEastAsia" w:cstheme="majorBidi"/>
      <w:color w:val="272727" w:themeColor="text1" w:themeTint="D8"/>
    </w:rPr>
  </w:style>
  <w:style w:type="paragraph" w:styleId="Title">
    <w:name w:val="Title"/>
    <w:basedOn w:val="Normal"/>
    <w:next w:val="Normal"/>
    <w:link w:val="TitleChar"/>
    <w:uiPriority w:val="10"/>
    <w:qFormat/>
    <w:rsid w:val="00A64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9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9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919"/>
    <w:pPr>
      <w:spacing w:before="160"/>
      <w:jc w:val="center"/>
    </w:pPr>
    <w:rPr>
      <w:i/>
      <w:iCs/>
      <w:color w:val="404040" w:themeColor="text1" w:themeTint="BF"/>
    </w:rPr>
  </w:style>
  <w:style w:type="character" w:customStyle="1" w:styleId="QuoteChar">
    <w:name w:val="Quote Char"/>
    <w:basedOn w:val="DefaultParagraphFont"/>
    <w:link w:val="Quote"/>
    <w:uiPriority w:val="29"/>
    <w:rsid w:val="00A64919"/>
    <w:rPr>
      <w:i/>
      <w:iCs/>
      <w:color w:val="404040" w:themeColor="text1" w:themeTint="BF"/>
    </w:rPr>
  </w:style>
  <w:style w:type="paragraph" w:styleId="ListParagraph">
    <w:name w:val="List Paragraph"/>
    <w:basedOn w:val="Normal"/>
    <w:uiPriority w:val="34"/>
    <w:qFormat/>
    <w:rsid w:val="00A64919"/>
    <w:pPr>
      <w:ind w:left="720"/>
      <w:contextualSpacing/>
    </w:pPr>
  </w:style>
  <w:style w:type="character" w:styleId="IntenseEmphasis">
    <w:name w:val="Intense Emphasis"/>
    <w:basedOn w:val="DefaultParagraphFont"/>
    <w:uiPriority w:val="21"/>
    <w:qFormat/>
    <w:rsid w:val="00A64919"/>
    <w:rPr>
      <w:i/>
      <w:iCs/>
      <w:color w:val="0F4761" w:themeColor="accent1" w:themeShade="BF"/>
    </w:rPr>
  </w:style>
  <w:style w:type="paragraph" w:styleId="IntenseQuote">
    <w:name w:val="Intense Quote"/>
    <w:basedOn w:val="Normal"/>
    <w:next w:val="Normal"/>
    <w:link w:val="IntenseQuoteChar"/>
    <w:uiPriority w:val="30"/>
    <w:qFormat/>
    <w:rsid w:val="00A64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919"/>
    <w:rPr>
      <w:i/>
      <w:iCs/>
      <w:color w:val="0F4761" w:themeColor="accent1" w:themeShade="BF"/>
    </w:rPr>
  </w:style>
  <w:style w:type="character" w:styleId="IntenseReference">
    <w:name w:val="Intense Reference"/>
    <w:basedOn w:val="DefaultParagraphFont"/>
    <w:uiPriority w:val="32"/>
    <w:qFormat/>
    <w:rsid w:val="00A64919"/>
    <w:rPr>
      <w:b/>
      <w:bCs/>
      <w:smallCaps/>
      <w:color w:val="0F4761" w:themeColor="accent1" w:themeShade="BF"/>
      <w:spacing w:val="5"/>
    </w:rPr>
  </w:style>
  <w:style w:type="character" w:styleId="Hyperlink">
    <w:name w:val="Hyperlink"/>
    <w:basedOn w:val="DefaultParagraphFont"/>
    <w:uiPriority w:val="99"/>
    <w:unhideWhenUsed/>
    <w:rsid w:val="00A64919"/>
    <w:rPr>
      <w:color w:val="467886" w:themeColor="hyperlink"/>
      <w:u w:val="single"/>
    </w:rPr>
  </w:style>
  <w:style w:type="character" w:styleId="UnresolvedMention">
    <w:name w:val="Unresolved Mention"/>
    <w:basedOn w:val="DefaultParagraphFont"/>
    <w:uiPriority w:val="99"/>
    <w:semiHidden/>
    <w:unhideWhenUsed/>
    <w:rsid w:val="00A64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afety-parent/seafar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2026-10-14T01:33:00Z</dcterms:created>
  <dcterms:modified xsi:type="dcterms:W3CDTF">2026-10-14T01:47:00Z</dcterms:modified>
</cp:coreProperties>
</file>