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50870" w14:textId="6AD1148D" w:rsidR="00F83041" w:rsidRPr="00F83041" w:rsidRDefault="00F83041" w:rsidP="00F83041">
      <w:pPr>
        <w:spacing w:line="240" w:lineRule="auto"/>
        <w:jc w:val="center"/>
        <w:rPr>
          <w:rFonts w:ascii="Times New Roman" w:hAnsi="Times New Roman" w:cs="Times New Roman"/>
          <w:b/>
          <w:bCs/>
          <w:sz w:val="40"/>
          <w:szCs w:val="40"/>
        </w:rPr>
      </w:pPr>
      <w:r w:rsidRPr="00F83041">
        <w:rPr>
          <w:rFonts w:ascii="Times New Roman" w:hAnsi="Times New Roman" w:cs="Times New Roman"/>
          <w:b/>
          <w:bCs/>
          <w:sz w:val="40"/>
          <w:szCs w:val="40"/>
        </w:rPr>
        <w:t xml:space="preserve">Tuần duyên </w:t>
      </w:r>
      <w:r>
        <w:rPr>
          <w:rFonts w:ascii="Times New Roman" w:hAnsi="Times New Roman" w:cs="Times New Roman"/>
          <w:b/>
          <w:bCs/>
          <w:sz w:val="40"/>
          <w:szCs w:val="40"/>
        </w:rPr>
        <w:t>Mỹ</w:t>
      </w:r>
      <w:r w:rsidRPr="00F83041">
        <w:rPr>
          <w:rFonts w:ascii="Times New Roman" w:hAnsi="Times New Roman" w:cs="Times New Roman"/>
          <w:b/>
          <w:bCs/>
          <w:sz w:val="40"/>
          <w:szCs w:val="40"/>
        </w:rPr>
        <w:t xml:space="preserve"> công bố Báo cáo của Hội đồng Điều tra</w:t>
      </w:r>
      <w:r>
        <w:rPr>
          <w:rFonts w:ascii="Times New Roman" w:hAnsi="Times New Roman" w:cs="Times New Roman"/>
          <w:b/>
          <w:bCs/>
          <w:sz w:val="40"/>
          <w:szCs w:val="40"/>
        </w:rPr>
        <w:t xml:space="preserve"> về vụ tai nạn tàu DALI</w:t>
      </w:r>
    </w:p>
    <w:p w14:paraId="618D3E2D" w14:textId="77777777" w:rsidR="00F83041" w:rsidRPr="00F83041" w:rsidRDefault="00F83041" w:rsidP="00F83041">
      <w:pPr>
        <w:jc w:val="right"/>
      </w:pPr>
      <w:hyperlink r:id="rId5" w:history="1">
        <w:r w:rsidRPr="00F83041">
          <w:rPr>
            <w:rStyle w:val="Hyperlink"/>
            <w:b/>
            <w:bCs/>
          </w:rPr>
          <w:t>maritimecyprus</w:t>
        </w:r>
      </w:hyperlink>
    </w:p>
    <w:p w14:paraId="62E01EE9" w14:textId="0C1E1E4F" w:rsidR="00F83041" w:rsidRPr="00F83041" w:rsidRDefault="00F83041" w:rsidP="00F83041">
      <w:pPr>
        <w:jc w:val="center"/>
      </w:pPr>
      <w:r w:rsidRPr="00F83041">
        <w:drawing>
          <wp:inline distT="0" distB="0" distL="0" distR="0" wp14:anchorId="1EE20126" wp14:editId="107C5038">
            <wp:extent cx="5943600" cy="3347720"/>
            <wp:effectExtent l="0" t="0" r="0" b="5080"/>
            <wp:docPr id="410026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3A3106DE" w14:textId="191E3BB0"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Vụ va chạm thảm khốc ngày 26/3/2024 giữa tàu container mang cờ Singapore </w:t>
      </w:r>
      <w:r w:rsidRPr="00F83041">
        <w:rPr>
          <w:rFonts w:ascii="Times New Roman" w:hAnsi="Times New Roman" w:cs="Times New Roman"/>
          <w:i/>
          <w:iCs/>
          <w:sz w:val="26"/>
          <w:szCs w:val="26"/>
        </w:rPr>
        <w:t>Dali</w:t>
      </w:r>
      <w:r w:rsidRPr="00F83041">
        <w:rPr>
          <w:rFonts w:ascii="Times New Roman" w:hAnsi="Times New Roman" w:cs="Times New Roman"/>
          <w:sz w:val="26"/>
          <w:szCs w:val="26"/>
        </w:rPr>
        <w:t xml:space="preserve"> và cầu Francis Scott Key tại Baltimore —</w:t>
      </w:r>
      <w:r>
        <w:rPr>
          <w:rFonts w:ascii="Times New Roman" w:hAnsi="Times New Roman" w:cs="Times New Roman"/>
          <w:sz w:val="26"/>
          <w:szCs w:val="26"/>
        </w:rPr>
        <w:t xml:space="preserve"> </w:t>
      </w:r>
      <w:r w:rsidRPr="00F83041">
        <w:rPr>
          <w:rFonts w:ascii="Times New Roman" w:hAnsi="Times New Roman" w:cs="Times New Roman"/>
          <w:sz w:val="26"/>
          <w:szCs w:val="26"/>
        </w:rPr>
        <w:t xml:space="preserve">khiến 6 người thiệt mạng và làm tê liệt một trung tâm chuỗi cung ứng quan trọng trong nhiều tháng — đã trở thành một lời cảnh tỉnh nghiêm khắc đối với ngành logistics hàng hải. Để ứng phó, Lực lượng Tuần duyên </w:t>
      </w:r>
      <w:r>
        <w:rPr>
          <w:rFonts w:ascii="Times New Roman" w:hAnsi="Times New Roman" w:cs="Times New Roman"/>
          <w:sz w:val="26"/>
          <w:szCs w:val="26"/>
        </w:rPr>
        <w:t>Mỹ</w:t>
      </w:r>
      <w:r w:rsidRPr="00F83041">
        <w:rPr>
          <w:rFonts w:ascii="Times New Roman" w:hAnsi="Times New Roman" w:cs="Times New Roman"/>
          <w:sz w:val="26"/>
          <w:szCs w:val="26"/>
        </w:rPr>
        <w:t xml:space="preserve"> (USCG) đã thành lập Hội đồng Điều tra theo Đạo luật </w:t>
      </w:r>
      <w:proofErr w:type="gramStart"/>
      <w:r w:rsidRPr="00F83041">
        <w:rPr>
          <w:rFonts w:ascii="Times New Roman" w:hAnsi="Times New Roman" w:cs="Times New Roman"/>
          <w:sz w:val="26"/>
          <w:szCs w:val="26"/>
        </w:rPr>
        <w:t>An</w:t>
      </w:r>
      <w:proofErr w:type="gramEnd"/>
      <w:r w:rsidRPr="00F83041">
        <w:rPr>
          <w:rFonts w:ascii="Times New Roman" w:hAnsi="Times New Roman" w:cs="Times New Roman"/>
          <w:sz w:val="26"/>
          <w:szCs w:val="26"/>
        </w:rPr>
        <w:t xml:space="preserve"> toàn Cảng và Đường thủy (Ports and Waterways Safety Act Board of Inquiry – BOI).</w:t>
      </w:r>
    </w:p>
    <w:p w14:paraId="05E134BD" w14:textId="089CCC32"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Báo cáo cuối cùng của Hội đồng đưa ra một đánh giá toàn diện về cơ sở hạ tầng hàng hải của </w:t>
      </w:r>
      <w:r>
        <w:rPr>
          <w:rFonts w:ascii="Times New Roman" w:hAnsi="Times New Roman" w:cs="Times New Roman"/>
          <w:sz w:val="26"/>
          <w:szCs w:val="26"/>
        </w:rPr>
        <w:t>Mỹ</w:t>
      </w:r>
      <w:r w:rsidRPr="00F83041">
        <w:rPr>
          <w:rFonts w:ascii="Times New Roman" w:hAnsi="Times New Roman" w:cs="Times New Roman"/>
          <w:sz w:val="26"/>
          <w:szCs w:val="26"/>
        </w:rPr>
        <w:t xml:space="preserve">, đồng thời cảnh báo rằng </w:t>
      </w:r>
      <w:r w:rsidRPr="00F83041">
        <w:rPr>
          <w:rFonts w:ascii="Times New Roman" w:hAnsi="Times New Roman" w:cs="Times New Roman"/>
          <w:color w:val="EE0000"/>
          <w:sz w:val="26"/>
          <w:szCs w:val="26"/>
        </w:rPr>
        <w:t>các quy trình an toàn đã không theo kịp tốc độ phát triển mạnh mẽ của hoạt động vận tải biển thương mại hiện đại</w:t>
      </w:r>
      <w:r w:rsidRPr="00F83041">
        <w:rPr>
          <w:rFonts w:ascii="Times New Roman" w:hAnsi="Times New Roman" w:cs="Times New Roman"/>
          <w:sz w:val="26"/>
          <w:szCs w:val="26"/>
        </w:rPr>
        <w:t>.</w:t>
      </w:r>
    </w:p>
    <w:p w14:paraId="2BB0F214" w14:textId="744F452E" w:rsidR="00F83041" w:rsidRPr="00F83041" w:rsidRDefault="00F83041" w:rsidP="00F83041">
      <w:pPr>
        <w:spacing w:before="120" w:after="120"/>
        <w:jc w:val="both"/>
        <w:rPr>
          <w:rFonts w:ascii="Times New Roman" w:hAnsi="Times New Roman" w:cs="Times New Roman"/>
          <w:b/>
          <w:bCs/>
          <w:sz w:val="26"/>
          <w:szCs w:val="26"/>
        </w:rPr>
      </w:pPr>
      <w:r>
        <w:rPr>
          <w:rFonts w:ascii="Times New Roman" w:hAnsi="Times New Roman" w:cs="Times New Roman"/>
          <w:b/>
          <w:bCs/>
          <w:sz w:val="26"/>
          <w:szCs w:val="26"/>
        </w:rPr>
        <w:t>Các t</w:t>
      </w:r>
      <w:r w:rsidRPr="00F83041">
        <w:rPr>
          <w:rFonts w:ascii="Times New Roman" w:hAnsi="Times New Roman" w:cs="Times New Roman"/>
          <w:b/>
          <w:bCs/>
          <w:sz w:val="26"/>
          <w:szCs w:val="26"/>
        </w:rPr>
        <w:t>àu ngày càng lớn</w:t>
      </w:r>
      <w:r>
        <w:rPr>
          <w:rFonts w:ascii="Times New Roman" w:hAnsi="Times New Roman" w:cs="Times New Roman"/>
          <w:b/>
          <w:bCs/>
          <w:sz w:val="26"/>
          <w:szCs w:val="26"/>
        </w:rPr>
        <w:t xml:space="preserve"> còn</w:t>
      </w:r>
      <w:r w:rsidRPr="00F83041">
        <w:rPr>
          <w:rFonts w:ascii="Times New Roman" w:hAnsi="Times New Roman" w:cs="Times New Roman"/>
          <w:b/>
          <w:bCs/>
          <w:sz w:val="26"/>
          <w:szCs w:val="26"/>
        </w:rPr>
        <w:t xml:space="preserve"> cơ sở hạ tầng vẫn </w:t>
      </w:r>
      <w:r>
        <w:rPr>
          <w:rFonts w:ascii="Times New Roman" w:hAnsi="Times New Roman" w:cs="Times New Roman"/>
          <w:b/>
          <w:bCs/>
          <w:sz w:val="26"/>
          <w:szCs w:val="26"/>
        </w:rPr>
        <w:t xml:space="preserve">như </w:t>
      </w:r>
      <w:r w:rsidRPr="00F83041">
        <w:rPr>
          <w:rFonts w:ascii="Times New Roman" w:hAnsi="Times New Roman" w:cs="Times New Roman"/>
          <w:b/>
          <w:bCs/>
          <w:sz w:val="26"/>
          <w:szCs w:val="26"/>
        </w:rPr>
        <w:t>cũ</w:t>
      </w:r>
    </w:p>
    <w:p w14:paraId="3E43C4AE" w14:textId="174F83C4"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Phát hiện trọng tâm của báo cáo BOI cho thấy sự chênh lệch ngày càng lớn trong hoạt động hàng hải: </w:t>
      </w:r>
      <w:r w:rsidRPr="00F83041">
        <w:rPr>
          <w:rFonts w:ascii="Times New Roman" w:hAnsi="Times New Roman" w:cs="Times New Roman"/>
          <w:color w:val="EE0000"/>
          <w:sz w:val="26"/>
          <w:szCs w:val="26"/>
        </w:rPr>
        <w:t>kích cỡ của</w:t>
      </w:r>
      <w:r w:rsidRPr="00F83041">
        <w:rPr>
          <w:rFonts w:ascii="Times New Roman" w:hAnsi="Times New Roman" w:cs="Times New Roman"/>
          <w:color w:val="EE0000"/>
          <w:sz w:val="26"/>
          <w:szCs w:val="26"/>
        </w:rPr>
        <w:t xml:space="preserve"> tàu thương mại và mật độ giao thông tăng nhanh trong khi cơ sở hạ tầng cảng ngày càng già cỗi</w:t>
      </w:r>
      <w:r w:rsidRPr="00F83041">
        <w:rPr>
          <w:rFonts w:ascii="Times New Roman" w:hAnsi="Times New Roman" w:cs="Times New Roman"/>
          <w:b/>
          <w:bCs/>
          <w:sz w:val="26"/>
          <w:szCs w:val="26"/>
        </w:rPr>
        <w:t>.</w:t>
      </w:r>
    </w:p>
    <w:p w14:paraId="48DD11C4" w14:textId="07105EE1" w:rsidR="00F83041" w:rsidRPr="00F83041" w:rsidRDefault="00F83041" w:rsidP="00F83041">
      <w:pPr>
        <w:spacing w:before="120" w:after="120"/>
        <w:jc w:val="both"/>
        <w:rPr>
          <w:rFonts w:ascii="Times New Roman" w:hAnsi="Times New Roman" w:cs="Times New Roman"/>
          <w:color w:val="EE0000"/>
          <w:sz w:val="26"/>
          <w:szCs w:val="26"/>
        </w:rPr>
      </w:pPr>
      <w:r w:rsidRPr="00F83041">
        <w:rPr>
          <w:rFonts w:ascii="Times New Roman" w:hAnsi="Times New Roman" w:cs="Times New Roman"/>
          <w:sz w:val="26"/>
          <w:szCs w:val="26"/>
        </w:rPr>
        <w:t xml:space="preserve">Khi tàu </w:t>
      </w:r>
      <w:r w:rsidRPr="00F83041">
        <w:rPr>
          <w:rFonts w:ascii="Times New Roman" w:hAnsi="Times New Roman" w:cs="Times New Roman"/>
          <w:i/>
          <w:iCs/>
          <w:sz w:val="26"/>
          <w:szCs w:val="26"/>
        </w:rPr>
        <w:t>Dali</w:t>
      </w:r>
      <w:r w:rsidRPr="00F83041">
        <w:rPr>
          <w:rFonts w:ascii="Times New Roman" w:hAnsi="Times New Roman" w:cs="Times New Roman"/>
          <w:sz w:val="26"/>
          <w:szCs w:val="26"/>
        </w:rPr>
        <w:t xml:space="preserve"> </w:t>
      </w:r>
      <w:r>
        <w:rPr>
          <w:rFonts w:ascii="Times New Roman" w:hAnsi="Times New Roman" w:cs="Times New Roman"/>
          <w:sz w:val="26"/>
          <w:szCs w:val="26"/>
        </w:rPr>
        <w:t xml:space="preserve">bị </w:t>
      </w:r>
      <w:r w:rsidRPr="00F83041">
        <w:rPr>
          <w:rFonts w:ascii="Times New Roman" w:hAnsi="Times New Roman" w:cs="Times New Roman"/>
          <w:sz w:val="26"/>
          <w:szCs w:val="26"/>
        </w:rPr>
        <w:t xml:space="preserve">mất điện và va vào trụ cầu số 17 của cầu Key Bridge, khối lượng khổng lồ của con tàu — chở hơn 56.000 tấn hàng hóa — đã tạo ra lực tác động vượt xa các ngưỡng thiết kế được dự tính vào thời điểm cây cầu được đưa vào khai thác năm 1977. Cuộc điều tra chỉ ra rằng </w:t>
      </w:r>
      <w:r w:rsidRPr="00F83041">
        <w:rPr>
          <w:rFonts w:ascii="Times New Roman" w:hAnsi="Times New Roman" w:cs="Times New Roman"/>
          <w:color w:val="EE0000"/>
          <w:sz w:val="26"/>
          <w:szCs w:val="26"/>
        </w:rPr>
        <w:t>các hệ thống bảo vệ trụ cầu hiện có trên khắp nước Mỹ chưa bao giờ được thiết kế để hấp thụ động năng do những siêu tàu hiện đại tạo ra.</w:t>
      </w:r>
    </w:p>
    <w:p w14:paraId="63FF5BC6" w14:textId="0CCB1241"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lastRenderedPageBreak/>
        <w:t xml:space="preserve">Thông qua các chuyến khảo sát thực địa và những đánh giá định lượng chi tiết tại 11 tổ hợp cảng lớn của </w:t>
      </w:r>
      <w:r>
        <w:rPr>
          <w:rFonts w:ascii="Times New Roman" w:hAnsi="Times New Roman" w:cs="Times New Roman"/>
          <w:sz w:val="26"/>
          <w:szCs w:val="26"/>
        </w:rPr>
        <w:t>Mỹ</w:t>
      </w:r>
      <w:r w:rsidRPr="00F83041">
        <w:rPr>
          <w:rFonts w:ascii="Times New Roman" w:hAnsi="Times New Roman" w:cs="Times New Roman"/>
          <w:sz w:val="26"/>
          <w:szCs w:val="26"/>
        </w:rPr>
        <w:t>, bao gồm Houston/Galveston, New York/New Jersey, Los Angeles/Long Beach và Cảng Virginia, Hội đồng đã xác định nhiều điểm dễ tổn thương trên diện rộng:</w:t>
      </w:r>
    </w:p>
    <w:p w14:paraId="5670B762" w14:textId="13A0E617" w:rsidR="00F83041" w:rsidRPr="00F83041" w:rsidRDefault="00F83041" w:rsidP="00F83041">
      <w:pPr>
        <w:numPr>
          <w:ilvl w:val="0"/>
          <w:numId w:val="3"/>
        </w:numPr>
        <w:spacing w:before="120" w:after="120"/>
        <w:jc w:val="both"/>
        <w:rPr>
          <w:rFonts w:ascii="Times New Roman" w:hAnsi="Times New Roman" w:cs="Times New Roman"/>
          <w:sz w:val="26"/>
          <w:szCs w:val="26"/>
        </w:rPr>
      </w:pPr>
      <w:r w:rsidRPr="00F83041">
        <w:rPr>
          <w:rFonts w:ascii="Times New Roman" w:hAnsi="Times New Roman" w:cs="Times New Roman"/>
          <w:color w:val="EE0000"/>
          <w:sz w:val="26"/>
          <w:szCs w:val="26"/>
        </w:rPr>
        <w:t>Không tương thích về cơ sở hạ tầng</w:t>
      </w:r>
      <w:r w:rsidRPr="00F83041">
        <w:rPr>
          <w:rFonts w:ascii="Times New Roman" w:hAnsi="Times New Roman" w:cs="Times New Roman"/>
          <w:b/>
          <w:bCs/>
          <w:sz w:val="26"/>
          <w:szCs w:val="26"/>
        </w:rPr>
        <w:t>:</w:t>
      </w:r>
      <w:r w:rsidRPr="00F83041">
        <w:rPr>
          <w:rFonts w:ascii="Times New Roman" w:hAnsi="Times New Roman" w:cs="Times New Roman"/>
          <w:sz w:val="26"/>
          <w:szCs w:val="26"/>
        </w:rPr>
        <w:t xml:space="preserve"> Các luồng nước sâu và </w:t>
      </w:r>
      <w:r>
        <w:rPr>
          <w:rFonts w:ascii="Times New Roman" w:hAnsi="Times New Roman" w:cs="Times New Roman"/>
          <w:sz w:val="26"/>
          <w:szCs w:val="26"/>
        </w:rPr>
        <w:t xml:space="preserve">các cây </w:t>
      </w:r>
      <w:r w:rsidRPr="00F83041">
        <w:rPr>
          <w:rFonts w:ascii="Times New Roman" w:hAnsi="Times New Roman" w:cs="Times New Roman"/>
          <w:sz w:val="26"/>
          <w:szCs w:val="26"/>
        </w:rPr>
        <w:t xml:space="preserve">cầu ngày càng chịu sức ép từ kích thước của các siêu tàu, khiến </w:t>
      </w:r>
      <w:r w:rsidRPr="00F83041">
        <w:rPr>
          <w:rFonts w:ascii="Times New Roman" w:hAnsi="Times New Roman" w:cs="Times New Roman"/>
          <w:color w:val="EE0000"/>
          <w:sz w:val="26"/>
          <w:szCs w:val="26"/>
        </w:rPr>
        <w:t xml:space="preserve">biên độ an toàn cho sai sót trong điều động </w:t>
      </w:r>
      <w:r>
        <w:rPr>
          <w:rFonts w:ascii="Times New Roman" w:hAnsi="Times New Roman" w:cs="Times New Roman"/>
          <w:color w:val="EE0000"/>
          <w:sz w:val="26"/>
          <w:szCs w:val="26"/>
        </w:rPr>
        <w:t xml:space="preserve">tàu </w:t>
      </w:r>
      <w:r w:rsidRPr="00F83041">
        <w:rPr>
          <w:rFonts w:ascii="Times New Roman" w:hAnsi="Times New Roman" w:cs="Times New Roman"/>
          <w:color w:val="EE0000"/>
          <w:sz w:val="26"/>
          <w:szCs w:val="26"/>
        </w:rPr>
        <w:t xml:space="preserve">hoặc mất nguồn điện </w:t>
      </w:r>
      <w:r>
        <w:rPr>
          <w:rFonts w:ascii="Times New Roman" w:hAnsi="Times New Roman" w:cs="Times New Roman"/>
          <w:color w:val="EE0000"/>
          <w:sz w:val="26"/>
          <w:szCs w:val="26"/>
        </w:rPr>
        <w:t xml:space="preserve">của tàu </w:t>
      </w:r>
      <w:r w:rsidRPr="00F83041">
        <w:rPr>
          <w:rFonts w:ascii="Times New Roman" w:hAnsi="Times New Roman" w:cs="Times New Roman"/>
          <w:color w:val="EE0000"/>
          <w:sz w:val="26"/>
          <w:szCs w:val="26"/>
        </w:rPr>
        <w:t xml:space="preserve">trở nên rất nhỏ. </w:t>
      </w:r>
    </w:p>
    <w:p w14:paraId="3D381F7D" w14:textId="77777777" w:rsidR="00F83041" w:rsidRPr="00F83041" w:rsidRDefault="00F83041" w:rsidP="00F83041">
      <w:pPr>
        <w:numPr>
          <w:ilvl w:val="0"/>
          <w:numId w:val="3"/>
        </w:numPr>
        <w:spacing w:before="120" w:after="120"/>
        <w:jc w:val="both"/>
        <w:rPr>
          <w:rFonts w:ascii="Times New Roman" w:hAnsi="Times New Roman" w:cs="Times New Roman"/>
          <w:sz w:val="26"/>
          <w:szCs w:val="26"/>
        </w:rPr>
      </w:pPr>
      <w:r w:rsidRPr="00F83041">
        <w:rPr>
          <w:rFonts w:ascii="Times New Roman" w:hAnsi="Times New Roman" w:cs="Times New Roman"/>
          <w:color w:val="EE0000"/>
          <w:sz w:val="26"/>
          <w:szCs w:val="26"/>
        </w:rPr>
        <w:t xml:space="preserve">Suy giảm năng lực ứng phó: </w:t>
      </w:r>
      <w:r w:rsidRPr="00F83041">
        <w:rPr>
          <w:rFonts w:ascii="Times New Roman" w:hAnsi="Times New Roman" w:cs="Times New Roman"/>
          <w:sz w:val="26"/>
          <w:szCs w:val="26"/>
        </w:rPr>
        <w:t xml:space="preserve">Các cơ sở hạ tầng và năng lực ứng phó khẩn cấp quan trọng — như các Tổ chức Ứng phó sự cố tràn dầu (OSRO) tại địa phương và năng lực cứu hộ, trục vớt trong khu vực — đã suy giảm đáng kể. Điều này khiến các cảng có nguy cơ phải đóng cửa kéo dài sau bất kỳ tai nạn hàng hải nghiêm trọng nào. </w:t>
      </w:r>
    </w:p>
    <w:p w14:paraId="2D1CE60A" w14:textId="77777777" w:rsidR="00F83041" w:rsidRPr="00F83041" w:rsidRDefault="00F83041" w:rsidP="00F83041">
      <w:pPr>
        <w:numPr>
          <w:ilvl w:val="0"/>
          <w:numId w:val="3"/>
        </w:numPr>
        <w:spacing w:before="120" w:after="120"/>
        <w:jc w:val="both"/>
        <w:rPr>
          <w:rFonts w:ascii="Times New Roman" w:hAnsi="Times New Roman" w:cs="Times New Roman"/>
          <w:color w:val="EE0000"/>
          <w:sz w:val="26"/>
          <w:szCs w:val="26"/>
        </w:rPr>
      </w:pPr>
      <w:r w:rsidRPr="00F83041">
        <w:rPr>
          <w:rFonts w:ascii="Times New Roman" w:hAnsi="Times New Roman" w:cs="Times New Roman"/>
          <w:sz w:val="26"/>
          <w:szCs w:val="26"/>
        </w:rPr>
        <w:t>Mật độ giao thông giải trí và thương mại</w:t>
      </w:r>
      <w:r w:rsidRPr="00F83041">
        <w:rPr>
          <w:rFonts w:ascii="Times New Roman" w:hAnsi="Times New Roman" w:cs="Times New Roman"/>
          <w:b/>
          <w:bCs/>
          <w:sz w:val="26"/>
          <w:szCs w:val="26"/>
        </w:rPr>
        <w:t>:</w:t>
      </w:r>
      <w:r w:rsidRPr="00F83041">
        <w:rPr>
          <w:rFonts w:ascii="Times New Roman" w:hAnsi="Times New Roman" w:cs="Times New Roman"/>
          <w:sz w:val="26"/>
          <w:szCs w:val="26"/>
        </w:rPr>
        <w:t xml:space="preserve"> Lưu lượng tàu thuyền giải trí gia tăng trên các tuyến hàng hải thương mại chính đã tạo ra </w:t>
      </w:r>
      <w:r w:rsidRPr="00F83041">
        <w:rPr>
          <w:rFonts w:ascii="Times New Roman" w:hAnsi="Times New Roman" w:cs="Times New Roman"/>
          <w:color w:val="EE0000"/>
          <w:sz w:val="26"/>
          <w:szCs w:val="26"/>
        </w:rPr>
        <w:t xml:space="preserve">những điểm nghẽn nguy hiểm đối với hàng hải. </w:t>
      </w:r>
    </w:p>
    <w:p w14:paraId="48B1C920" w14:textId="77777777" w:rsidR="00F83041" w:rsidRPr="00F83041" w:rsidRDefault="00F83041" w:rsidP="00F83041">
      <w:pPr>
        <w:spacing w:before="120" w:after="120"/>
        <w:jc w:val="both"/>
        <w:rPr>
          <w:rFonts w:ascii="Times New Roman" w:hAnsi="Times New Roman" w:cs="Times New Roman"/>
          <w:b/>
          <w:bCs/>
          <w:sz w:val="26"/>
          <w:szCs w:val="26"/>
        </w:rPr>
      </w:pPr>
      <w:r w:rsidRPr="00F83041">
        <w:rPr>
          <w:rFonts w:ascii="Times New Roman" w:hAnsi="Times New Roman" w:cs="Times New Roman"/>
          <w:b/>
          <w:bCs/>
          <w:sz w:val="26"/>
          <w:szCs w:val="26"/>
        </w:rPr>
        <w:t>Công cụ chưa được khai thác đầy đủ và những khoảng trống mang tính hệ thống</w:t>
      </w:r>
    </w:p>
    <w:p w14:paraId="5C491A28" w14:textId="53040E7D"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Hội đồng đã khảo sát toàn bộ 41 khu vực trách nhiệm của Thuyền trưởng Cảng (Captain of the Port – COTP) và đánh giá việc sử dụng các công cụ đánh giá an toàn của USCG trong lịch sử.</w:t>
      </w:r>
      <w:r w:rsidR="00CC7CF0">
        <w:rPr>
          <w:rFonts w:ascii="Times New Roman" w:hAnsi="Times New Roman" w:cs="Times New Roman"/>
          <w:sz w:val="26"/>
          <w:szCs w:val="26"/>
        </w:rPr>
        <w:t xml:space="preserve"> </w:t>
      </w:r>
      <w:r w:rsidRPr="00F83041">
        <w:rPr>
          <w:rFonts w:ascii="Times New Roman" w:hAnsi="Times New Roman" w:cs="Times New Roman"/>
          <w:sz w:val="26"/>
          <w:szCs w:val="26"/>
        </w:rPr>
        <w:t xml:space="preserve">Cuộc điều tra cho thấy các công cụ này </w:t>
      </w:r>
      <w:r w:rsidRPr="00CC7CF0">
        <w:rPr>
          <w:rFonts w:ascii="Times New Roman" w:hAnsi="Times New Roman" w:cs="Times New Roman"/>
          <w:color w:val="EE0000"/>
          <w:sz w:val="26"/>
          <w:szCs w:val="26"/>
        </w:rPr>
        <w:t>chưa được sử dụng đầy đủ</w:t>
      </w:r>
      <w:r w:rsidRPr="00F83041">
        <w:rPr>
          <w:rFonts w:ascii="Times New Roman" w:hAnsi="Times New Roman" w:cs="Times New Roman"/>
          <w:sz w:val="26"/>
          <w:szCs w:val="26"/>
        </w:rPr>
        <w:t xml:space="preserve">, tồn tại những khoảng trống về chính sách và một văn hóa quản lý rủi ro đường thủy mang tính </w:t>
      </w:r>
      <w:r w:rsidRPr="00CC7CF0">
        <w:rPr>
          <w:rFonts w:ascii="Times New Roman" w:hAnsi="Times New Roman" w:cs="Times New Roman"/>
          <w:color w:val="EE0000"/>
          <w:sz w:val="26"/>
          <w:szCs w:val="26"/>
        </w:rPr>
        <w:t>phản ứng hơn là chủ động:</w:t>
      </w:r>
    </w:p>
    <w:p w14:paraId="7B7D66D7" w14:textId="707C36F1" w:rsidR="00F83041" w:rsidRPr="00F83041" w:rsidRDefault="00F83041" w:rsidP="00F83041">
      <w:pPr>
        <w:numPr>
          <w:ilvl w:val="0"/>
          <w:numId w:val="4"/>
        </w:num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Trong </w:t>
      </w:r>
      <w:r w:rsidRPr="00CC7CF0">
        <w:rPr>
          <w:rFonts w:ascii="Times New Roman" w:hAnsi="Times New Roman" w:cs="Times New Roman"/>
          <w:sz w:val="26"/>
          <w:szCs w:val="26"/>
        </w:rPr>
        <w:t>10 năm qua</w:t>
      </w:r>
      <w:r w:rsidRPr="00F83041">
        <w:rPr>
          <w:rFonts w:ascii="Times New Roman" w:hAnsi="Times New Roman" w:cs="Times New Roman"/>
          <w:sz w:val="26"/>
          <w:szCs w:val="26"/>
        </w:rPr>
        <w:t xml:space="preserve">, chưa đến </w:t>
      </w:r>
      <w:r w:rsidRPr="00CC7CF0">
        <w:rPr>
          <w:rFonts w:ascii="Times New Roman" w:hAnsi="Times New Roman" w:cs="Times New Roman"/>
          <w:sz w:val="26"/>
          <w:szCs w:val="26"/>
        </w:rPr>
        <w:t xml:space="preserve">50% trong số 50 cảng hàng hóa lớn nhất của </w:t>
      </w:r>
      <w:r w:rsidR="00CC7CF0" w:rsidRPr="00CC7CF0">
        <w:rPr>
          <w:rFonts w:ascii="Times New Roman" w:hAnsi="Times New Roman" w:cs="Times New Roman"/>
          <w:sz w:val="26"/>
          <w:szCs w:val="26"/>
        </w:rPr>
        <w:t>Mỹ</w:t>
      </w:r>
      <w:r w:rsidRPr="00F83041">
        <w:rPr>
          <w:rFonts w:ascii="Times New Roman" w:hAnsi="Times New Roman" w:cs="Times New Roman"/>
          <w:sz w:val="26"/>
          <w:szCs w:val="26"/>
        </w:rPr>
        <w:t xml:space="preserve"> được tiến hành một cuộc đánh giá rủi ro tổng thể ở mức độ lớn, chẳng hạn như </w:t>
      </w:r>
      <w:r w:rsidRPr="00CC7CF0">
        <w:rPr>
          <w:rFonts w:ascii="Times New Roman" w:hAnsi="Times New Roman" w:cs="Times New Roman"/>
          <w:sz w:val="26"/>
          <w:szCs w:val="26"/>
        </w:rPr>
        <w:t xml:space="preserve">Nghiên cứu Tuyến tiếp cận cảng (Port Access Route Study – PARS) </w:t>
      </w:r>
      <w:r w:rsidRPr="00F83041">
        <w:rPr>
          <w:rFonts w:ascii="Times New Roman" w:hAnsi="Times New Roman" w:cs="Times New Roman"/>
          <w:sz w:val="26"/>
          <w:szCs w:val="26"/>
        </w:rPr>
        <w:t xml:space="preserve">hoặc </w:t>
      </w:r>
      <w:r w:rsidRPr="00CC7CF0">
        <w:rPr>
          <w:rFonts w:ascii="Times New Roman" w:hAnsi="Times New Roman" w:cs="Times New Roman"/>
          <w:sz w:val="26"/>
          <w:szCs w:val="26"/>
        </w:rPr>
        <w:t xml:space="preserve">Đánh giá </w:t>
      </w:r>
      <w:proofErr w:type="gramStart"/>
      <w:r w:rsidRPr="00CC7CF0">
        <w:rPr>
          <w:rFonts w:ascii="Times New Roman" w:hAnsi="Times New Roman" w:cs="Times New Roman"/>
          <w:sz w:val="26"/>
          <w:szCs w:val="26"/>
        </w:rPr>
        <w:t>An</w:t>
      </w:r>
      <w:proofErr w:type="gramEnd"/>
      <w:r w:rsidRPr="00CC7CF0">
        <w:rPr>
          <w:rFonts w:ascii="Times New Roman" w:hAnsi="Times New Roman" w:cs="Times New Roman"/>
          <w:sz w:val="26"/>
          <w:szCs w:val="26"/>
        </w:rPr>
        <w:t xml:space="preserve"> toàn Cảng và Đường thủy (Port and Waterways Safety Assessment – PAWSA).</w:t>
      </w:r>
      <w:r w:rsidRPr="00F83041">
        <w:rPr>
          <w:rFonts w:ascii="Times New Roman" w:hAnsi="Times New Roman" w:cs="Times New Roman"/>
          <w:sz w:val="26"/>
          <w:szCs w:val="26"/>
        </w:rPr>
        <w:t xml:space="preserve"> </w:t>
      </w:r>
    </w:p>
    <w:p w14:paraId="14DF3F0B" w14:textId="77777777" w:rsidR="00F83041" w:rsidRPr="00CC7CF0" w:rsidRDefault="00F83041" w:rsidP="00F83041">
      <w:pPr>
        <w:numPr>
          <w:ilvl w:val="0"/>
          <w:numId w:val="4"/>
        </w:num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Các công cụ như </w:t>
      </w:r>
      <w:r w:rsidRPr="00CC7CF0">
        <w:rPr>
          <w:rFonts w:ascii="Times New Roman" w:hAnsi="Times New Roman" w:cs="Times New Roman"/>
          <w:sz w:val="26"/>
          <w:szCs w:val="26"/>
        </w:rPr>
        <w:t>Hệ thống Phân tích và Quản lý Đường thủy (Waterways Analysis and Management System – WAMS)</w:t>
      </w:r>
      <w:r w:rsidRPr="00F83041">
        <w:rPr>
          <w:rFonts w:ascii="Times New Roman" w:hAnsi="Times New Roman" w:cs="Times New Roman"/>
          <w:sz w:val="26"/>
          <w:szCs w:val="26"/>
        </w:rPr>
        <w:t xml:space="preserve"> có tỷ lệ không tuân thủ cao do quy trình thực hiện </w:t>
      </w:r>
      <w:r w:rsidRPr="00CC7CF0">
        <w:rPr>
          <w:rFonts w:ascii="Times New Roman" w:hAnsi="Times New Roman" w:cs="Times New Roman"/>
          <w:sz w:val="26"/>
          <w:szCs w:val="26"/>
        </w:rPr>
        <w:t xml:space="preserve">quá phức tạp và cumbersome (nặng nề, khó thực hiện). </w:t>
      </w:r>
    </w:p>
    <w:p w14:paraId="53824311" w14:textId="55110487" w:rsidR="00F83041" w:rsidRPr="00F83041" w:rsidRDefault="00F83041" w:rsidP="00F83041">
      <w:pPr>
        <w:numPr>
          <w:ilvl w:val="0"/>
          <w:numId w:val="4"/>
        </w:num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Các hướng dẫn quản lý quan trọng chưa theo kịp những yêu cầu hiện đại. Chẳng hạn, các </w:t>
      </w:r>
      <w:r w:rsidRPr="00CC7CF0">
        <w:rPr>
          <w:rFonts w:ascii="Times New Roman" w:hAnsi="Times New Roman" w:cs="Times New Roman"/>
          <w:sz w:val="26"/>
          <w:szCs w:val="26"/>
        </w:rPr>
        <w:t xml:space="preserve">Thông tư về Hàng hải và Kiểm tra tàu (NVIC) </w:t>
      </w:r>
      <w:r w:rsidRPr="00F83041">
        <w:rPr>
          <w:rFonts w:ascii="Times New Roman" w:hAnsi="Times New Roman" w:cs="Times New Roman"/>
          <w:sz w:val="26"/>
          <w:szCs w:val="26"/>
        </w:rPr>
        <w:t xml:space="preserve">chưa bao quát đầy đủ các cơ sở </w:t>
      </w:r>
      <w:r w:rsidRPr="00CC7CF0">
        <w:rPr>
          <w:rFonts w:ascii="Times New Roman" w:hAnsi="Times New Roman" w:cs="Times New Roman"/>
          <w:sz w:val="26"/>
          <w:szCs w:val="26"/>
        </w:rPr>
        <w:t>khí nguy hiểm hóa lỏng (LHG)</w:t>
      </w:r>
      <w:r w:rsidRPr="00F83041">
        <w:rPr>
          <w:rFonts w:ascii="Times New Roman" w:hAnsi="Times New Roman" w:cs="Times New Roman"/>
          <w:sz w:val="26"/>
          <w:szCs w:val="26"/>
        </w:rPr>
        <w:t xml:space="preserve"> bên cạnh các hoạt động LNG. </w:t>
      </w:r>
    </w:p>
    <w:p w14:paraId="4753B440" w14:textId="77777777" w:rsidR="00F83041" w:rsidRPr="00F83041" w:rsidRDefault="00F83041" w:rsidP="00F83041">
      <w:pPr>
        <w:spacing w:before="120" w:after="120"/>
        <w:jc w:val="both"/>
        <w:rPr>
          <w:rFonts w:ascii="Times New Roman" w:hAnsi="Times New Roman" w:cs="Times New Roman"/>
          <w:b/>
          <w:bCs/>
          <w:sz w:val="26"/>
          <w:szCs w:val="26"/>
        </w:rPr>
      </w:pPr>
      <w:r w:rsidRPr="00F83041">
        <w:rPr>
          <w:rFonts w:ascii="Times New Roman" w:hAnsi="Times New Roman" w:cs="Times New Roman"/>
          <w:b/>
          <w:bCs/>
          <w:sz w:val="26"/>
          <w:szCs w:val="26"/>
        </w:rPr>
        <w:t>Các khuyến nghị chính của Hội đồng</w:t>
      </w:r>
    </w:p>
    <w:p w14:paraId="7136C341" w14:textId="77777777" w:rsid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Để khắc phục những điểm dễ tổn thương này, Hội đồng đã đưa ra </w:t>
      </w:r>
      <w:r w:rsidRPr="00CC7CF0">
        <w:rPr>
          <w:rFonts w:ascii="Times New Roman" w:hAnsi="Times New Roman" w:cs="Times New Roman"/>
          <w:sz w:val="26"/>
          <w:szCs w:val="26"/>
        </w:rPr>
        <w:t>20 khuyến nghị có thể triển khai</w:t>
      </w:r>
      <w:r w:rsidRPr="00F83041">
        <w:rPr>
          <w:rFonts w:ascii="Times New Roman" w:hAnsi="Times New Roman" w:cs="Times New Roman"/>
          <w:sz w:val="26"/>
          <w:szCs w:val="26"/>
        </w:rPr>
        <w:t>, được chia thành 5 nhóm chiến lược:</w:t>
      </w:r>
    </w:p>
    <w:p w14:paraId="7F1AD026" w14:textId="680C2994" w:rsidR="00CC7CF0" w:rsidRPr="00F83041" w:rsidRDefault="00CC7CF0" w:rsidP="00F83041">
      <w:pPr>
        <w:spacing w:before="120" w:after="120"/>
        <w:jc w:val="both"/>
        <w:rPr>
          <w:rFonts w:ascii="Times New Roman" w:hAnsi="Times New Roman" w:cs="Times New Roman"/>
          <w:sz w:val="26"/>
          <w:szCs w:val="26"/>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9"/>
        <w:gridCol w:w="7981"/>
      </w:tblGrid>
      <w:tr w:rsidR="00F83041" w:rsidRPr="00F83041" w14:paraId="07BBCCCB" w14:textId="77777777" w:rsidTr="00CC7CF0">
        <w:trPr>
          <w:tblHeader/>
          <w:tblCellSpacing w:w="15" w:type="dxa"/>
        </w:trPr>
        <w:tc>
          <w:tcPr>
            <w:tcW w:w="0" w:type="auto"/>
            <w:vAlign w:val="center"/>
            <w:hideMark/>
          </w:tcPr>
          <w:p w14:paraId="5CED83CE" w14:textId="77777777" w:rsidR="00F83041" w:rsidRPr="00F83041" w:rsidRDefault="00F83041" w:rsidP="00CC7CF0">
            <w:pPr>
              <w:spacing w:before="120" w:after="120"/>
              <w:jc w:val="center"/>
              <w:rPr>
                <w:rFonts w:ascii="Times New Roman" w:hAnsi="Times New Roman" w:cs="Times New Roman"/>
                <w:b/>
                <w:bCs/>
                <w:sz w:val="26"/>
                <w:szCs w:val="26"/>
              </w:rPr>
            </w:pPr>
            <w:r w:rsidRPr="00F83041">
              <w:rPr>
                <w:rFonts w:ascii="Times New Roman" w:hAnsi="Times New Roman" w:cs="Times New Roman"/>
                <w:b/>
                <w:bCs/>
                <w:sz w:val="26"/>
                <w:szCs w:val="26"/>
              </w:rPr>
              <w:lastRenderedPageBreak/>
              <w:t>Nhóm hành động</w:t>
            </w:r>
          </w:p>
        </w:tc>
        <w:tc>
          <w:tcPr>
            <w:tcW w:w="0" w:type="auto"/>
            <w:vAlign w:val="center"/>
            <w:hideMark/>
          </w:tcPr>
          <w:p w14:paraId="1EE664F5" w14:textId="77777777" w:rsidR="00F83041" w:rsidRPr="00F83041" w:rsidRDefault="00F83041" w:rsidP="00CC7CF0">
            <w:pPr>
              <w:spacing w:before="120" w:after="120"/>
              <w:jc w:val="center"/>
              <w:rPr>
                <w:rFonts w:ascii="Times New Roman" w:hAnsi="Times New Roman" w:cs="Times New Roman"/>
                <w:b/>
                <w:bCs/>
                <w:sz w:val="26"/>
                <w:szCs w:val="26"/>
              </w:rPr>
            </w:pPr>
            <w:r w:rsidRPr="00F83041">
              <w:rPr>
                <w:rFonts w:ascii="Times New Roman" w:hAnsi="Times New Roman" w:cs="Times New Roman"/>
                <w:b/>
                <w:bCs/>
                <w:sz w:val="26"/>
                <w:szCs w:val="26"/>
              </w:rPr>
              <w:t>Các khuyến nghị chính</w:t>
            </w:r>
          </w:p>
        </w:tc>
      </w:tr>
      <w:tr w:rsidR="00F83041" w:rsidRPr="00F83041" w14:paraId="62F8E2BB" w14:textId="77777777" w:rsidTr="00CC7CF0">
        <w:trPr>
          <w:tblCellSpacing w:w="15" w:type="dxa"/>
        </w:trPr>
        <w:tc>
          <w:tcPr>
            <w:tcW w:w="0" w:type="auto"/>
            <w:vAlign w:val="center"/>
            <w:hideMark/>
          </w:tcPr>
          <w:p w14:paraId="4AAC4DA7" w14:textId="7777777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b/>
                <w:bCs/>
                <w:sz w:val="26"/>
                <w:szCs w:val="26"/>
              </w:rPr>
              <w:t>Chính sách và quản trị rủi ro</w:t>
            </w:r>
          </w:p>
        </w:tc>
        <w:tc>
          <w:tcPr>
            <w:tcW w:w="0" w:type="auto"/>
            <w:vAlign w:val="center"/>
            <w:hideMark/>
          </w:tcPr>
          <w:p w14:paraId="4F2BEB90" w14:textId="7777777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Thiết lập một </w:t>
            </w:r>
            <w:r w:rsidRPr="00CC7CF0">
              <w:rPr>
                <w:rFonts w:ascii="Times New Roman" w:hAnsi="Times New Roman" w:cs="Times New Roman"/>
                <w:sz w:val="26"/>
                <w:szCs w:val="26"/>
              </w:rPr>
              <w:t>khung quản lý rủi ro thống nhất</w:t>
            </w:r>
            <w:r w:rsidRPr="00F83041">
              <w:rPr>
                <w:rFonts w:ascii="Times New Roman" w:hAnsi="Times New Roman" w:cs="Times New Roman"/>
                <w:sz w:val="26"/>
                <w:szCs w:val="26"/>
              </w:rPr>
              <w:t>, với các định nghĩa chung giữa các chương trình. Thiết lập chu kỳ rà soát bắt buộc và các điều kiện kích hoạt rõ ràng để sử dụng các công cụ đánh giá rủi ro.</w:t>
            </w:r>
          </w:p>
        </w:tc>
      </w:tr>
      <w:tr w:rsidR="00F83041" w:rsidRPr="00F83041" w14:paraId="464EEFC2" w14:textId="77777777" w:rsidTr="00CC7CF0">
        <w:trPr>
          <w:tblCellSpacing w:w="15" w:type="dxa"/>
        </w:trPr>
        <w:tc>
          <w:tcPr>
            <w:tcW w:w="0" w:type="auto"/>
            <w:vAlign w:val="center"/>
            <w:hideMark/>
          </w:tcPr>
          <w:p w14:paraId="011EFD99" w14:textId="7777777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b/>
                <w:bCs/>
                <w:sz w:val="26"/>
                <w:szCs w:val="26"/>
              </w:rPr>
              <w:t>Hiện đại hóa công cụ</w:t>
            </w:r>
          </w:p>
        </w:tc>
        <w:tc>
          <w:tcPr>
            <w:tcW w:w="0" w:type="auto"/>
            <w:vAlign w:val="center"/>
            <w:hideMark/>
          </w:tcPr>
          <w:p w14:paraId="1CF38C02" w14:textId="7777777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Đơn giản hóa quy trình WAMS thành một hệ thống </w:t>
            </w:r>
            <w:r w:rsidRPr="00CC7CF0">
              <w:rPr>
                <w:rFonts w:ascii="Times New Roman" w:hAnsi="Times New Roman" w:cs="Times New Roman"/>
                <w:sz w:val="26"/>
                <w:szCs w:val="26"/>
              </w:rPr>
              <w:t>phân cấp dựa trên rủi ro.</w:t>
            </w:r>
            <w:r w:rsidRPr="00F83041">
              <w:rPr>
                <w:rFonts w:ascii="Times New Roman" w:hAnsi="Times New Roman" w:cs="Times New Roman"/>
                <w:sz w:val="26"/>
                <w:szCs w:val="26"/>
              </w:rPr>
              <w:t xml:space="preserve"> Mở rộng PARS từ các đánh giá tổng quan ở cấp khu vực xuống các phân tích chi tiết, cụ thể cho từng cảng.</w:t>
            </w:r>
          </w:p>
        </w:tc>
      </w:tr>
      <w:tr w:rsidR="00F83041" w:rsidRPr="00F83041" w14:paraId="3CA3DBB1" w14:textId="77777777" w:rsidTr="00CC7CF0">
        <w:trPr>
          <w:tblCellSpacing w:w="15" w:type="dxa"/>
        </w:trPr>
        <w:tc>
          <w:tcPr>
            <w:tcW w:w="0" w:type="auto"/>
            <w:vAlign w:val="center"/>
            <w:hideMark/>
          </w:tcPr>
          <w:p w14:paraId="5D50D24F" w14:textId="7777777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b/>
                <w:bCs/>
                <w:sz w:val="26"/>
                <w:szCs w:val="26"/>
              </w:rPr>
              <w:t>Tích hợp dữ liệu và phân tích</w:t>
            </w:r>
          </w:p>
        </w:tc>
        <w:tc>
          <w:tcPr>
            <w:tcW w:w="0" w:type="auto"/>
            <w:vAlign w:val="center"/>
            <w:hideMark/>
          </w:tcPr>
          <w:p w14:paraId="00A1075B" w14:textId="3973471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Phát triển một nền tảng dữ liệu tích hợp, kết hợp dữ liệu theo dõi </w:t>
            </w:r>
            <w:r w:rsidRPr="00CC7CF0">
              <w:rPr>
                <w:rFonts w:ascii="Times New Roman" w:hAnsi="Times New Roman" w:cs="Times New Roman"/>
                <w:sz w:val="26"/>
                <w:szCs w:val="26"/>
              </w:rPr>
              <w:t>AIS</w:t>
            </w:r>
            <w:r w:rsidRPr="00F83041">
              <w:rPr>
                <w:rFonts w:ascii="Times New Roman" w:hAnsi="Times New Roman" w:cs="Times New Roman"/>
                <w:sz w:val="26"/>
                <w:szCs w:val="26"/>
              </w:rPr>
              <w:t xml:space="preserve">, nhật ký tai nạn </w:t>
            </w:r>
            <w:r w:rsidRPr="00CC7CF0">
              <w:rPr>
                <w:rFonts w:ascii="Times New Roman" w:hAnsi="Times New Roman" w:cs="Times New Roman"/>
                <w:sz w:val="26"/>
                <w:szCs w:val="26"/>
              </w:rPr>
              <w:t>MISLE</w:t>
            </w:r>
            <w:r w:rsidRPr="00F83041">
              <w:rPr>
                <w:rFonts w:ascii="Times New Roman" w:hAnsi="Times New Roman" w:cs="Times New Roman"/>
                <w:sz w:val="26"/>
                <w:szCs w:val="26"/>
              </w:rPr>
              <w:t xml:space="preserve"> và cơ sở dữ liệu vận tải biển thương mại. Triển khai các bảng điều khiển theo thời gian thực, chẳng hạn </w:t>
            </w:r>
            <w:r w:rsidRPr="00CC7CF0">
              <w:rPr>
                <w:rFonts w:ascii="Times New Roman" w:hAnsi="Times New Roman" w:cs="Times New Roman"/>
                <w:sz w:val="26"/>
                <w:szCs w:val="26"/>
              </w:rPr>
              <w:t>Maritime Port Metrics Dashboard,</w:t>
            </w:r>
            <w:r w:rsidRPr="00F83041">
              <w:rPr>
                <w:rFonts w:ascii="Times New Roman" w:hAnsi="Times New Roman" w:cs="Times New Roman"/>
                <w:sz w:val="26"/>
                <w:szCs w:val="26"/>
              </w:rPr>
              <w:t xml:space="preserve"> để COTP có thể liên tục theo dõi giao thông và các rủi ro liên quan đến </w:t>
            </w:r>
            <w:r w:rsidRPr="00CC7CF0">
              <w:rPr>
                <w:rFonts w:ascii="Times New Roman" w:hAnsi="Times New Roman" w:cs="Times New Roman"/>
                <w:sz w:val="26"/>
                <w:szCs w:val="26"/>
              </w:rPr>
              <w:t xml:space="preserve">khoảng không </w:t>
            </w:r>
            <w:r w:rsidR="00CC7CF0">
              <w:rPr>
                <w:rFonts w:ascii="Times New Roman" w:hAnsi="Times New Roman" w:cs="Times New Roman"/>
                <w:sz w:val="26"/>
                <w:szCs w:val="26"/>
              </w:rPr>
              <w:t xml:space="preserve">ở phía </w:t>
            </w:r>
            <w:r w:rsidRPr="00CC7CF0">
              <w:rPr>
                <w:rFonts w:ascii="Times New Roman" w:hAnsi="Times New Roman" w:cs="Times New Roman"/>
                <w:sz w:val="26"/>
                <w:szCs w:val="26"/>
              </w:rPr>
              <w:t xml:space="preserve">dưới </w:t>
            </w:r>
            <w:r w:rsidR="00CC7CF0">
              <w:rPr>
                <w:rFonts w:ascii="Times New Roman" w:hAnsi="Times New Roman" w:cs="Times New Roman"/>
                <w:sz w:val="26"/>
                <w:szCs w:val="26"/>
              </w:rPr>
              <w:t xml:space="preserve">các cây </w:t>
            </w:r>
            <w:r w:rsidRPr="00CC7CF0">
              <w:rPr>
                <w:rFonts w:ascii="Times New Roman" w:hAnsi="Times New Roman" w:cs="Times New Roman"/>
                <w:sz w:val="26"/>
                <w:szCs w:val="26"/>
              </w:rPr>
              <w:t>cầu (air gap).</w:t>
            </w:r>
          </w:p>
        </w:tc>
      </w:tr>
      <w:tr w:rsidR="00F83041" w:rsidRPr="00F83041" w14:paraId="5DF607AC" w14:textId="77777777" w:rsidTr="00CC7CF0">
        <w:trPr>
          <w:tblCellSpacing w:w="15" w:type="dxa"/>
        </w:trPr>
        <w:tc>
          <w:tcPr>
            <w:tcW w:w="0" w:type="auto"/>
            <w:vAlign w:val="center"/>
            <w:hideMark/>
          </w:tcPr>
          <w:p w14:paraId="752FE087" w14:textId="7777777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b/>
                <w:bCs/>
                <w:sz w:val="26"/>
                <w:szCs w:val="26"/>
              </w:rPr>
              <w:t>Phát triển nguồn nhân lực</w:t>
            </w:r>
          </w:p>
        </w:tc>
        <w:tc>
          <w:tcPr>
            <w:tcW w:w="0" w:type="auto"/>
            <w:vAlign w:val="center"/>
            <w:hideMark/>
          </w:tcPr>
          <w:p w14:paraId="48C58E6F" w14:textId="167B2103"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Giải quyết tình trạng </w:t>
            </w:r>
            <w:r w:rsidRPr="00CC7CF0">
              <w:rPr>
                <w:rFonts w:ascii="Times New Roman" w:hAnsi="Times New Roman" w:cs="Times New Roman"/>
                <w:sz w:val="26"/>
                <w:szCs w:val="26"/>
              </w:rPr>
              <w:t>thiếu 31% nhân sự</w:t>
            </w:r>
            <w:r w:rsidRPr="00F83041">
              <w:rPr>
                <w:rFonts w:ascii="Times New Roman" w:hAnsi="Times New Roman" w:cs="Times New Roman"/>
                <w:sz w:val="26"/>
                <w:szCs w:val="26"/>
              </w:rPr>
              <w:t xml:space="preserve"> trong Chương trình Quản lý Đường thủy (WWM). Đưa đào tạo WWM trở lại các hình thức đào tạo có tính mô phỏng, thực hành cao và thiết lập </w:t>
            </w:r>
            <w:r w:rsidRPr="00F83041">
              <w:rPr>
                <w:rFonts w:ascii="Times New Roman" w:hAnsi="Times New Roman" w:cs="Times New Roman"/>
                <w:b/>
                <w:bCs/>
                <w:sz w:val="26"/>
                <w:szCs w:val="26"/>
              </w:rPr>
              <w:t>“</w:t>
            </w:r>
            <w:r w:rsidRPr="00CC7CF0">
              <w:rPr>
                <w:rFonts w:ascii="Times New Roman" w:hAnsi="Times New Roman" w:cs="Times New Roman"/>
                <w:sz w:val="26"/>
                <w:szCs w:val="26"/>
              </w:rPr>
              <w:t>Special Experience Indicator”</w:t>
            </w:r>
            <w:r w:rsidRPr="00F83041">
              <w:rPr>
                <w:rFonts w:ascii="Times New Roman" w:hAnsi="Times New Roman" w:cs="Times New Roman"/>
                <w:sz w:val="26"/>
                <w:szCs w:val="26"/>
              </w:rPr>
              <w:t xml:space="preserve"> để xây dựng đội ngũ chuyên gia chuyên sâu về rủi ro hàng hải.</w:t>
            </w:r>
          </w:p>
        </w:tc>
      </w:tr>
      <w:tr w:rsidR="00F83041" w:rsidRPr="00F83041" w14:paraId="0D0E8A09" w14:textId="77777777" w:rsidTr="00CC7CF0">
        <w:trPr>
          <w:tblCellSpacing w:w="15" w:type="dxa"/>
        </w:trPr>
        <w:tc>
          <w:tcPr>
            <w:tcW w:w="0" w:type="auto"/>
            <w:vAlign w:val="center"/>
            <w:hideMark/>
          </w:tcPr>
          <w:p w14:paraId="42913909" w14:textId="77777777"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b/>
                <w:bCs/>
                <w:sz w:val="26"/>
                <w:szCs w:val="26"/>
              </w:rPr>
              <w:t>Biện pháp giảm thiểu rủi ro tại địa phương</w:t>
            </w:r>
          </w:p>
        </w:tc>
        <w:tc>
          <w:tcPr>
            <w:tcW w:w="0" w:type="auto"/>
            <w:vAlign w:val="center"/>
            <w:hideMark/>
          </w:tcPr>
          <w:p w14:paraId="5845E928" w14:textId="12EFDCD0" w:rsidR="00F83041" w:rsidRP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Bắt buộc USCG và các </w:t>
            </w:r>
            <w:r w:rsidRPr="00CC7CF0">
              <w:rPr>
                <w:rFonts w:ascii="Times New Roman" w:hAnsi="Times New Roman" w:cs="Times New Roman"/>
                <w:sz w:val="26"/>
                <w:szCs w:val="26"/>
              </w:rPr>
              <w:t xml:space="preserve">Ủy ban </w:t>
            </w:r>
            <w:proofErr w:type="gramStart"/>
            <w:r w:rsidRPr="00CC7CF0">
              <w:rPr>
                <w:rFonts w:ascii="Times New Roman" w:hAnsi="Times New Roman" w:cs="Times New Roman"/>
                <w:sz w:val="26"/>
                <w:szCs w:val="26"/>
              </w:rPr>
              <w:t>An</w:t>
            </w:r>
            <w:proofErr w:type="gramEnd"/>
            <w:r w:rsidRPr="00CC7CF0">
              <w:rPr>
                <w:rFonts w:ascii="Times New Roman" w:hAnsi="Times New Roman" w:cs="Times New Roman"/>
                <w:sz w:val="26"/>
                <w:szCs w:val="26"/>
              </w:rPr>
              <w:t xml:space="preserve"> toàn Cảng</w:t>
            </w:r>
            <w:r w:rsidRPr="00F83041">
              <w:rPr>
                <w:rFonts w:ascii="Times New Roman" w:hAnsi="Times New Roman" w:cs="Times New Roman"/>
                <w:sz w:val="26"/>
                <w:szCs w:val="26"/>
              </w:rPr>
              <w:t xml:space="preserve"> cùng đánh giá năng lực cứu hộ, trục vớt tại địa phương, năng lực tàu lai dắt hộ tống và khả năng ứng phó khẩn cấp. Đánh giá lại các yêu cầu đối với </w:t>
            </w:r>
            <w:r w:rsidRPr="00CC7CF0">
              <w:rPr>
                <w:rFonts w:ascii="Times New Roman" w:hAnsi="Times New Roman" w:cs="Times New Roman"/>
                <w:sz w:val="26"/>
                <w:szCs w:val="26"/>
              </w:rPr>
              <w:t>Dịch vụ Giao thông Tàu thuyền</w:t>
            </w:r>
            <w:r w:rsidRPr="00F83041">
              <w:rPr>
                <w:rFonts w:ascii="Times New Roman" w:hAnsi="Times New Roman" w:cs="Times New Roman"/>
                <w:b/>
                <w:bCs/>
                <w:sz w:val="26"/>
                <w:szCs w:val="26"/>
              </w:rPr>
              <w:t xml:space="preserve"> </w:t>
            </w:r>
            <w:r w:rsidRPr="00CC7CF0">
              <w:rPr>
                <w:rFonts w:ascii="Times New Roman" w:hAnsi="Times New Roman" w:cs="Times New Roman"/>
                <w:sz w:val="26"/>
                <w:szCs w:val="26"/>
              </w:rPr>
              <w:t>(VTS)</w:t>
            </w:r>
            <w:r w:rsidRPr="00F83041">
              <w:rPr>
                <w:rFonts w:ascii="Times New Roman" w:hAnsi="Times New Roman" w:cs="Times New Roman"/>
                <w:sz w:val="26"/>
                <w:szCs w:val="26"/>
              </w:rPr>
              <w:t xml:space="preserve">, xử lý tình trạng trì hoãn bảo trì hệ thống và mở rộng các mạng lưới cảm biến thời gian thực như </w:t>
            </w:r>
            <w:r w:rsidRPr="00CC7CF0">
              <w:rPr>
                <w:rFonts w:ascii="Times New Roman" w:hAnsi="Times New Roman" w:cs="Times New Roman"/>
                <w:sz w:val="26"/>
                <w:szCs w:val="26"/>
              </w:rPr>
              <w:t>NOAA PORTS</w:t>
            </w:r>
            <w:r w:rsidRPr="00F83041">
              <w:rPr>
                <w:rFonts w:ascii="Times New Roman" w:hAnsi="Times New Roman" w:cs="Times New Roman"/>
                <w:sz w:val="26"/>
                <w:szCs w:val="26"/>
              </w:rPr>
              <w:t>.</w:t>
            </w:r>
          </w:p>
        </w:tc>
      </w:tr>
    </w:tbl>
    <w:p w14:paraId="40EBBC63" w14:textId="77777777" w:rsidR="00CC7CF0" w:rsidRDefault="00CC7CF0" w:rsidP="00CC7CF0">
      <w:pPr>
        <w:spacing w:before="120" w:after="120"/>
        <w:jc w:val="center"/>
        <w:rPr>
          <w:rFonts w:ascii="Times New Roman" w:hAnsi="Times New Roman" w:cs="Times New Roman"/>
          <w:b/>
          <w:bCs/>
          <w:sz w:val="26"/>
          <w:szCs w:val="26"/>
        </w:rPr>
      </w:pPr>
      <w:r w:rsidRPr="00F83041">
        <w:drawing>
          <wp:inline distT="0" distB="0" distL="0" distR="0" wp14:anchorId="6D59C0BC" wp14:editId="3987E1D9">
            <wp:extent cx="5326380" cy="2471087"/>
            <wp:effectExtent l="0" t="0" r="7620" b="5715"/>
            <wp:docPr id="11268543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9276" cy="2477070"/>
                    </a:xfrm>
                    <a:prstGeom prst="rect">
                      <a:avLst/>
                    </a:prstGeom>
                    <a:noFill/>
                    <a:ln>
                      <a:noFill/>
                    </a:ln>
                  </pic:spPr>
                </pic:pic>
              </a:graphicData>
            </a:graphic>
          </wp:inline>
        </w:drawing>
      </w:r>
    </w:p>
    <w:p w14:paraId="01D24155" w14:textId="65672462" w:rsidR="00F83041" w:rsidRPr="00F83041" w:rsidRDefault="00F83041" w:rsidP="00F83041">
      <w:pPr>
        <w:spacing w:before="120" w:after="120"/>
        <w:jc w:val="both"/>
        <w:rPr>
          <w:rFonts w:ascii="Times New Roman" w:hAnsi="Times New Roman" w:cs="Times New Roman"/>
          <w:b/>
          <w:bCs/>
          <w:sz w:val="26"/>
          <w:szCs w:val="26"/>
        </w:rPr>
      </w:pPr>
      <w:r w:rsidRPr="00F83041">
        <w:rPr>
          <w:rFonts w:ascii="Times New Roman" w:hAnsi="Times New Roman" w:cs="Times New Roman"/>
          <w:b/>
          <w:bCs/>
          <w:sz w:val="26"/>
          <w:szCs w:val="26"/>
        </w:rPr>
        <w:lastRenderedPageBreak/>
        <w:t>Bước tiếp theo đối với các bên liên quan trong ngành hàng hải</w:t>
      </w:r>
    </w:p>
    <w:p w14:paraId="6015D8B9" w14:textId="14B591DC" w:rsidR="00F83041" w:rsidRPr="00CC7CF0" w:rsidRDefault="00F83041" w:rsidP="00F83041">
      <w:pPr>
        <w:spacing w:before="120" w:after="120"/>
        <w:jc w:val="both"/>
        <w:rPr>
          <w:rFonts w:ascii="Times New Roman" w:hAnsi="Times New Roman" w:cs="Times New Roman"/>
          <w:color w:val="EE0000"/>
          <w:sz w:val="26"/>
          <w:szCs w:val="26"/>
        </w:rPr>
      </w:pPr>
      <w:r w:rsidRPr="00F83041">
        <w:rPr>
          <w:rFonts w:ascii="Times New Roman" w:hAnsi="Times New Roman" w:cs="Times New Roman"/>
          <w:sz w:val="26"/>
          <w:szCs w:val="26"/>
        </w:rPr>
        <w:t>Phó Đô đốc Wayne Arguin, Chủ tịch Hội đồng Điều tra, phát biểu:</w:t>
      </w:r>
      <w:r w:rsidR="00CC7CF0">
        <w:rPr>
          <w:rFonts w:ascii="Times New Roman" w:hAnsi="Times New Roman" w:cs="Times New Roman"/>
          <w:sz w:val="26"/>
          <w:szCs w:val="26"/>
        </w:rPr>
        <w:t xml:space="preserve"> </w:t>
      </w:r>
      <w:r w:rsidRPr="00F83041">
        <w:rPr>
          <w:rFonts w:ascii="Times New Roman" w:hAnsi="Times New Roman" w:cs="Times New Roman"/>
          <w:sz w:val="26"/>
          <w:szCs w:val="26"/>
        </w:rPr>
        <w:t>“</w:t>
      </w:r>
      <w:r w:rsidRPr="00CC7CF0">
        <w:rPr>
          <w:rFonts w:ascii="Times New Roman" w:hAnsi="Times New Roman" w:cs="Times New Roman"/>
          <w:color w:val="EE0000"/>
          <w:sz w:val="26"/>
          <w:szCs w:val="26"/>
        </w:rPr>
        <w:t>Thảm họa Key Bridge cho thấy nhu cầu cấp thiết phải tăng cường cách tiếp cận của chúng ta đối với an toàn cảng và quản lý rủi ro. Những phát hiện và khuyến nghị của Hội đồng đưa ra một lộ trình nhằm nâng cao khả năng chống chịu của các cảng và bảo đảm sự an toàn liên tục của Hệ thống Giao thông Hàng hải.”</w:t>
      </w:r>
    </w:p>
    <w:p w14:paraId="4128269F" w14:textId="77777777" w:rsidR="00F83041" w:rsidRDefault="00F83041" w:rsidP="00F83041">
      <w:pPr>
        <w:spacing w:before="120" w:after="120"/>
        <w:jc w:val="both"/>
        <w:rPr>
          <w:rFonts w:ascii="Times New Roman" w:hAnsi="Times New Roman" w:cs="Times New Roman"/>
          <w:sz w:val="26"/>
          <w:szCs w:val="26"/>
        </w:rPr>
      </w:pPr>
      <w:r w:rsidRPr="00F83041">
        <w:rPr>
          <w:rFonts w:ascii="Times New Roman" w:hAnsi="Times New Roman" w:cs="Times New Roman"/>
          <w:sz w:val="26"/>
          <w:szCs w:val="26"/>
        </w:rPr>
        <w:t xml:space="preserve">Việc công bố báo cáo mở ra một </w:t>
      </w:r>
      <w:r w:rsidRPr="00CC7CF0">
        <w:rPr>
          <w:rFonts w:ascii="Times New Roman" w:hAnsi="Times New Roman" w:cs="Times New Roman"/>
          <w:sz w:val="26"/>
          <w:szCs w:val="26"/>
        </w:rPr>
        <w:t>giai đoạn tham vấn quan trọng</w:t>
      </w:r>
      <w:r w:rsidRPr="00F83041">
        <w:rPr>
          <w:rFonts w:ascii="Times New Roman" w:hAnsi="Times New Roman" w:cs="Times New Roman"/>
          <w:sz w:val="26"/>
          <w:szCs w:val="26"/>
        </w:rPr>
        <w:t xml:space="preserve"> đối với các nhà lãnh đạo ngành hàng hải, đơn vị khai thác cảng, các cơ quan giao thông vận tải cấp bang (State DOTs) và các Ủy ban </w:t>
      </w:r>
      <w:proofErr w:type="gramStart"/>
      <w:r w:rsidRPr="00F83041">
        <w:rPr>
          <w:rFonts w:ascii="Times New Roman" w:hAnsi="Times New Roman" w:cs="Times New Roman"/>
          <w:sz w:val="26"/>
          <w:szCs w:val="26"/>
        </w:rPr>
        <w:t>An</w:t>
      </w:r>
      <w:proofErr w:type="gramEnd"/>
      <w:r w:rsidRPr="00F83041">
        <w:rPr>
          <w:rFonts w:ascii="Times New Roman" w:hAnsi="Times New Roman" w:cs="Times New Roman"/>
          <w:sz w:val="26"/>
          <w:szCs w:val="26"/>
        </w:rPr>
        <w:t xml:space="preserve"> toàn Cảng địa phương.</w:t>
      </w:r>
    </w:p>
    <w:p w14:paraId="350F55ED" w14:textId="69F903DC" w:rsidR="00CC7CF0" w:rsidRPr="00F83041" w:rsidRDefault="00CC7CF0" w:rsidP="00CC7CF0">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C7CF0" w:rsidRPr="00F83041" w:rsidSect="00F83041">
      <w:pgSz w:w="12240" w:h="15840"/>
      <w:pgMar w:top="900" w:right="99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E6F39"/>
    <w:multiLevelType w:val="multilevel"/>
    <w:tmpl w:val="79C63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92187"/>
    <w:multiLevelType w:val="multilevel"/>
    <w:tmpl w:val="C214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BA6A6F"/>
    <w:multiLevelType w:val="multilevel"/>
    <w:tmpl w:val="DF904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2036B7"/>
    <w:multiLevelType w:val="multilevel"/>
    <w:tmpl w:val="78C0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987190">
    <w:abstractNumId w:val="1"/>
  </w:num>
  <w:num w:numId="2" w16cid:durableId="428935812">
    <w:abstractNumId w:val="3"/>
  </w:num>
  <w:num w:numId="3" w16cid:durableId="1397896773">
    <w:abstractNumId w:val="2"/>
  </w:num>
  <w:num w:numId="4" w16cid:durableId="596210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041"/>
    <w:rsid w:val="000501D0"/>
    <w:rsid w:val="00B92D9E"/>
    <w:rsid w:val="00C13E10"/>
    <w:rsid w:val="00CC7CF0"/>
    <w:rsid w:val="00F83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4CB9"/>
  <w15:chartTrackingRefBased/>
  <w15:docId w15:val="{957B1F19-635C-44F6-BEF1-0B403AE7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0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0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0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0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0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0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0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0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0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0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0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0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0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0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0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041"/>
    <w:rPr>
      <w:rFonts w:eastAsiaTheme="majorEastAsia" w:cstheme="majorBidi"/>
      <w:color w:val="272727" w:themeColor="text1" w:themeTint="D8"/>
    </w:rPr>
  </w:style>
  <w:style w:type="paragraph" w:styleId="Title">
    <w:name w:val="Title"/>
    <w:basedOn w:val="Normal"/>
    <w:next w:val="Normal"/>
    <w:link w:val="TitleChar"/>
    <w:uiPriority w:val="10"/>
    <w:qFormat/>
    <w:rsid w:val="00F830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0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0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0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041"/>
    <w:pPr>
      <w:spacing w:before="160"/>
      <w:jc w:val="center"/>
    </w:pPr>
    <w:rPr>
      <w:i/>
      <w:iCs/>
      <w:color w:val="404040" w:themeColor="text1" w:themeTint="BF"/>
    </w:rPr>
  </w:style>
  <w:style w:type="character" w:customStyle="1" w:styleId="QuoteChar">
    <w:name w:val="Quote Char"/>
    <w:basedOn w:val="DefaultParagraphFont"/>
    <w:link w:val="Quote"/>
    <w:uiPriority w:val="29"/>
    <w:rsid w:val="00F83041"/>
    <w:rPr>
      <w:i/>
      <w:iCs/>
      <w:color w:val="404040" w:themeColor="text1" w:themeTint="BF"/>
    </w:rPr>
  </w:style>
  <w:style w:type="paragraph" w:styleId="ListParagraph">
    <w:name w:val="List Paragraph"/>
    <w:basedOn w:val="Normal"/>
    <w:uiPriority w:val="34"/>
    <w:qFormat/>
    <w:rsid w:val="00F83041"/>
    <w:pPr>
      <w:ind w:left="720"/>
      <w:contextualSpacing/>
    </w:pPr>
  </w:style>
  <w:style w:type="character" w:styleId="IntenseEmphasis">
    <w:name w:val="Intense Emphasis"/>
    <w:basedOn w:val="DefaultParagraphFont"/>
    <w:uiPriority w:val="21"/>
    <w:qFormat/>
    <w:rsid w:val="00F83041"/>
    <w:rPr>
      <w:i/>
      <w:iCs/>
      <w:color w:val="0F4761" w:themeColor="accent1" w:themeShade="BF"/>
    </w:rPr>
  </w:style>
  <w:style w:type="paragraph" w:styleId="IntenseQuote">
    <w:name w:val="Intense Quote"/>
    <w:basedOn w:val="Normal"/>
    <w:next w:val="Normal"/>
    <w:link w:val="IntenseQuoteChar"/>
    <w:uiPriority w:val="30"/>
    <w:qFormat/>
    <w:rsid w:val="00F83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041"/>
    <w:rPr>
      <w:i/>
      <w:iCs/>
      <w:color w:val="0F4761" w:themeColor="accent1" w:themeShade="BF"/>
    </w:rPr>
  </w:style>
  <w:style w:type="character" w:styleId="IntenseReference">
    <w:name w:val="Intense Reference"/>
    <w:basedOn w:val="DefaultParagraphFont"/>
    <w:uiPriority w:val="32"/>
    <w:qFormat/>
    <w:rsid w:val="00F83041"/>
    <w:rPr>
      <w:b/>
      <w:bCs/>
      <w:smallCaps/>
      <w:color w:val="0F4761" w:themeColor="accent1" w:themeShade="BF"/>
      <w:spacing w:val="5"/>
    </w:rPr>
  </w:style>
  <w:style w:type="character" w:styleId="Hyperlink">
    <w:name w:val="Hyperlink"/>
    <w:basedOn w:val="DefaultParagraphFont"/>
    <w:uiPriority w:val="99"/>
    <w:unhideWhenUsed/>
    <w:rsid w:val="00F83041"/>
    <w:rPr>
      <w:color w:val="467886" w:themeColor="hyperlink"/>
      <w:u w:val="single"/>
    </w:rPr>
  </w:style>
  <w:style w:type="character" w:styleId="UnresolvedMention">
    <w:name w:val="Unresolved Mention"/>
    <w:basedOn w:val="DefaultParagraphFont"/>
    <w:uiPriority w:val="99"/>
    <w:semiHidden/>
    <w:unhideWhenUsed/>
    <w:rsid w:val="00F83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maritimecyprus.com/author/maritimecypr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2026-09-17T02:29:00Z</dcterms:created>
  <dcterms:modified xsi:type="dcterms:W3CDTF">2026-09-17T02:47:00Z</dcterms:modified>
</cp:coreProperties>
</file>