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13C16" w14:textId="17D598B9" w:rsidR="00FC2F35" w:rsidRPr="002872C6" w:rsidRDefault="00FC2F35" w:rsidP="002872C6">
      <w:pPr>
        <w:spacing w:line="240" w:lineRule="auto"/>
        <w:jc w:val="center"/>
        <w:rPr>
          <w:rFonts w:ascii="Times New Roman" w:hAnsi="Times New Roman" w:cs="Times New Roman"/>
          <w:color w:val="4C94D8" w:themeColor="text2" w:themeTint="80"/>
          <w:sz w:val="40"/>
          <w:szCs w:val="40"/>
        </w:rPr>
      </w:pPr>
      <w:r w:rsidRPr="002872C6">
        <w:rPr>
          <w:rFonts w:ascii="Times New Roman" w:hAnsi="Times New Roman" w:cs="Times New Roman"/>
          <w:b/>
          <w:bCs/>
          <w:color w:val="4C94D8" w:themeColor="text2" w:themeTint="80"/>
          <w:sz w:val="40"/>
          <w:szCs w:val="40"/>
        </w:rPr>
        <w:t>Ba bài học chính rút ra từ năm đầu tiên triển khai</w:t>
      </w:r>
      <w:r w:rsidRPr="002872C6">
        <w:rPr>
          <w:rFonts w:ascii="Times New Roman" w:hAnsi="Times New Roman" w:cs="Times New Roman"/>
          <w:b/>
          <w:bCs/>
          <w:color w:val="4C94D8" w:themeColor="text2" w:themeTint="80"/>
          <w:sz w:val="40"/>
          <w:szCs w:val="40"/>
        </w:rPr>
        <w:t xml:space="preserve"> </w:t>
      </w:r>
      <w:r w:rsidRPr="002872C6">
        <w:rPr>
          <w:rFonts w:ascii="Times New Roman" w:hAnsi="Times New Roman" w:cs="Times New Roman"/>
          <w:b/>
          <w:bCs/>
          <w:color w:val="4C94D8" w:themeColor="text2" w:themeTint="80"/>
          <w:sz w:val="40"/>
          <w:szCs w:val="40"/>
        </w:rPr>
        <w:t>FuelEU Maritime</w:t>
      </w:r>
    </w:p>
    <w:p w14:paraId="5FB3E66E" w14:textId="35087437" w:rsidR="00FC2F35" w:rsidRPr="00FC2F35" w:rsidRDefault="00FC2F35" w:rsidP="00FC2F35">
      <w:pPr>
        <w:jc w:val="right"/>
      </w:pPr>
      <w:hyperlink r:id="rId5" w:history="1">
        <w:r w:rsidRPr="00FC2F35">
          <w:rPr>
            <w:rStyle w:val="Hyperlink"/>
          </w:rPr>
          <w:t>Green Shipping</w:t>
        </w:r>
      </w:hyperlink>
    </w:p>
    <w:p w14:paraId="139BF63C" w14:textId="7CE5748E" w:rsidR="00FC2F35" w:rsidRPr="00FC2F35" w:rsidRDefault="00FC2F35" w:rsidP="00FC2F35">
      <w:r w:rsidRPr="00FC2F35">
        <w:drawing>
          <wp:inline distT="0" distB="0" distL="0" distR="0" wp14:anchorId="0ED980A4" wp14:editId="06FB973B">
            <wp:extent cx="5943600" cy="2974975"/>
            <wp:effectExtent l="0" t="0" r="0" b="0"/>
            <wp:docPr id="1252791152" name="Picture 2" descr="EU 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U ET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0A2A7891" w14:textId="77777777" w:rsidR="00FC2F35" w:rsidRPr="00FC2F35" w:rsidRDefault="00FC2F35" w:rsidP="00FC2F35">
      <w:pPr>
        <w:spacing w:before="120" w:after="120"/>
        <w:jc w:val="both"/>
        <w:rPr>
          <w:rFonts w:ascii="Times New Roman" w:hAnsi="Times New Roman" w:cs="Times New Roman"/>
          <w:sz w:val="26"/>
          <w:szCs w:val="26"/>
        </w:rPr>
      </w:pPr>
      <w:r w:rsidRPr="00FC2F35">
        <w:rPr>
          <w:rFonts w:ascii="Times New Roman" w:hAnsi="Times New Roman" w:cs="Times New Roman"/>
          <w:sz w:val="26"/>
          <w:szCs w:val="26"/>
        </w:rPr>
        <w:t>Năm đầu tiên thực hiện tuân thủ FuelEU Maritime đã cho thấy những dấu hiệu ban đầu về cách thức quy định này vận hành trên thực tế. Hơn 90% tàu đã sử dụng cơ chế pooling để đáp ứng các nghĩa vụ tuân thủ, trong khi biodiesel (diesel sinh học) nổi lên là loại nhiên liệu tái tạo và carbon thấp được sử dụng chủ yếu để đáp ứng yêu cầu tuân thủ.</w:t>
      </w:r>
    </w:p>
    <w:p w14:paraId="1A5FF871" w14:textId="77777777" w:rsidR="00FC2F35" w:rsidRPr="00FC2F35" w:rsidRDefault="00FC2F35" w:rsidP="00FC2F35">
      <w:pPr>
        <w:spacing w:before="120" w:after="120"/>
        <w:jc w:val="both"/>
        <w:rPr>
          <w:rFonts w:ascii="Times New Roman" w:hAnsi="Times New Roman" w:cs="Times New Roman"/>
          <w:sz w:val="26"/>
          <w:szCs w:val="26"/>
        </w:rPr>
      </w:pPr>
      <w:r w:rsidRPr="00FC2F35">
        <w:rPr>
          <w:rFonts w:ascii="Times New Roman" w:hAnsi="Times New Roman" w:cs="Times New Roman"/>
          <w:sz w:val="26"/>
          <w:szCs w:val="26"/>
        </w:rPr>
        <w:t xml:space="preserve">Những kết quả này đến từ một phân tích mới của Joe Bettles, Quản lý Chính sách Khí hậu tại Mærsk </w:t>
      </w:r>
      <w:proofErr w:type="gramStart"/>
      <w:r w:rsidRPr="00FC2F35">
        <w:rPr>
          <w:rFonts w:ascii="Times New Roman" w:hAnsi="Times New Roman" w:cs="Times New Roman"/>
          <w:sz w:val="26"/>
          <w:szCs w:val="26"/>
        </w:rPr>
        <w:t>Mc-Kinney</w:t>
      </w:r>
      <w:proofErr w:type="gramEnd"/>
      <w:r w:rsidRPr="00FC2F35">
        <w:rPr>
          <w:rFonts w:ascii="Times New Roman" w:hAnsi="Times New Roman" w:cs="Times New Roman"/>
          <w:sz w:val="26"/>
          <w:szCs w:val="26"/>
        </w:rPr>
        <w:t xml:space="preserve"> Møller Center for Zero Carbon Shipping, được công bố trong loạt báo cáo </w:t>
      </w:r>
      <w:r w:rsidRPr="00FC2F35">
        <w:rPr>
          <w:rFonts w:ascii="Times New Roman" w:hAnsi="Times New Roman" w:cs="Times New Roman"/>
          <w:i/>
          <w:iCs/>
          <w:sz w:val="26"/>
          <w:szCs w:val="26"/>
        </w:rPr>
        <w:t>Countdown</w:t>
      </w:r>
      <w:r w:rsidRPr="00FC2F35">
        <w:rPr>
          <w:rFonts w:ascii="Times New Roman" w:hAnsi="Times New Roman" w:cs="Times New Roman"/>
          <w:sz w:val="26"/>
          <w:szCs w:val="26"/>
        </w:rPr>
        <w:t xml:space="preserve"> của Trung tâm. Phân tích cũng được thảo luận trong tập mới nhất của podcast </w:t>
      </w:r>
      <w:r w:rsidRPr="00FC2F35">
        <w:rPr>
          <w:rFonts w:ascii="Times New Roman" w:hAnsi="Times New Roman" w:cs="Times New Roman"/>
          <w:i/>
          <w:iCs/>
          <w:sz w:val="26"/>
          <w:szCs w:val="26"/>
        </w:rPr>
        <w:t>The Current</w:t>
      </w:r>
      <w:r w:rsidRPr="00FC2F35">
        <w:rPr>
          <w:rFonts w:ascii="Times New Roman" w:hAnsi="Times New Roman" w:cs="Times New Roman"/>
          <w:sz w:val="26"/>
          <w:szCs w:val="26"/>
        </w:rPr>
        <w:t xml:space="preserve"> của Trung tâm, với sự tham gia của Thomas Edelgaard Christensen, Managing Counsel tại Gorrissen Federspiel, và Laurids Møhl, Principal tại Boston Consulting Group.</w:t>
      </w:r>
    </w:p>
    <w:p w14:paraId="6ECACF81" w14:textId="77777777" w:rsidR="00FC2F35" w:rsidRPr="00FC2F35" w:rsidRDefault="00FC2F35" w:rsidP="00FC2F35">
      <w:pPr>
        <w:spacing w:before="120" w:after="120"/>
        <w:jc w:val="both"/>
        <w:rPr>
          <w:rFonts w:ascii="Times New Roman" w:hAnsi="Times New Roman" w:cs="Times New Roman"/>
          <w:b/>
          <w:bCs/>
          <w:sz w:val="26"/>
          <w:szCs w:val="26"/>
        </w:rPr>
      </w:pPr>
      <w:r w:rsidRPr="00FC2F35">
        <w:rPr>
          <w:rFonts w:ascii="Times New Roman" w:hAnsi="Times New Roman" w:cs="Times New Roman"/>
          <w:b/>
          <w:bCs/>
          <w:sz w:val="26"/>
          <w:szCs w:val="26"/>
        </w:rPr>
        <w:t>Các tàu đã tuân thủ FuelEU như thế nào?</w:t>
      </w:r>
    </w:p>
    <w:p w14:paraId="75877A80" w14:textId="77777777" w:rsidR="00FC2F35" w:rsidRPr="00FC2F35" w:rsidRDefault="00FC2F35" w:rsidP="00FC2F35">
      <w:pPr>
        <w:numPr>
          <w:ilvl w:val="0"/>
          <w:numId w:val="3"/>
        </w:numPr>
        <w:spacing w:before="120" w:after="120"/>
        <w:jc w:val="both"/>
        <w:rPr>
          <w:rFonts w:ascii="Times New Roman" w:hAnsi="Times New Roman" w:cs="Times New Roman"/>
          <w:sz w:val="26"/>
          <w:szCs w:val="26"/>
        </w:rPr>
      </w:pPr>
      <w:r w:rsidRPr="00FC2F35">
        <w:rPr>
          <w:rFonts w:ascii="Times New Roman" w:hAnsi="Times New Roman" w:cs="Times New Roman"/>
          <w:sz w:val="26"/>
          <w:szCs w:val="26"/>
        </w:rPr>
        <w:t>Các chứng nhận tuân thủ (Documents of Compliance – DoC) cho năm 2025, năm đầu tiên thực hiện FuelEU, cho thấy hơn 90% tàu đã sử dụng cơ chế pooling để đáp ứng nghĩa vụ của mình. Pooling cho phép các tàu có mức tuân thủ dư thừa chuyển phần dư này cho những tàu bị thiếu hụt mức tuân thủ và là cơ chế linh hoạt được sử dụng rộng rãi nhất.</w:t>
      </w:r>
    </w:p>
    <w:p w14:paraId="69737D67" w14:textId="77777777" w:rsidR="00FC2F35" w:rsidRPr="00FC2F35" w:rsidRDefault="00FC2F35" w:rsidP="00FC2F35">
      <w:pPr>
        <w:numPr>
          <w:ilvl w:val="0"/>
          <w:numId w:val="3"/>
        </w:numPr>
        <w:spacing w:before="120" w:after="120"/>
        <w:jc w:val="both"/>
        <w:rPr>
          <w:rFonts w:ascii="Times New Roman" w:hAnsi="Times New Roman" w:cs="Times New Roman"/>
          <w:sz w:val="26"/>
          <w:szCs w:val="26"/>
        </w:rPr>
      </w:pPr>
      <w:r w:rsidRPr="00FC2F35">
        <w:rPr>
          <w:rFonts w:ascii="Times New Roman" w:hAnsi="Times New Roman" w:cs="Times New Roman"/>
          <w:sz w:val="26"/>
          <w:szCs w:val="26"/>
        </w:rPr>
        <w:t>Mặc dù có những vấn đề phức tạp liên quan đến trách nhiệm của các bên và yêu cầu phải có các thỏa thuận hợp đồng để chuyển giao lợi ích thương mại giữa các bên, tỷ lệ sử dụng pooling cao cho thấy bên mua đã có thể tìm được bên bán và hoàn tất giao dịch trước thời hạn vào tháng 4/2026.</w:t>
      </w:r>
    </w:p>
    <w:p w14:paraId="0E9ED0D5" w14:textId="77777777" w:rsidR="00FC2F35" w:rsidRPr="00FC2F35" w:rsidRDefault="00FC2F35" w:rsidP="00FC2F35">
      <w:pPr>
        <w:numPr>
          <w:ilvl w:val="0"/>
          <w:numId w:val="3"/>
        </w:numPr>
        <w:spacing w:before="120" w:after="120"/>
        <w:jc w:val="both"/>
        <w:rPr>
          <w:rFonts w:ascii="Times New Roman" w:hAnsi="Times New Roman" w:cs="Times New Roman"/>
          <w:sz w:val="26"/>
          <w:szCs w:val="26"/>
        </w:rPr>
      </w:pPr>
      <w:r w:rsidRPr="00FC2F35">
        <w:rPr>
          <w:rFonts w:ascii="Times New Roman" w:hAnsi="Times New Roman" w:cs="Times New Roman"/>
          <w:sz w:val="26"/>
          <w:szCs w:val="26"/>
        </w:rPr>
        <w:lastRenderedPageBreak/>
        <w:t>Ngược lại, chưa đến 2% tàu sử dụng cơ chế borrowing (vay), cho phép doanh nghiệp chuyển phần thiếu hụt tuân thủ sang năm tiếp theo, nhưng phải chịu khoản phụ phí 10%. Phân tích cho rằng tỷ lệ sử dụng thấp có thể xuất phát từ khoản phụ phí này cũng như sự sẵn có của cơ chế pooling.</w:t>
      </w:r>
    </w:p>
    <w:p w14:paraId="7DBE2AE1" w14:textId="76A5A359" w:rsidR="00FC2F35" w:rsidRPr="00FC2F35" w:rsidRDefault="00FC2F35" w:rsidP="00FC2F35">
      <w:pPr>
        <w:numPr>
          <w:ilvl w:val="0"/>
          <w:numId w:val="3"/>
        </w:numPr>
        <w:spacing w:before="120" w:after="120"/>
        <w:jc w:val="both"/>
        <w:rPr>
          <w:rFonts w:ascii="Times New Roman" w:hAnsi="Times New Roman" w:cs="Times New Roman"/>
          <w:sz w:val="26"/>
          <w:szCs w:val="26"/>
        </w:rPr>
      </w:pPr>
      <w:r w:rsidRPr="00FC2F35">
        <w:rPr>
          <w:rFonts w:ascii="Times New Roman" w:hAnsi="Times New Roman" w:cs="Times New Roman"/>
          <w:sz w:val="26"/>
          <w:szCs w:val="26"/>
        </w:rPr>
        <w:t xml:space="preserve">Khoảng 7% tàu không yêu cầu sử dụng bất kỳ cơ chế linh hoạt nào. Khoảng một nửa trong số này trực tiếp đạt mục tiêu tuân thủ nhờ sử dụng LNG hoặc các nguồn năng lượng carbon thấp khác, trong khi số còn lại phải nộp khoản phạt </w:t>
      </w:r>
      <w:r>
        <w:rPr>
          <w:rFonts w:ascii="Times New Roman" w:hAnsi="Times New Roman" w:cs="Times New Roman"/>
          <w:sz w:val="26"/>
          <w:szCs w:val="26"/>
        </w:rPr>
        <w:t xml:space="preserve">theo </w:t>
      </w:r>
      <w:r w:rsidRPr="00FC2F35">
        <w:rPr>
          <w:rFonts w:ascii="Times New Roman" w:hAnsi="Times New Roman" w:cs="Times New Roman"/>
          <w:sz w:val="26"/>
          <w:szCs w:val="26"/>
        </w:rPr>
        <w:t>FuelEU.</w:t>
      </w:r>
    </w:p>
    <w:p w14:paraId="03800017" w14:textId="77777777" w:rsidR="00FC2F35" w:rsidRPr="00FC2F35" w:rsidRDefault="00FC2F35" w:rsidP="00FC2F35">
      <w:pPr>
        <w:numPr>
          <w:ilvl w:val="0"/>
          <w:numId w:val="3"/>
        </w:numPr>
        <w:spacing w:before="120" w:after="120"/>
        <w:jc w:val="both"/>
        <w:rPr>
          <w:rFonts w:ascii="Times New Roman" w:hAnsi="Times New Roman" w:cs="Times New Roman"/>
          <w:sz w:val="26"/>
          <w:szCs w:val="26"/>
        </w:rPr>
      </w:pPr>
      <w:r w:rsidRPr="00FC2F35">
        <w:rPr>
          <w:rFonts w:ascii="Times New Roman" w:hAnsi="Times New Roman" w:cs="Times New Roman"/>
          <w:sz w:val="26"/>
          <w:szCs w:val="26"/>
        </w:rPr>
        <w:t>Bản thân khoản phạt cũng là một cơ chế linh hoạt, cho phép doanh nghiệp trả tiền để đáp ứng yêu cầu tuân thủ. Với mức 2.400 EUR cho mỗi tấn thiếu hụt quy đổi theo VLSFO, khoản phạt tương đương với chi phí giảm phát thải ước tính khoảng 640 EUR/tCO₂eq đối với VLSFO, dựa trên tuyến sử dụng dầu nhiên liệu nặng được quy định tại Phụ lục II của FuelEU.</w:t>
      </w:r>
    </w:p>
    <w:p w14:paraId="609019B1" w14:textId="77777777" w:rsidR="00FC2F35" w:rsidRPr="00FC2F35" w:rsidRDefault="00FC2F35" w:rsidP="00FC2F35">
      <w:pPr>
        <w:spacing w:before="120" w:after="120"/>
        <w:jc w:val="both"/>
        <w:rPr>
          <w:rFonts w:ascii="Times New Roman" w:hAnsi="Times New Roman" w:cs="Times New Roman"/>
          <w:b/>
          <w:bCs/>
          <w:sz w:val="26"/>
          <w:szCs w:val="26"/>
        </w:rPr>
      </w:pPr>
      <w:r w:rsidRPr="00FC2F35">
        <w:rPr>
          <w:rFonts w:ascii="Times New Roman" w:hAnsi="Times New Roman" w:cs="Times New Roman"/>
          <w:b/>
          <w:bCs/>
          <w:sz w:val="26"/>
          <w:szCs w:val="26"/>
        </w:rPr>
        <w:t>Thị trường pooling đang hình thành</w:t>
      </w:r>
    </w:p>
    <w:p w14:paraId="13368301" w14:textId="4B789195" w:rsidR="00FC2F35" w:rsidRPr="00FC2F35" w:rsidRDefault="00FC2F35" w:rsidP="00FC2F35">
      <w:pPr>
        <w:spacing w:before="120" w:after="120"/>
        <w:jc w:val="both"/>
        <w:rPr>
          <w:rFonts w:ascii="Times New Roman" w:hAnsi="Times New Roman" w:cs="Times New Roman"/>
          <w:sz w:val="26"/>
          <w:szCs w:val="26"/>
        </w:rPr>
      </w:pPr>
      <w:r w:rsidRPr="00FC2F35">
        <w:rPr>
          <w:rFonts w:ascii="Times New Roman" w:hAnsi="Times New Roman" w:cs="Times New Roman"/>
          <w:sz w:val="26"/>
          <w:szCs w:val="26"/>
        </w:rPr>
        <w:t>Các đơn vị tuân thủ FuelEU khác với hạn ngạch EU ETS, bởi chúng được trao đổi thông qua các pool gồm nhiều tàu được thiết lập cho cả một năm, thay vì là các hạn ngạch chuẩn được giao dịch trên các sàn giao dịch được quản lý.</w:t>
      </w:r>
    </w:p>
    <w:p w14:paraId="2D4C7FD3" w14:textId="77777777" w:rsidR="00FC2F35" w:rsidRPr="00FC2F35" w:rsidRDefault="00FC2F35" w:rsidP="00FC2F35">
      <w:pPr>
        <w:spacing w:before="120" w:after="120"/>
        <w:jc w:val="both"/>
        <w:rPr>
          <w:rFonts w:ascii="Times New Roman" w:hAnsi="Times New Roman" w:cs="Times New Roman"/>
          <w:sz w:val="26"/>
          <w:szCs w:val="26"/>
        </w:rPr>
      </w:pPr>
      <w:r w:rsidRPr="00FC2F35">
        <w:rPr>
          <w:rFonts w:ascii="Times New Roman" w:hAnsi="Times New Roman" w:cs="Times New Roman"/>
          <w:sz w:val="26"/>
          <w:szCs w:val="26"/>
        </w:rPr>
        <w:t>Các thỏa thuận pooling có thể được thực hiện trực tiếp trong cùng một đội tàu, giữa các doanh nghiệp hoặc thông qua các nền tảng thương mại của bên thứ ba.</w:t>
      </w:r>
    </w:p>
    <w:p w14:paraId="6AD09FE9" w14:textId="0C388D28" w:rsidR="00FC2F35" w:rsidRPr="00FC2F35" w:rsidRDefault="00FC2F35" w:rsidP="00FC2F35">
      <w:pPr>
        <w:spacing w:before="120" w:after="120"/>
        <w:jc w:val="both"/>
        <w:rPr>
          <w:rFonts w:ascii="Times New Roman" w:hAnsi="Times New Roman" w:cs="Times New Roman"/>
          <w:sz w:val="26"/>
          <w:szCs w:val="26"/>
        </w:rPr>
      </w:pPr>
      <w:r w:rsidRPr="00FC2F35">
        <w:rPr>
          <w:rFonts w:ascii="Times New Roman" w:hAnsi="Times New Roman" w:cs="Times New Roman"/>
          <w:sz w:val="26"/>
          <w:szCs w:val="26"/>
        </w:rPr>
        <w:t xml:space="preserve">Số lượng các nền tảng dịch vụ FuelEU của bên thứ ba đã tăng lên kể từ năm 2024. Trung tâm xác định </w:t>
      </w:r>
      <w:r>
        <w:rPr>
          <w:rFonts w:ascii="Times New Roman" w:hAnsi="Times New Roman" w:cs="Times New Roman"/>
          <w:sz w:val="26"/>
          <w:szCs w:val="26"/>
        </w:rPr>
        <w:t xml:space="preserve">có </w:t>
      </w:r>
      <w:r w:rsidRPr="00FC2F35">
        <w:rPr>
          <w:rFonts w:ascii="Times New Roman" w:hAnsi="Times New Roman" w:cs="Times New Roman"/>
          <w:sz w:val="26"/>
          <w:szCs w:val="26"/>
        </w:rPr>
        <w:t>ít nhất 16 nền tảng, bao gồm các công ty tư vấn chiến lược, môi giới pooling và các nền tảng dịch vụ đầy đủ, kết hợp chức năng môi giới, tư vấn chiến lược, pháp lý và thị trường giao dịch.</w:t>
      </w:r>
    </w:p>
    <w:p w14:paraId="60939AD0" w14:textId="77777777" w:rsidR="00FC2F35" w:rsidRPr="00FC2F35" w:rsidRDefault="00FC2F35" w:rsidP="00FC2F35">
      <w:pPr>
        <w:spacing w:before="120" w:after="120"/>
        <w:jc w:val="both"/>
        <w:rPr>
          <w:rFonts w:ascii="Times New Roman" w:hAnsi="Times New Roman" w:cs="Times New Roman"/>
          <w:sz w:val="26"/>
          <w:szCs w:val="26"/>
        </w:rPr>
      </w:pPr>
      <w:r w:rsidRPr="00FC2F35">
        <w:rPr>
          <w:rFonts w:ascii="Times New Roman" w:hAnsi="Times New Roman" w:cs="Times New Roman"/>
          <w:sz w:val="26"/>
          <w:szCs w:val="26"/>
        </w:rPr>
        <w:t>Đồng thời, chủ tàu và người khai thác tàu có thể tạo ra phần dư tuân thủ thông qua việc sử dụng nhiên liệu thay thế trong đội tàu của mình và đưa các pool này ra thị trường thông qua các nền tảng công khai.</w:t>
      </w:r>
    </w:p>
    <w:p w14:paraId="19A7106E" w14:textId="77777777" w:rsidR="00FC2F35" w:rsidRPr="00FC2F35" w:rsidRDefault="00FC2F35" w:rsidP="00FC2F35">
      <w:pPr>
        <w:spacing w:before="120" w:after="120"/>
        <w:jc w:val="both"/>
        <w:rPr>
          <w:rFonts w:ascii="Times New Roman" w:hAnsi="Times New Roman" w:cs="Times New Roman"/>
          <w:sz w:val="26"/>
          <w:szCs w:val="26"/>
        </w:rPr>
      </w:pPr>
      <w:r w:rsidRPr="00FC2F35">
        <w:rPr>
          <w:rFonts w:ascii="Times New Roman" w:hAnsi="Times New Roman" w:cs="Times New Roman"/>
          <w:sz w:val="26"/>
          <w:szCs w:val="26"/>
        </w:rPr>
        <w:t>Khung hợp đồng cũng đang được phát triển. BIMCO đã công bố các điều khoản nhằm hỗ trợ phân định trách nhiệm giữa chủ tàu và người thuê tàu, trong đó có Điều khoản về Nhiên liệu sinh học (Biofuels Clause) dành cho hợp đồng thuê tàu định hạn.</w:t>
      </w:r>
    </w:p>
    <w:p w14:paraId="392E10E5" w14:textId="77777777" w:rsidR="00FC2F35" w:rsidRPr="00FC2F35" w:rsidRDefault="00FC2F35" w:rsidP="00FC2F35">
      <w:pPr>
        <w:spacing w:before="120" w:after="120"/>
        <w:jc w:val="both"/>
        <w:rPr>
          <w:rFonts w:ascii="Times New Roman" w:hAnsi="Times New Roman" w:cs="Times New Roman"/>
          <w:sz w:val="26"/>
          <w:szCs w:val="26"/>
        </w:rPr>
      </w:pPr>
      <w:r w:rsidRPr="00FC2F35">
        <w:rPr>
          <w:rFonts w:ascii="Times New Roman" w:hAnsi="Times New Roman" w:cs="Times New Roman"/>
          <w:sz w:val="26"/>
          <w:szCs w:val="26"/>
        </w:rPr>
        <w:t>Tuy nhiên, vấn đề ai là bên cuối cùng được hưởng lợi ích tài chính từ phần tuân thủ dư thừa vẫn chưa được giải quyết hoàn toàn và dự kiến sẽ tiếp tục là vấn đề cần được quan tâm.</w:t>
      </w:r>
    </w:p>
    <w:p w14:paraId="374AFF3A" w14:textId="77777777" w:rsidR="00FC2F35" w:rsidRPr="00FC2F35" w:rsidRDefault="00FC2F35" w:rsidP="00FC2F35">
      <w:pPr>
        <w:spacing w:before="120" w:after="120"/>
        <w:jc w:val="both"/>
        <w:rPr>
          <w:rFonts w:ascii="Times New Roman" w:hAnsi="Times New Roman" w:cs="Times New Roman"/>
          <w:b/>
          <w:bCs/>
          <w:sz w:val="26"/>
          <w:szCs w:val="26"/>
        </w:rPr>
      </w:pPr>
      <w:r w:rsidRPr="00FC2F35">
        <w:rPr>
          <w:rFonts w:ascii="Times New Roman" w:hAnsi="Times New Roman" w:cs="Times New Roman"/>
          <w:b/>
          <w:bCs/>
          <w:sz w:val="26"/>
          <w:szCs w:val="26"/>
        </w:rPr>
        <w:t>Ba bài học chính</w:t>
      </w:r>
    </w:p>
    <w:p w14:paraId="532E2C56" w14:textId="77777777" w:rsidR="00FC2F35" w:rsidRPr="00FC2F35" w:rsidRDefault="00FC2F35" w:rsidP="00FC2F35">
      <w:pPr>
        <w:spacing w:before="120" w:after="120"/>
        <w:jc w:val="both"/>
        <w:rPr>
          <w:rFonts w:ascii="Times New Roman" w:hAnsi="Times New Roman" w:cs="Times New Roman"/>
          <w:sz w:val="26"/>
          <w:szCs w:val="26"/>
        </w:rPr>
      </w:pPr>
      <w:r w:rsidRPr="00FC2F35">
        <w:rPr>
          <w:rFonts w:ascii="Times New Roman" w:hAnsi="Times New Roman" w:cs="Times New Roman"/>
          <w:sz w:val="26"/>
          <w:szCs w:val="26"/>
        </w:rPr>
        <w:t>Theo phân tích của Joe Bettles, có thể rút ra ba bài học chính từ năm đầu tiên thực hiện FuelEU Maritime:</w:t>
      </w:r>
    </w:p>
    <w:p w14:paraId="2D67B809" w14:textId="77777777" w:rsidR="00FC2F35" w:rsidRPr="00FC2F35" w:rsidRDefault="00FC2F35" w:rsidP="00FC2F35">
      <w:pPr>
        <w:numPr>
          <w:ilvl w:val="0"/>
          <w:numId w:val="4"/>
        </w:numPr>
        <w:spacing w:before="120" w:after="120"/>
        <w:jc w:val="both"/>
        <w:rPr>
          <w:rFonts w:ascii="Times New Roman" w:hAnsi="Times New Roman" w:cs="Times New Roman"/>
          <w:sz w:val="26"/>
          <w:szCs w:val="26"/>
        </w:rPr>
      </w:pPr>
      <w:r w:rsidRPr="00FC2F35">
        <w:rPr>
          <w:rFonts w:ascii="Times New Roman" w:hAnsi="Times New Roman" w:cs="Times New Roman"/>
          <w:sz w:val="26"/>
          <w:szCs w:val="26"/>
        </w:rPr>
        <w:t>Một tiêu chuẩn nhiên liệu dành cho vận tải biển có thể phát huy hiệu quả</w:t>
      </w:r>
      <w:r w:rsidRPr="00FC2F35">
        <w:rPr>
          <w:rFonts w:ascii="Times New Roman" w:hAnsi="Times New Roman" w:cs="Times New Roman"/>
          <w:b/>
          <w:bCs/>
          <w:sz w:val="26"/>
          <w:szCs w:val="26"/>
        </w:rPr>
        <w:t>.</w:t>
      </w:r>
      <w:r w:rsidRPr="00FC2F35">
        <w:rPr>
          <w:rFonts w:ascii="Times New Roman" w:hAnsi="Times New Roman" w:cs="Times New Roman"/>
          <w:sz w:val="26"/>
          <w:szCs w:val="26"/>
        </w:rPr>
        <w:t xml:space="preserve"> Việc pooling được sử dụng rộng rãi và giá tương đối ổn định trong năm đầu tiên tuân thủ FuelEU </w:t>
      </w:r>
      <w:r w:rsidRPr="00FC2F35">
        <w:rPr>
          <w:rFonts w:ascii="Times New Roman" w:hAnsi="Times New Roman" w:cs="Times New Roman"/>
          <w:sz w:val="26"/>
          <w:szCs w:val="26"/>
        </w:rPr>
        <w:lastRenderedPageBreak/>
        <w:t>cho thấy quy định này đã tạo ra động lực sử dụng nhiên liệu thay thế, đồng thời hình thành một thị trường dành cho những doanh nghiệp lựa chọn trả tiền để đáp ứng yêu cầu tuân thủ.</w:t>
      </w:r>
    </w:p>
    <w:p w14:paraId="7F0BEE1C" w14:textId="77777777" w:rsidR="00FC2F35" w:rsidRPr="00FC2F35" w:rsidRDefault="00FC2F35" w:rsidP="00FC2F35">
      <w:pPr>
        <w:numPr>
          <w:ilvl w:val="0"/>
          <w:numId w:val="4"/>
        </w:numPr>
        <w:spacing w:before="120" w:after="120"/>
        <w:jc w:val="both"/>
        <w:rPr>
          <w:rFonts w:ascii="Times New Roman" w:hAnsi="Times New Roman" w:cs="Times New Roman"/>
          <w:sz w:val="26"/>
          <w:szCs w:val="26"/>
        </w:rPr>
      </w:pPr>
      <w:r w:rsidRPr="00FC2F35">
        <w:rPr>
          <w:rFonts w:ascii="Times New Roman" w:hAnsi="Times New Roman" w:cs="Times New Roman"/>
          <w:sz w:val="26"/>
          <w:szCs w:val="26"/>
        </w:rPr>
        <w:t>Quy định này mới đưa vào sử dụng một nhóm nhiên liệu thay thế tương đối hạn chế. Theo các giả định của Trung tâm, khoảng hai phần ba lượng nhiên liệu được sử dụng để tuân thủ FuelEU trong năm 2025 có khả năng là nhiên liệu không hóa thạch. Tuy nhiên, biomethanol, nhiên liệu điện tử (e-fuels), điện cấp từ bờ (onshore power) và hệ thống hỗ trợ bằng năng lượng gió chỉ chiếm khoảng 5%. Nếu các nhà hoạch định chính sách muốn mở rộng hơn nữa cơ cấu các nguồn năng lượng, các tiêu chuẩn nhiên liệu có thể cần được bổ sung bằng những cơ chế khác.</w:t>
      </w:r>
    </w:p>
    <w:p w14:paraId="07BA94E6" w14:textId="77777777" w:rsidR="00FC2F35" w:rsidRPr="00FC2F35" w:rsidRDefault="00FC2F35" w:rsidP="00FC2F35">
      <w:pPr>
        <w:numPr>
          <w:ilvl w:val="0"/>
          <w:numId w:val="4"/>
        </w:numPr>
        <w:spacing w:before="120" w:after="120"/>
        <w:jc w:val="both"/>
        <w:rPr>
          <w:rFonts w:ascii="Times New Roman" w:hAnsi="Times New Roman" w:cs="Times New Roman"/>
          <w:sz w:val="26"/>
          <w:szCs w:val="26"/>
        </w:rPr>
      </w:pPr>
      <w:r w:rsidRPr="00FC2F35">
        <w:rPr>
          <w:rFonts w:ascii="Times New Roman" w:hAnsi="Times New Roman" w:cs="Times New Roman"/>
          <w:sz w:val="26"/>
          <w:szCs w:val="26"/>
        </w:rPr>
        <w:t>Tính ổn định của chính sách tạo điều kiện cho đầu tư</w:t>
      </w:r>
      <w:r w:rsidRPr="00FC2F35">
        <w:rPr>
          <w:rFonts w:ascii="Times New Roman" w:hAnsi="Times New Roman" w:cs="Times New Roman"/>
          <w:b/>
          <w:bCs/>
          <w:sz w:val="26"/>
          <w:szCs w:val="26"/>
        </w:rPr>
        <w:t>.</w:t>
      </w:r>
      <w:r w:rsidRPr="00FC2F35">
        <w:rPr>
          <w:rFonts w:ascii="Times New Roman" w:hAnsi="Times New Roman" w:cs="Times New Roman"/>
          <w:sz w:val="26"/>
          <w:szCs w:val="26"/>
        </w:rPr>
        <w:t xml:space="preserve"> Việc đặt ra các mục tiêu đến năm 2050, đồng thời củng cố các mục tiêu này bằng cam kết rõ ràng đối với quá trình chuyển đổi, có thể tạo ra sự tin cậy cần thiết cho ngành hàng hải.</w:t>
      </w:r>
    </w:p>
    <w:p w14:paraId="1BEEDE40" w14:textId="77777777" w:rsidR="00FC2F35" w:rsidRPr="00FC2F35" w:rsidRDefault="00FC2F35" w:rsidP="00FC2F35">
      <w:pPr>
        <w:spacing w:before="120" w:after="120"/>
        <w:jc w:val="both"/>
        <w:rPr>
          <w:rFonts w:ascii="Times New Roman" w:hAnsi="Times New Roman" w:cs="Times New Roman"/>
          <w:b/>
          <w:bCs/>
          <w:sz w:val="26"/>
          <w:szCs w:val="26"/>
        </w:rPr>
      </w:pPr>
      <w:r w:rsidRPr="00FC2F35">
        <w:rPr>
          <w:rFonts w:ascii="Times New Roman" w:hAnsi="Times New Roman" w:cs="Times New Roman"/>
          <w:b/>
          <w:bCs/>
          <w:sz w:val="26"/>
          <w:szCs w:val="26"/>
        </w:rPr>
        <w:t>Tuân thủ FuelEU trong năm đầu tiên</w:t>
      </w:r>
    </w:p>
    <w:p w14:paraId="35D0F48C" w14:textId="77777777" w:rsidR="00FC2F35" w:rsidRPr="00FC2F35" w:rsidRDefault="00FC2F35" w:rsidP="00FC2F35">
      <w:pPr>
        <w:spacing w:before="120" w:after="120"/>
        <w:jc w:val="both"/>
        <w:rPr>
          <w:rFonts w:ascii="Times New Roman" w:hAnsi="Times New Roman" w:cs="Times New Roman"/>
          <w:sz w:val="26"/>
          <w:szCs w:val="26"/>
        </w:rPr>
      </w:pPr>
      <w:r w:rsidRPr="00FC2F35">
        <w:rPr>
          <w:rFonts w:ascii="Times New Roman" w:hAnsi="Times New Roman" w:cs="Times New Roman"/>
          <w:sz w:val="26"/>
          <w:szCs w:val="26"/>
        </w:rPr>
        <w:t>Lựa chọn nhiên liệu là một đặc điểm quan trọng khác của năm đầu tiên thực hiện FuelEU. Trung tâm ước tính rằng cần giảm khoảng 3,22 triệu tấn CO₂ tương đương để đáp ứng mục tiêu cho giai đoạn 2025–2029.</w:t>
      </w:r>
    </w:p>
    <w:p w14:paraId="2C427AA6" w14:textId="77777777" w:rsidR="00FC2F35" w:rsidRPr="00FC2F35" w:rsidRDefault="00FC2F35" w:rsidP="00FC2F35">
      <w:pPr>
        <w:spacing w:before="120" w:after="120"/>
        <w:jc w:val="both"/>
        <w:rPr>
          <w:rFonts w:ascii="Times New Roman" w:hAnsi="Times New Roman" w:cs="Times New Roman"/>
          <w:sz w:val="26"/>
          <w:szCs w:val="26"/>
        </w:rPr>
      </w:pPr>
      <w:r w:rsidRPr="00FC2F35">
        <w:rPr>
          <w:rFonts w:ascii="Times New Roman" w:hAnsi="Times New Roman" w:cs="Times New Roman"/>
          <w:sz w:val="26"/>
          <w:szCs w:val="26"/>
        </w:rPr>
        <w:t>LNG có thể đã đóng góp khoảng một phần ba mức giảm phát thải cần thiết, trong khi biodiesel chiếm hơn hai phần ba lượng năng lượng tái tạo và carbon thấp được sử dụng để đáp ứng yêu cầu tuân thủ.</w:t>
      </w:r>
    </w:p>
    <w:p w14:paraId="0D67F957" w14:textId="77777777" w:rsidR="00FC2F35" w:rsidRPr="00FC2F35" w:rsidRDefault="00FC2F35" w:rsidP="00FC2F35">
      <w:pPr>
        <w:spacing w:before="120" w:after="120"/>
        <w:jc w:val="both"/>
        <w:rPr>
          <w:rFonts w:ascii="Times New Roman" w:hAnsi="Times New Roman" w:cs="Times New Roman"/>
          <w:sz w:val="26"/>
          <w:szCs w:val="26"/>
        </w:rPr>
      </w:pPr>
      <w:r w:rsidRPr="00FC2F35">
        <w:rPr>
          <w:rFonts w:ascii="Times New Roman" w:hAnsi="Times New Roman" w:cs="Times New Roman"/>
          <w:sz w:val="26"/>
          <w:szCs w:val="26"/>
        </w:rPr>
        <w:t>Các kết quả cho thấy khả năng cung cấp biodiesel dưới dạng nhiên liệu pha trộn có thể sử dụng trực tiếp (drop-in blend) và khả năng tương thích với cơ sở hạ tầng cung ứng nhiên liệu hiện có là những yếu tố quan trọng thúc đẩy việc sử dụng biodiesel. Trong khi đó, bio-LNG có chi phí giảm phát thải ước tính thấp hơn.</w:t>
      </w:r>
    </w:p>
    <w:p w14:paraId="68D53992" w14:textId="77777777" w:rsidR="00FC2F35" w:rsidRPr="00FC2F35" w:rsidRDefault="00FC2F35" w:rsidP="00FC2F35">
      <w:pPr>
        <w:spacing w:before="120" w:after="120"/>
        <w:jc w:val="both"/>
        <w:rPr>
          <w:rFonts w:ascii="Times New Roman" w:hAnsi="Times New Roman" w:cs="Times New Roman"/>
          <w:b/>
          <w:bCs/>
          <w:sz w:val="26"/>
          <w:szCs w:val="26"/>
        </w:rPr>
      </w:pPr>
      <w:r w:rsidRPr="00FC2F35">
        <w:rPr>
          <w:rFonts w:ascii="Times New Roman" w:hAnsi="Times New Roman" w:cs="Times New Roman"/>
          <w:b/>
          <w:bCs/>
          <w:sz w:val="26"/>
          <w:szCs w:val="26"/>
        </w:rPr>
        <w:t>Điều gì sẽ xảy ra tiếp theo với FuelEU?</w:t>
      </w:r>
    </w:p>
    <w:p w14:paraId="655EBD6D" w14:textId="44672A84" w:rsidR="00FC2F35" w:rsidRPr="00FC2F35" w:rsidRDefault="00FC2F35" w:rsidP="00FC2F35">
      <w:pPr>
        <w:spacing w:before="120" w:after="120"/>
        <w:jc w:val="both"/>
        <w:rPr>
          <w:rFonts w:ascii="Times New Roman" w:hAnsi="Times New Roman" w:cs="Times New Roman"/>
          <w:sz w:val="26"/>
          <w:szCs w:val="26"/>
        </w:rPr>
      </w:pPr>
      <w:r w:rsidRPr="00FC2F35">
        <w:rPr>
          <w:rFonts w:ascii="Times New Roman" w:hAnsi="Times New Roman" w:cs="Times New Roman"/>
          <w:sz w:val="26"/>
          <w:szCs w:val="26"/>
        </w:rPr>
        <w:t>Ủy ban châu Âu đã tái khẳng định cam kết đối với FuelEU và các mục tiêu dài hạn của quy định này.</w:t>
      </w:r>
      <w:r>
        <w:rPr>
          <w:rFonts w:ascii="Times New Roman" w:hAnsi="Times New Roman" w:cs="Times New Roman"/>
          <w:sz w:val="26"/>
          <w:szCs w:val="26"/>
        </w:rPr>
        <w:t xml:space="preserve"> </w:t>
      </w:r>
      <w:r w:rsidRPr="00FC2F35">
        <w:rPr>
          <w:rFonts w:ascii="Times New Roman" w:hAnsi="Times New Roman" w:cs="Times New Roman"/>
          <w:sz w:val="26"/>
          <w:szCs w:val="26"/>
        </w:rPr>
        <w:t>Kế hoạch Đầu tư Giao thông Bền vững tháng 11/2025 của EU cho rằng các mục tiêu này gửi tới các nhà đầu tư một tín hiệu rõ ràng rằng chúng có tính ổn định và ngành vận tải sẽ được hỗ trợ trong quá trình chuyển đổi.</w:t>
      </w:r>
    </w:p>
    <w:p w14:paraId="7E95F249" w14:textId="77777777" w:rsidR="00FC2F35" w:rsidRPr="00FC2F35" w:rsidRDefault="00FC2F35" w:rsidP="00FC2F35">
      <w:pPr>
        <w:spacing w:before="120" w:after="120"/>
        <w:jc w:val="both"/>
        <w:rPr>
          <w:rFonts w:ascii="Times New Roman" w:hAnsi="Times New Roman" w:cs="Times New Roman"/>
          <w:sz w:val="26"/>
          <w:szCs w:val="26"/>
        </w:rPr>
      </w:pPr>
      <w:r w:rsidRPr="00FC2F35">
        <w:rPr>
          <w:rFonts w:ascii="Times New Roman" w:hAnsi="Times New Roman" w:cs="Times New Roman"/>
          <w:sz w:val="26"/>
          <w:szCs w:val="26"/>
        </w:rPr>
        <w:t>Chiến lược Công nghiệp Hàng hải của EU cũng cho thấy nguồn thu từ EU ETS có thể được sử dụng để hỗ trợ việc sử dụng nhiên liệu bền vững và các công nghệ động lực sạch.</w:t>
      </w:r>
    </w:p>
    <w:p w14:paraId="597CC5BE" w14:textId="77777777" w:rsidR="00FC2F35" w:rsidRPr="00FC2F35" w:rsidRDefault="00FC2F35" w:rsidP="00FC2F35">
      <w:pPr>
        <w:spacing w:before="120" w:after="120"/>
        <w:jc w:val="both"/>
        <w:rPr>
          <w:rFonts w:ascii="Times New Roman" w:hAnsi="Times New Roman" w:cs="Times New Roman"/>
          <w:sz w:val="26"/>
          <w:szCs w:val="26"/>
        </w:rPr>
      </w:pPr>
      <w:r w:rsidRPr="00FC2F35">
        <w:rPr>
          <w:rFonts w:ascii="Times New Roman" w:hAnsi="Times New Roman" w:cs="Times New Roman"/>
          <w:sz w:val="26"/>
          <w:szCs w:val="26"/>
        </w:rPr>
        <w:t xml:space="preserve">Ủy ban châu Âu dự kiến sẽ </w:t>
      </w:r>
      <w:r w:rsidRPr="002872C6">
        <w:rPr>
          <w:rFonts w:ascii="Times New Roman" w:hAnsi="Times New Roman" w:cs="Times New Roman"/>
          <w:sz w:val="26"/>
          <w:szCs w:val="26"/>
        </w:rPr>
        <w:t>đồng bộ hóa các yêu cầu về giám sát, báo cáo và xác minh (MRV)</w:t>
      </w:r>
      <w:r w:rsidRPr="00FC2F35">
        <w:rPr>
          <w:rFonts w:ascii="Times New Roman" w:hAnsi="Times New Roman" w:cs="Times New Roman"/>
          <w:sz w:val="26"/>
          <w:szCs w:val="26"/>
        </w:rPr>
        <w:t xml:space="preserve"> giữa EU ETS và FuelEU ở mức có thể thực hiện được, nhằm giảm gánh nặng hành chính.</w:t>
      </w:r>
    </w:p>
    <w:p w14:paraId="22BAE12B" w14:textId="77777777" w:rsidR="00FC2F35" w:rsidRPr="00FC2F35" w:rsidRDefault="00FC2F35" w:rsidP="00FC2F35">
      <w:pPr>
        <w:spacing w:before="120" w:after="120"/>
        <w:jc w:val="both"/>
        <w:rPr>
          <w:rFonts w:ascii="Times New Roman" w:hAnsi="Times New Roman" w:cs="Times New Roman"/>
          <w:sz w:val="26"/>
          <w:szCs w:val="26"/>
        </w:rPr>
      </w:pPr>
      <w:r w:rsidRPr="00FC2F35">
        <w:rPr>
          <w:rFonts w:ascii="Times New Roman" w:hAnsi="Times New Roman" w:cs="Times New Roman"/>
          <w:sz w:val="26"/>
          <w:szCs w:val="26"/>
        </w:rPr>
        <w:t xml:space="preserve">Đợt rà soát </w:t>
      </w:r>
      <w:r w:rsidRPr="002872C6">
        <w:rPr>
          <w:rFonts w:ascii="Times New Roman" w:hAnsi="Times New Roman" w:cs="Times New Roman"/>
          <w:sz w:val="26"/>
          <w:szCs w:val="26"/>
        </w:rPr>
        <w:t>EU ETS năm 2026 dự</w:t>
      </w:r>
      <w:r w:rsidRPr="00FC2F35">
        <w:rPr>
          <w:rFonts w:ascii="Times New Roman" w:hAnsi="Times New Roman" w:cs="Times New Roman"/>
          <w:sz w:val="26"/>
          <w:szCs w:val="26"/>
        </w:rPr>
        <w:t xml:space="preserve"> kiến sẽ xem xét việc mở rộng hệ thống tới các tàu nhỏ hơn và một số phân khúc hiện chưa thuộc phạm vi áp dụng, chẳng hạn như tàu hoạt động ngoài </w:t>
      </w:r>
      <w:r w:rsidRPr="00FC2F35">
        <w:rPr>
          <w:rFonts w:ascii="Times New Roman" w:hAnsi="Times New Roman" w:cs="Times New Roman"/>
          <w:sz w:val="26"/>
          <w:szCs w:val="26"/>
        </w:rPr>
        <w:lastRenderedPageBreak/>
        <w:t xml:space="preserve">khơi. Trong khi đó, một đợt sửa đổi FuelEU dự kiến vào </w:t>
      </w:r>
      <w:r w:rsidRPr="002872C6">
        <w:rPr>
          <w:rFonts w:ascii="Times New Roman" w:hAnsi="Times New Roman" w:cs="Times New Roman"/>
          <w:sz w:val="26"/>
          <w:szCs w:val="26"/>
        </w:rPr>
        <w:t>năm 2027</w:t>
      </w:r>
      <w:r w:rsidRPr="00FC2F35">
        <w:rPr>
          <w:rFonts w:ascii="Times New Roman" w:hAnsi="Times New Roman" w:cs="Times New Roman"/>
          <w:sz w:val="26"/>
          <w:szCs w:val="26"/>
        </w:rPr>
        <w:t xml:space="preserve"> cũng có thể mở rộng phạm vi áp dụng của quy định.</w:t>
      </w:r>
    </w:p>
    <w:p w14:paraId="765CEB9C" w14:textId="77777777" w:rsidR="00FC2F35" w:rsidRPr="00FC2F35" w:rsidRDefault="00FC2F35" w:rsidP="00FC2F35">
      <w:pPr>
        <w:spacing w:before="120" w:after="120"/>
        <w:jc w:val="both"/>
        <w:rPr>
          <w:rFonts w:ascii="Times New Roman" w:hAnsi="Times New Roman" w:cs="Times New Roman"/>
          <w:sz w:val="26"/>
          <w:szCs w:val="26"/>
        </w:rPr>
      </w:pPr>
      <w:r w:rsidRPr="00FC2F35">
        <w:rPr>
          <w:rFonts w:ascii="Times New Roman" w:hAnsi="Times New Roman" w:cs="Times New Roman"/>
          <w:sz w:val="26"/>
          <w:szCs w:val="26"/>
        </w:rPr>
        <w:t xml:space="preserve">FuelEU cũng dự kiến được mở rộng sang hai thành viên EEA là </w:t>
      </w:r>
      <w:r w:rsidRPr="002872C6">
        <w:rPr>
          <w:rFonts w:ascii="Times New Roman" w:hAnsi="Times New Roman" w:cs="Times New Roman"/>
          <w:sz w:val="26"/>
          <w:szCs w:val="26"/>
        </w:rPr>
        <w:t>Na Uy và Iceland</w:t>
      </w:r>
      <w:r w:rsidRPr="00FC2F35">
        <w:rPr>
          <w:rFonts w:ascii="Times New Roman" w:hAnsi="Times New Roman" w:cs="Times New Roman"/>
          <w:sz w:val="26"/>
          <w:szCs w:val="26"/>
        </w:rPr>
        <w:t>. Na Uy đã cho biết họ dự kiến FuelEU sẽ có hiệu lực, trong khi Iceland đang chờ Quốc hội phê chuẩn và chưa xác nhận thời điểm cụ thể.</w:t>
      </w:r>
    </w:p>
    <w:p w14:paraId="65C7BA54" w14:textId="77777777" w:rsidR="00FC2F35" w:rsidRDefault="00FC2F35" w:rsidP="00FC2F35">
      <w:pPr>
        <w:spacing w:before="120" w:after="120"/>
        <w:jc w:val="both"/>
        <w:rPr>
          <w:rFonts w:ascii="Times New Roman" w:hAnsi="Times New Roman" w:cs="Times New Roman"/>
          <w:sz w:val="26"/>
          <w:szCs w:val="26"/>
        </w:rPr>
      </w:pPr>
      <w:r w:rsidRPr="00FC2F35">
        <w:rPr>
          <w:rFonts w:ascii="Times New Roman" w:hAnsi="Times New Roman" w:cs="Times New Roman"/>
          <w:sz w:val="26"/>
          <w:szCs w:val="26"/>
        </w:rPr>
        <w:t xml:space="preserve">Trung tâm nhận định rằng </w:t>
      </w:r>
      <w:r w:rsidRPr="002872C6">
        <w:rPr>
          <w:rFonts w:ascii="Times New Roman" w:hAnsi="Times New Roman" w:cs="Times New Roman"/>
          <w:sz w:val="26"/>
          <w:szCs w:val="26"/>
        </w:rPr>
        <w:t>kinh nghiệm từ năm đầu tiên thực hiện FuelEU cũng có thể cung cấp những thông tin hữu ích cho quá trình các quốc gia thành viên IMO tiếp tục xây dựng một quy định GHG toàn cầu cho ngành vận tải biển</w:t>
      </w:r>
      <w:r w:rsidRPr="00FC2F35">
        <w:rPr>
          <w:rFonts w:ascii="Times New Roman" w:hAnsi="Times New Roman" w:cs="Times New Roman"/>
          <w:sz w:val="26"/>
          <w:szCs w:val="26"/>
        </w:rPr>
        <w:t>.</w:t>
      </w:r>
    </w:p>
    <w:p w14:paraId="163B36CB" w14:textId="0B99FBCE" w:rsidR="00C13E10" w:rsidRPr="002872C6" w:rsidRDefault="002872C6" w:rsidP="002872C6">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2872C6" w:rsidSect="00FC2F35">
      <w:pgSz w:w="12240" w:h="15840"/>
      <w:pgMar w:top="990" w:right="126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914744"/>
    <w:multiLevelType w:val="multilevel"/>
    <w:tmpl w:val="7E283C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BE59F2"/>
    <w:multiLevelType w:val="multilevel"/>
    <w:tmpl w:val="DF7C25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1C4E42"/>
    <w:multiLevelType w:val="multilevel"/>
    <w:tmpl w:val="FF168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965DEF"/>
    <w:multiLevelType w:val="multilevel"/>
    <w:tmpl w:val="B978C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6615942">
    <w:abstractNumId w:val="0"/>
  </w:num>
  <w:num w:numId="2" w16cid:durableId="1267034121">
    <w:abstractNumId w:val="1"/>
  </w:num>
  <w:num w:numId="3" w16cid:durableId="442580878">
    <w:abstractNumId w:val="3"/>
  </w:num>
  <w:num w:numId="4" w16cid:durableId="13246989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F35"/>
    <w:rsid w:val="000501D0"/>
    <w:rsid w:val="002872C6"/>
    <w:rsid w:val="00C13E10"/>
    <w:rsid w:val="00ED4E3E"/>
    <w:rsid w:val="00FC2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8F520"/>
  <w15:chartTrackingRefBased/>
  <w15:docId w15:val="{794EF365-533D-42BD-8C62-946EA7139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2F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2F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2F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2F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2F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2F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2F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2F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2F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2F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2F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2F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2F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2F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2F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2F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2F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2F35"/>
    <w:rPr>
      <w:rFonts w:eastAsiaTheme="majorEastAsia" w:cstheme="majorBidi"/>
      <w:color w:val="272727" w:themeColor="text1" w:themeTint="D8"/>
    </w:rPr>
  </w:style>
  <w:style w:type="paragraph" w:styleId="Title">
    <w:name w:val="Title"/>
    <w:basedOn w:val="Normal"/>
    <w:next w:val="Normal"/>
    <w:link w:val="TitleChar"/>
    <w:uiPriority w:val="10"/>
    <w:qFormat/>
    <w:rsid w:val="00FC2F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2F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2F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2F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2F35"/>
    <w:pPr>
      <w:spacing w:before="160"/>
      <w:jc w:val="center"/>
    </w:pPr>
    <w:rPr>
      <w:i/>
      <w:iCs/>
      <w:color w:val="404040" w:themeColor="text1" w:themeTint="BF"/>
    </w:rPr>
  </w:style>
  <w:style w:type="character" w:customStyle="1" w:styleId="QuoteChar">
    <w:name w:val="Quote Char"/>
    <w:basedOn w:val="DefaultParagraphFont"/>
    <w:link w:val="Quote"/>
    <w:uiPriority w:val="29"/>
    <w:rsid w:val="00FC2F35"/>
    <w:rPr>
      <w:i/>
      <w:iCs/>
      <w:color w:val="404040" w:themeColor="text1" w:themeTint="BF"/>
    </w:rPr>
  </w:style>
  <w:style w:type="paragraph" w:styleId="ListParagraph">
    <w:name w:val="List Paragraph"/>
    <w:basedOn w:val="Normal"/>
    <w:uiPriority w:val="34"/>
    <w:qFormat/>
    <w:rsid w:val="00FC2F35"/>
    <w:pPr>
      <w:ind w:left="720"/>
      <w:contextualSpacing/>
    </w:pPr>
  </w:style>
  <w:style w:type="character" w:styleId="IntenseEmphasis">
    <w:name w:val="Intense Emphasis"/>
    <w:basedOn w:val="DefaultParagraphFont"/>
    <w:uiPriority w:val="21"/>
    <w:qFormat/>
    <w:rsid w:val="00FC2F35"/>
    <w:rPr>
      <w:i/>
      <w:iCs/>
      <w:color w:val="0F4761" w:themeColor="accent1" w:themeShade="BF"/>
    </w:rPr>
  </w:style>
  <w:style w:type="paragraph" w:styleId="IntenseQuote">
    <w:name w:val="Intense Quote"/>
    <w:basedOn w:val="Normal"/>
    <w:next w:val="Normal"/>
    <w:link w:val="IntenseQuoteChar"/>
    <w:uiPriority w:val="30"/>
    <w:qFormat/>
    <w:rsid w:val="00FC2F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2F35"/>
    <w:rPr>
      <w:i/>
      <w:iCs/>
      <w:color w:val="0F4761" w:themeColor="accent1" w:themeShade="BF"/>
    </w:rPr>
  </w:style>
  <w:style w:type="character" w:styleId="IntenseReference">
    <w:name w:val="Intense Reference"/>
    <w:basedOn w:val="DefaultParagraphFont"/>
    <w:uiPriority w:val="32"/>
    <w:qFormat/>
    <w:rsid w:val="00FC2F35"/>
    <w:rPr>
      <w:b/>
      <w:bCs/>
      <w:smallCaps/>
      <w:color w:val="0F4761" w:themeColor="accent1" w:themeShade="BF"/>
      <w:spacing w:val="5"/>
    </w:rPr>
  </w:style>
  <w:style w:type="character" w:styleId="Hyperlink">
    <w:name w:val="Hyperlink"/>
    <w:basedOn w:val="DefaultParagraphFont"/>
    <w:uiPriority w:val="99"/>
    <w:unhideWhenUsed/>
    <w:rsid w:val="00FC2F35"/>
    <w:rPr>
      <w:color w:val="467886" w:themeColor="hyperlink"/>
      <w:u w:val="single"/>
    </w:rPr>
  </w:style>
  <w:style w:type="character" w:styleId="UnresolvedMention">
    <w:name w:val="Unresolved Mention"/>
    <w:basedOn w:val="DefaultParagraphFont"/>
    <w:uiPriority w:val="99"/>
    <w:semiHidden/>
    <w:unhideWhenUsed/>
    <w:rsid w:val="00FC2F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safety4sea.com/category/green/green-shipp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1085</Words>
  <Characters>6187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2026-09-28T08:45:00Z</dcterms:created>
  <dcterms:modified xsi:type="dcterms:W3CDTF">2026-09-28T08:56:00Z</dcterms:modified>
</cp:coreProperties>
</file>