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DB955" w14:textId="4450961D" w:rsidR="00B554F0" w:rsidRPr="00B554F0" w:rsidRDefault="00B554F0" w:rsidP="00B554F0">
      <w:pPr>
        <w:spacing w:line="240" w:lineRule="auto"/>
        <w:jc w:val="center"/>
        <w:rPr>
          <w:rFonts w:ascii="Times New Roman" w:hAnsi="Times New Roman" w:cs="Times New Roman"/>
          <w:b/>
          <w:bCs/>
          <w:sz w:val="40"/>
          <w:szCs w:val="40"/>
        </w:rPr>
      </w:pPr>
      <w:r w:rsidRPr="00B554F0">
        <w:rPr>
          <w:rFonts w:ascii="Times New Roman" w:hAnsi="Times New Roman" w:cs="Times New Roman"/>
          <w:b/>
          <w:bCs/>
          <w:sz w:val="40"/>
          <w:szCs w:val="40"/>
        </w:rPr>
        <w:t xml:space="preserve">EU </w:t>
      </w:r>
      <w:r>
        <w:rPr>
          <w:rFonts w:ascii="Times New Roman" w:hAnsi="Times New Roman" w:cs="Times New Roman"/>
          <w:b/>
          <w:bCs/>
          <w:sz w:val="40"/>
          <w:szCs w:val="40"/>
        </w:rPr>
        <w:t xml:space="preserve">phê chuẩn, </w:t>
      </w:r>
      <w:r w:rsidRPr="00B554F0">
        <w:rPr>
          <w:rFonts w:ascii="Times New Roman" w:hAnsi="Times New Roman" w:cs="Times New Roman"/>
          <w:b/>
          <w:bCs/>
          <w:sz w:val="40"/>
          <w:szCs w:val="40"/>
        </w:rPr>
        <w:t>mở đường để Công ước Bắc Kinh có hiệu lực từ ngày 15/12</w:t>
      </w:r>
      <w:r>
        <w:rPr>
          <w:rFonts w:ascii="Times New Roman" w:hAnsi="Times New Roman" w:cs="Times New Roman"/>
          <w:b/>
          <w:bCs/>
          <w:sz w:val="40"/>
          <w:szCs w:val="40"/>
        </w:rPr>
        <w:t xml:space="preserve"> </w:t>
      </w:r>
    </w:p>
    <w:p w14:paraId="0B5CA822" w14:textId="54996ECF" w:rsidR="00B554F0" w:rsidRPr="00B554F0" w:rsidRDefault="00B554F0" w:rsidP="00B554F0">
      <w:pPr>
        <w:jc w:val="right"/>
      </w:pPr>
      <w:hyperlink r:id="rId5" w:history="1">
        <w:r w:rsidRPr="00B554F0">
          <w:rPr>
            <w:rStyle w:val="Hyperlink"/>
          </w:rPr>
          <w:t>Regulation</w:t>
        </w:r>
      </w:hyperlink>
      <w:r w:rsidRPr="00B554F0">
        <w:t> </w:t>
      </w:r>
    </w:p>
    <w:p w14:paraId="7CAACD3B" w14:textId="546D8B9E" w:rsidR="00B554F0" w:rsidRPr="00B554F0" w:rsidRDefault="00B554F0" w:rsidP="00B554F0">
      <w:pPr>
        <w:jc w:val="center"/>
      </w:pPr>
      <w:r w:rsidRPr="00B554F0">
        <w:drawing>
          <wp:inline distT="0" distB="0" distL="0" distR="0" wp14:anchorId="7C484CF8" wp14:editId="0C5E59AE">
            <wp:extent cx="5943600" cy="2697480"/>
            <wp:effectExtent l="0" t="0" r="0" b="7620"/>
            <wp:docPr id="369897258" name="Picture 2" descr="ves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sse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697480"/>
                    </a:xfrm>
                    <a:prstGeom prst="rect">
                      <a:avLst/>
                    </a:prstGeom>
                    <a:noFill/>
                    <a:ln>
                      <a:noFill/>
                    </a:ln>
                  </pic:spPr>
                </pic:pic>
              </a:graphicData>
            </a:graphic>
          </wp:inline>
        </w:drawing>
      </w:r>
    </w:p>
    <w:p w14:paraId="584EC45A" w14:textId="7C509114" w:rsidR="00B554F0" w:rsidRPr="00B554F0" w:rsidRDefault="00B554F0" w:rsidP="00B554F0">
      <w:p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Liên minh châu Âu (EU) đã phê chuẩn </w:t>
      </w:r>
      <w:r w:rsidRPr="00B554F0">
        <w:rPr>
          <w:rFonts w:ascii="Times New Roman" w:hAnsi="Times New Roman" w:cs="Times New Roman"/>
          <w:color w:val="EE0000"/>
          <w:sz w:val="26"/>
          <w:szCs w:val="26"/>
        </w:rPr>
        <w:t>Công ước của Liên hợp quốc về Hiệu lực quốc tế của việc bán tàu theo phán quyết của tòa án</w:t>
      </w:r>
      <w:r w:rsidRPr="00B554F0">
        <w:rPr>
          <w:rFonts w:ascii="Times New Roman" w:hAnsi="Times New Roman" w:cs="Times New Roman"/>
          <w:b/>
          <w:bCs/>
          <w:color w:val="EE0000"/>
          <w:sz w:val="26"/>
          <w:szCs w:val="26"/>
        </w:rPr>
        <w:t xml:space="preserve"> </w:t>
      </w:r>
      <w:r w:rsidRPr="00B554F0">
        <w:rPr>
          <w:rFonts w:ascii="Times New Roman" w:hAnsi="Times New Roman" w:cs="Times New Roman"/>
          <w:color w:val="EE0000"/>
          <w:sz w:val="26"/>
          <w:szCs w:val="26"/>
        </w:rPr>
        <w:t>(United Nations Convention on the International Effects of Judicial Sales of Ships),</w:t>
      </w:r>
      <w:r w:rsidRPr="00B554F0">
        <w:rPr>
          <w:rFonts w:ascii="Times New Roman" w:hAnsi="Times New Roman" w:cs="Times New Roman"/>
          <w:sz w:val="26"/>
          <w:szCs w:val="26"/>
        </w:rPr>
        <w:t xml:space="preserve"> còn được gọi là Công ước Bắc Kinh. Đây là một bước tiến mới hướng tới việc hình thành một khuôn khổ quốc tế thống nhất về công nhận việc bán tàu theo phán quyết của tòa án.</w:t>
      </w:r>
    </w:p>
    <w:p w14:paraId="18C5701F" w14:textId="0FF3EF27" w:rsidR="00B554F0" w:rsidRPr="00B554F0" w:rsidRDefault="00B554F0" w:rsidP="00B554F0">
      <w:p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EU đã nộp văn kiện phê chuẩn vào ngày 18/6/2026 và tái khẳng định tuyên bố mà EU đưa ra theo Điều 18(2) tại thời điểm ký Công ước.</w:t>
      </w:r>
      <w:r>
        <w:rPr>
          <w:rFonts w:ascii="Times New Roman" w:hAnsi="Times New Roman" w:cs="Times New Roman"/>
          <w:sz w:val="26"/>
          <w:szCs w:val="26"/>
        </w:rPr>
        <w:t xml:space="preserve"> </w:t>
      </w:r>
      <w:r w:rsidRPr="00B554F0">
        <w:rPr>
          <w:rFonts w:ascii="Times New Roman" w:hAnsi="Times New Roman" w:cs="Times New Roman"/>
          <w:sz w:val="26"/>
          <w:szCs w:val="26"/>
        </w:rPr>
        <w:t>Công ước sẽ có hiệu lực đối với EU từ ngày 15/12/2026.</w:t>
      </w:r>
    </w:p>
    <w:p w14:paraId="696B08CF" w14:textId="78DB5BF1" w:rsidR="00B554F0" w:rsidRPr="00B554F0" w:rsidRDefault="00B554F0" w:rsidP="00B554F0">
      <w:p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Được Đại hội đồng Liên hợp quốc thông qua tại New York ngày 7/12/2022, Công ước </w:t>
      </w:r>
      <w:r>
        <w:rPr>
          <w:rFonts w:ascii="Times New Roman" w:hAnsi="Times New Roman" w:cs="Times New Roman"/>
          <w:sz w:val="26"/>
          <w:szCs w:val="26"/>
        </w:rPr>
        <w:t xml:space="preserve">này </w:t>
      </w:r>
      <w:r w:rsidRPr="00B554F0">
        <w:rPr>
          <w:rFonts w:ascii="Times New Roman" w:hAnsi="Times New Roman" w:cs="Times New Roman"/>
          <w:sz w:val="26"/>
          <w:szCs w:val="26"/>
        </w:rPr>
        <w:t>đã chính thức có hiệu lực trên phạm vi quốc tế từ ngày 17/2/2026. Công ước được xây dựng bởi Ủy ban Liên hợp quốc về Luật Thương mại Quốc tế (UNCITRAL), trên cơ sở dự thảo công ước về công nhận việc bán tàu theo phán quyết của tòa án nước ngoài do Comité Maritime International (CMI) xây dựng và được Đại hội đồng CMI thông qua năm 2014.</w:t>
      </w:r>
    </w:p>
    <w:p w14:paraId="4A3DEC34" w14:textId="77777777" w:rsidR="00B554F0" w:rsidRPr="00B554F0" w:rsidRDefault="00B554F0" w:rsidP="00B554F0">
      <w:pPr>
        <w:spacing w:before="120" w:after="120"/>
        <w:jc w:val="both"/>
        <w:rPr>
          <w:rFonts w:ascii="Times New Roman" w:hAnsi="Times New Roman" w:cs="Times New Roman"/>
          <w:b/>
          <w:bCs/>
          <w:sz w:val="26"/>
          <w:szCs w:val="26"/>
        </w:rPr>
      </w:pPr>
      <w:r w:rsidRPr="00B554F0">
        <w:rPr>
          <w:rFonts w:ascii="Times New Roman" w:hAnsi="Times New Roman" w:cs="Times New Roman"/>
          <w:b/>
          <w:bCs/>
          <w:sz w:val="26"/>
          <w:szCs w:val="26"/>
        </w:rPr>
        <w:t>Công ước Bắc Kinh quy định những gì?</w:t>
      </w:r>
    </w:p>
    <w:p w14:paraId="75FB535D" w14:textId="13A72FC4" w:rsidR="00B554F0" w:rsidRPr="00B554F0" w:rsidRDefault="00B554F0" w:rsidP="00B554F0">
      <w:pPr>
        <w:tabs>
          <w:tab w:val="num" w:pos="720"/>
        </w:tabs>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Công ước của Liên hợp quốc về Hiệu lực quốc tế của việc bán tàu theo phán quyết của tòa án, còn được gọi là </w:t>
      </w:r>
      <w:r w:rsidRPr="00B554F0">
        <w:rPr>
          <w:rFonts w:ascii="Times New Roman" w:hAnsi="Times New Roman" w:cs="Times New Roman"/>
          <w:color w:val="C00000"/>
          <w:sz w:val="26"/>
          <w:szCs w:val="26"/>
        </w:rPr>
        <w:t xml:space="preserve">“Công ước Bắc Kinh về Bán tàu theo phán quyết của tòa án”, </w:t>
      </w:r>
      <w:r w:rsidRPr="00B554F0">
        <w:rPr>
          <w:rFonts w:ascii="Times New Roman" w:hAnsi="Times New Roman" w:cs="Times New Roman"/>
          <w:sz w:val="26"/>
          <w:szCs w:val="26"/>
        </w:rPr>
        <w:t>thiết lập một cơ chế hài hòa để công nhận hiệu lực quốc tế của việc bán tàu theo phán quyết của tòa án, đồng thời vẫn bảo lưu pháp luật quốc gia điều chỉnh</w:t>
      </w:r>
      <w:r>
        <w:rPr>
          <w:rFonts w:ascii="Times New Roman" w:hAnsi="Times New Roman" w:cs="Times New Roman"/>
          <w:sz w:val="26"/>
          <w:szCs w:val="26"/>
        </w:rPr>
        <w:t xml:space="preserve"> về </w:t>
      </w:r>
      <w:r w:rsidRPr="00B554F0">
        <w:rPr>
          <w:rFonts w:ascii="Times New Roman" w:hAnsi="Times New Roman" w:cs="Times New Roman"/>
          <w:sz w:val="26"/>
          <w:szCs w:val="26"/>
        </w:rPr>
        <w:t xml:space="preserve">trình tự, thủ tục bán tàu theo phán quyết của tòa án; và các điều kiện mà theo đó việc bán tàu theo phán quyết của tòa án làm phát sinh quyền sở hữu không bị ràng buộc bởi các quyền hoặc khiếu nại trước đó (clean title). </w:t>
      </w:r>
    </w:p>
    <w:p w14:paraId="7D130AF9" w14:textId="47C5D71D" w:rsidR="00B554F0" w:rsidRPr="00B554F0" w:rsidRDefault="00B554F0" w:rsidP="00B554F0">
      <w:pPr>
        <w:tabs>
          <w:tab w:val="num" w:pos="720"/>
        </w:tabs>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lastRenderedPageBreak/>
        <w:t>Bằng việc tạo ra sự chắc chắn về mặt pháp lý đối với quyền sở hữu mà người mua được xác lập đối với con tàu khi tàu tiếp tục hoạt động và đi qua các quốc gia khác nhau, Công ước được thiết kế nhằm</w:t>
      </w:r>
      <w:r>
        <w:rPr>
          <w:rFonts w:ascii="Times New Roman" w:hAnsi="Times New Roman" w:cs="Times New Roman"/>
          <w:sz w:val="26"/>
          <w:szCs w:val="26"/>
        </w:rPr>
        <w:t xml:space="preserve"> </w:t>
      </w:r>
      <w:r w:rsidRPr="00B554F0">
        <w:rPr>
          <w:rFonts w:ascii="Times New Roman" w:hAnsi="Times New Roman" w:cs="Times New Roman"/>
          <w:sz w:val="26"/>
          <w:szCs w:val="26"/>
        </w:rPr>
        <w:t>tối đa hóa giá trị mà con tàu có thể đạt được trên thị trường</w:t>
      </w:r>
      <w:r>
        <w:rPr>
          <w:rFonts w:ascii="Times New Roman" w:hAnsi="Times New Roman" w:cs="Times New Roman"/>
          <w:sz w:val="26"/>
          <w:szCs w:val="26"/>
        </w:rPr>
        <w:t xml:space="preserve">, </w:t>
      </w:r>
      <w:r w:rsidRPr="00B554F0">
        <w:rPr>
          <w:rFonts w:ascii="Times New Roman" w:hAnsi="Times New Roman" w:cs="Times New Roman"/>
          <w:sz w:val="26"/>
          <w:szCs w:val="26"/>
        </w:rPr>
        <w:t xml:space="preserve">tăng số tiền thu được từ việc bán tàu để phân chia cho các chủ nợ và thúc đẩy thương mại quốc tế. </w:t>
      </w:r>
    </w:p>
    <w:p w14:paraId="2BE457AE" w14:textId="77777777" w:rsidR="00B554F0" w:rsidRPr="00B554F0" w:rsidRDefault="00B554F0" w:rsidP="00B554F0">
      <w:pPr>
        <w:spacing w:before="120" w:after="120"/>
        <w:jc w:val="both"/>
        <w:rPr>
          <w:rFonts w:ascii="Times New Roman" w:hAnsi="Times New Roman" w:cs="Times New Roman"/>
          <w:b/>
          <w:bCs/>
          <w:sz w:val="26"/>
          <w:szCs w:val="26"/>
        </w:rPr>
      </w:pPr>
      <w:r w:rsidRPr="00B554F0">
        <w:rPr>
          <w:rFonts w:ascii="Times New Roman" w:hAnsi="Times New Roman" w:cs="Times New Roman"/>
          <w:b/>
          <w:bCs/>
          <w:sz w:val="26"/>
          <w:szCs w:val="26"/>
        </w:rPr>
        <w:t>Việc EU phê chuẩn có ý nghĩa gì?</w:t>
      </w:r>
    </w:p>
    <w:p w14:paraId="34493398" w14:textId="347B80D9" w:rsidR="00B554F0" w:rsidRPr="00B554F0" w:rsidRDefault="00B554F0" w:rsidP="00B554F0">
      <w:p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Việc EU phê chuẩn có ý nghĩa quan trọng, nhưng phạm vi tác động của nó bị giới hạn bởi sự phân chia thẩm quyền giữa EU và các quốc gia thành viên.</w:t>
      </w:r>
      <w:r>
        <w:rPr>
          <w:rFonts w:ascii="Times New Roman" w:hAnsi="Times New Roman" w:cs="Times New Roman"/>
          <w:sz w:val="26"/>
          <w:szCs w:val="26"/>
        </w:rPr>
        <w:t xml:space="preserve"> </w:t>
      </w:r>
      <w:r w:rsidRPr="00B554F0">
        <w:rPr>
          <w:rFonts w:ascii="Times New Roman" w:hAnsi="Times New Roman" w:cs="Times New Roman"/>
          <w:sz w:val="26"/>
          <w:szCs w:val="26"/>
        </w:rPr>
        <w:t xml:space="preserve">Theo phân tích của International Bar Association, căn cứ vào tuyên bố về thẩm quyền của mình, EU chỉ trở thành một bên của Công ước </w:t>
      </w:r>
      <w:r w:rsidRPr="00B554F0">
        <w:rPr>
          <w:rFonts w:ascii="Times New Roman" w:hAnsi="Times New Roman" w:cs="Times New Roman"/>
          <w:color w:val="C00000"/>
          <w:sz w:val="26"/>
          <w:szCs w:val="26"/>
        </w:rPr>
        <w:t>trong những lĩnh vực thuộc thẩm quyền của EU.</w:t>
      </w:r>
      <w:r>
        <w:rPr>
          <w:rFonts w:ascii="Times New Roman" w:hAnsi="Times New Roman" w:cs="Times New Roman"/>
          <w:color w:val="C00000"/>
          <w:sz w:val="26"/>
          <w:szCs w:val="26"/>
        </w:rPr>
        <w:t xml:space="preserve"> </w:t>
      </w:r>
      <w:r w:rsidRPr="00B554F0">
        <w:rPr>
          <w:rFonts w:ascii="Times New Roman" w:hAnsi="Times New Roman" w:cs="Times New Roman"/>
          <w:sz w:val="26"/>
          <w:szCs w:val="26"/>
        </w:rPr>
        <w:t>Các quốc gia thành viên vẫn chịu trách nhiệm đối với những quy định còn lại.</w:t>
      </w:r>
    </w:p>
    <w:p w14:paraId="567B1E37" w14:textId="4CB1753B" w:rsidR="00B554F0" w:rsidRPr="00B554F0" w:rsidRDefault="00B554F0" w:rsidP="00B554F0">
      <w:pPr>
        <w:tabs>
          <w:tab w:val="num" w:pos="720"/>
        </w:tabs>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Do đó, </w:t>
      </w:r>
      <w:r w:rsidRPr="00B554F0">
        <w:rPr>
          <w:rFonts w:ascii="Times New Roman" w:hAnsi="Times New Roman" w:cs="Times New Roman"/>
          <w:color w:val="C00000"/>
          <w:sz w:val="26"/>
          <w:szCs w:val="26"/>
        </w:rPr>
        <w:t>việc EU phê chuẩn không đồng nghĩa với việc Công ước ngay lập tức được áp dụng đầy đủ tại tất cả các quốc gia thành viên EU</w:t>
      </w:r>
      <w:r w:rsidRPr="00B554F0">
        <w:rPr>
          <w:rFonts w:ascii="Times New Roman" w:hAnsi="Times New Roman" w:cs="Times New Roman"/>
          <w:sz w:val="26"/>
          <w:szCs w:val="26"/>
        </w:rPr>
        <w:t>.</w:t>
      </w:r>
      <w:r>
        <w:rPr>
          <w:rFonts w:ascii="Times New Roman" w:hAnsi="Times New Roman" w:cs="Times New Roman"/>
          <w:sz w:val="26"/>
          <w:szCs w:val="26"/>
        </w:rPr>
        <w:t xml:space="preserve"> </w:t>
      </w:r>
      <w:r w:rsidRPr="00B554F0">
        <w:rPr>
          <w:rFonts w:ascii="Times New Roman" w:hAnsi="Times New Roman" w:cs="Times New Roman"/>
          <w:sz w:val="26"/>
          <w:szCs w:val="26"/>
        </w:rPr>
        <w:t>Điểm này đặc biệt đáng lưu ý trong bối cảnh tình hình phê chuẩn hiện nay. Theo UN Treaty Collection, Công ước hiện có</w:t>
      </w:r>
      <w:r>
        <w:rPr>
          <w:rFonts w:ascii="Times New Roman" w:hAnsi="Times New Roman" w:cs="Times New Roman"/>
          <w:sz w:val="26"/>
          <w:szCs w:val="26"/>
        </w:rPr>
        <w:t xml:space="preserve"> </w:t>
      </w:r>
      <w:r w:rsidRPr="00B554F0">
        <w:rPr>
          <w:rFonts w:ascii="Times New Roman" w:hAnsi="Times New Roman" w:cs="Times New Roman"/>
          <w:sz w:val="26"/>
          <w:szCs w:val="26"/>
        </w:rPr>
        <w:t>34 quốc gia ký kết</w:t>
      </w:r>
      <w:r>
        <w:rPr>
          <w:rFonts w:ascii="Times New Roman" w:hAnsi="Times New Roman" w:cs="Times New Roman"/>
          <w:sz w:val="26"/>
          <w:szCs w:val="26"/>
        </w:rPr>
        <w:t xml:space="preserve"> </w:t>
      </w:r>
      <w:r w:rsidRPr="00B554F0">
        <w:rPr>
          <w:rFonts w:ascii="Times New Roman" w:hAnsi="Times New Roman" w:cs="Times New Roman"/>
          <w:sz w:val="26"/>
          <w:szCs w:val="26"/>
        </w:rPr>
        <w:t xml:space="preserve">và 5 quốc gia là thành viên chính thức. </w:t>
      </w:r>
    </w:p>
    <w:p w14:paraId="4C43046A" w14:textId="77777777" w:rsidR="00B554F0" w:rsidRPr="00B554F0" w:rsidRDefault="00B554F0" w:rsidP="00B554F0">
      <w:p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Trong EU:</w:t>
      </w:r>
    </w:p>
    <w:p w14:paraId="420D2795" w14:textId="77777777" w:rsidR="00B554F0" w:rsidRPr="00B554F0" w:rsidRDefault="00B554F0" w:rsidP="00B554F0">
      <w:pPr>
        <w:numPr>
          <w:ilvl w:val="0"/>
          <w:numId w:val="4"/>
        </w:num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Tây Ban Nha đã phê chuẩn Công ước; </w:t>
      </w:r>
    </w:p>
    <w:p w14:paraId="0DB44723" w14:textId="77777777" w:rsidR="00B554F0" w:rsidRPr="00B554F0" w:rsidRDefault="00B554F0" w:rsidP="00B554F0">
      <w:pPr>
        <w:numPr>
          <w:ilvl w:val="0"/>
          <w:numId w:val="4"/>
        </w:num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Bỉ, Croatia, Cyprus, Italy, Luxembourg và Malta đã ký nhưng chưa phê chuẩn. </w:t>
      </w:r>
    </w:p>
    <w:p w14:paraId="63AA282F" w14:textId="345CA409" w:rsidR="00B554F0" w:rsidRPr="00B554F0" w:rsidRDefault="00B554F0" w:rsidP="00B554F0">
      <w:pPr>
        <w:tabs>
          <w:tab w:val="num" w:pos="720"/>
        </w:tabs>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Tuy nhiên, việc EU phê chuẩn có thể tạo thêm động lực đáng kể cho quá trình phát triển và áp dụng Công ước. Điều này khẳng định sự ủng hộ của EU đối với cơ chế quốc tế về công nhận việc bán tàu theo phán quyết của tòa án, đồng thời xác lập quan điểm của EU về mối quan hệ giữa Công ước và các quy định hiện hành của EU, bao gồm các quy định về</w:t>
      </w:r>
      <w:r>
        <w:rPr>
          <w:rFonts w:ascii="Times New Roman" w:hAnsi="Times New Roman" w:cs="Times New Roman"/>
          <w:sz w:val="26"/>
          <w:szCs w:val="26"/>
        </w:rPr>
        <w:t xml:space="preserve"> </w:t>
      </w:r>
      <w:r w:rsidRPr="00B554F0">
        <w:rPr>
          <w:rFonts w:ascii="Times New Roman" w:hAnsi="Times New Roman" w:cs="Times New Roman"/>
          <w:sz w:val="26"/>
          <w:szCs w:val="26"/>
        </w:rPr>
        <w:t xml:space="preserve">thẩm quyền xét xử (jurisdiction) và tống đạt văn bản, tài liệu tố tụng (service of documents). </w:t>
      </w:r>
    </w:p>
    <w:p w14:paraId="11D47F80" w14:textId="29DA8825" w:rsidR="00B554F0" w:rsidRPr="00B554F0" w:rsidRDefault="00B554F0" w:rsidP="00B554F0">
      <w:p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Tuy nhiên, để Công ước có đầy đủ hiệu lực ở cấp quốc gia,</w:t>
      </w:r>
      <w:r>
        <w:rPr>
          <w:rFonts w:ascii="Times New Roman" w:hAnsi="Times New Roman" w:cs="Times New Roman"/>
          <w:sz w:val="26"/>
          <w:szCs w:val="26"/>
        </w:rPr>
        <w:t xml:space="preserve"> thì</w:t>
      </w:r>
      <w:r w:rsidRPr="00B554F0">
        <w:rPr>
          <w:rFonts w:ascii="Times New Roman" w:hAnsi="Times New Roman" w:cs="Times New Roman"/>
          <w:sz w:val="26"/>
          <w:szCs w:val="26"/>
        </w:rPr>
        <w:t xml:space="preserve"> các quốc gia thành viên EU chưa trở thành thành viên </w:t>
      </w:r>
      <w:r w:rsidR="00103F48">
        <w:rPr>
          <w:rFonts w:ascii="Times New Roman" w:hAnsi="Times New Roman" w:cs="Times New Roman"/>
          <w:sz w:val="26"/>
          <w:szCs w:val="26"/>
        </w:rPr>
        <w:t xml:space="preserve">của Công ước </w:t>
      </w:r>
      <w:r w:rsidRPr="00B554F0">
        <w:rPr>
          <w:rFonts w:ascii="Times New Roman" w:hAnsi="Times New Roman" w:cs="Times New Roman"/>
          <w:sz w:val="26"/>
          <w:szCs w:val="26"/>
        </w:rPr>
        <w:t xml:space="preserve">vẫn phải </w:t>
      </w:r>
      <w:r w:rsidRPr="00103F48">
        <w:rPr>
          <w:rFonts w:ascii="Times New Roman" w:hAnsi="Times New Roman" w:cs="Times New Roman"/>
          <w:sz w:val="26"/>
          <w:szCs w:val="26"/>
        </w:rPr>
        <w:t>tự mình phê chuẩn hoặc gia nhập Công ước</w:t>
      </w:r>
      <w:r w:rsidRPr="00B554F0">
        <w:rPr>
          <w:rFonts w:ascii="Times New Roman" w:hAnsi="Times New Roman" w:cs="Times New Roman"/>
          <w:sz w:val="26"/>
          <w:szCs w:val="26"/>
        </w:rPr>
        <w:t>.</w:t>
      </w:r>
    </w:p>
    <w:p w14:paraId="1335DE76" w14:textId="5D44F170" w:rsidR="00B554F0" w:rsidRPr="00103F48" w:rsidRDefault="00B554F0" w:rsidP="00103F48">
      <w:pPr>
        <w:tabs>
          <w:tab w:val="num" w:pos="720"/>
        </w:tabs>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Như đã nêu, phạm vi phê chuẩn của EU chỉ giới hạn trong những lĩnh vực thuộc </w:t>
      </w:r>
      <w:r w:rsidRPr="00103F48">
        <w:rPr>
          <w:rFonts w:ascii="Times New Roman" w:hAnsi="Times New Roman" w:cs="Times New Roman"/>
          <w:sz w:val="26"/>
          <w:szCs w:val="26"/>
        </w:rPr>
        <w:t>tuyên bố về thẩm quyền của EU</w:t>
      </w:r>
      <w:r w:rsidRPr="00B554F0">
        <w:rPr>
          <w:rFonts w:ascii="Times New Roman" w:hAnsi="Times New Roman" w:cs="Times New Roman"/>
          <w:sz w:val="26"/>
          <w:szCs w:val="26"/>
        </w:rPr>
        <w:t xml:space="preserve">, cụ thể là </w:t>
      </w:r>
      <w:r w:rsidRPr="00103F48">
        <w:rPr>
          <w:rFonts w:ascii="Times New Roman" w:hAnsi="Times New Roman" w:cs="Times New Roman"/>
          <w:sz w:val="26"/>
          <w:szCs w:val="26"/>
        </w:rPr>
        <w:t>Điều 4 và Điều 9,</w:t>
      </w:r>
      <w:r w:rsidRPr="00B554F0">
        <w:rPr>
          <w:rFonts w:ascii="Times New Roman" w:hAnsi="Times New Roman" w:cs="Times New Roman"/>
          <w:sz w:val="26"/>
          <w:szCs w:val="26"/>
        </w:rPr>
        <w:t xml:space="preserve"> và chỉ trong phạm vi các điều khoản này có thể</w:t>
      </w:r>
      <w:r w:rsidR="00103F48">
        <w:rPr>
          <w:rFonts w:ascii="Times New Roman" w:hAnsi="Times New Roman" w:cs="Times New Roman"/>
          <w:sz w:val="26"/>
          <w:szCs w:val="26"/>
        </w:rPr>
        <w:t xml:space="preserve"> </w:t>
      </w:r>
      <w:r w:rsidRPr="00B554F0">
        <w:rPr>
          <w:rFonts w:ascii="Times New Roman" w:hAnsi="Times New Roman" w:cs="Times New Roman"/>
          <w:sz w:val="26"/>
          <w:szCs w:val="26"/>
        </w:rPr>
        <w:t xml:space="preserve">tác động đến </w:t>
      </w:r>
      <w:r w:rsidRPr="00103F48">
        <w:rPr>
          <w:rFonts w:ascii="Times New Roman" w:hAnsi="Times New Roman" w:cs="Times New Roman"/>
          <w:sz w:val="26"/>
          <w:szCs w:val="26"/>
        </w:rPr>
        <w:t>các quy định chung của EU</w:t>
      </w:r>
      <w:r w:rsidRPr="00B554F0">
        <w:rPr>
          <w:rFonts w:ascii="Times New Roman" w:hAnsi="Times New Roman" w:cs="Times New Roman"/>
          <w:sz w:val="26"/>
          <w:szCs w:val="26"/>
        </w:rPr>
        <w:t xml:space="preserve"> hoặc làm thay đổi </w:t>
      </w:r>
      <w:r w:rsidRPr="00103F48">
        <w:rPr>
          <w:rFonts w:ascii="Times New Roman" w:hAnsi="Times New Roman" w:cs="Times New Roman"/>
          <w:sz w:val="26"/>
          <w:szCs w:val="26"/>
        </w:rPr>
        <w:t xml:space="preserve">phạm vi áp dụng của các quy định chung đó. </w:t>
      </w:r>
    </w:p>
    <w:p w14:paraId="14A40340" w14:textId="77777777" w:rsidR="00B554F0" w:rsidRPr="00B554F0" w:rsidRDefault="00B554F0" w:rsidP="00B554F0">
      <w:pPr>
        <w:spacing w:before="120" w:after="120"/>
        <w:jc w:val="both"/>
        <w:rPr>
          <w:rFonts w:ascii="Times New Roman" w:hAnsi="Times New Roman" w:cs="Times New Roman"/>
          <w:b/>
          <w:bCs/>
          <w:sz w:val="26"/>
          <w:szCs w:val="26"/>
        </w:rPr>
      </w:pPr>
      <w:r w:rsidRPr="00B554F0">
        <w:rPr>
          <w:rFonts w:ascii="Times New Roman" w:hAnsi="Times New Roman" w:cs="Times New Roman"/>
          <w:b/>
          <w:bCs/>
          <w:sz w:val="26"/>
          <w:szCs w:val="26"/>
        </w:rPr>
        <w:t>Ý nghĩa đối với ngành hàng hải</w:t>
      </w:r>
    </w:p>
    <w:p w14:paraId="731D726F" w14:textId="6EB9427F" w:rsidR="00B554F0" w:rsidRPr="00B554F0" w:rsidRDefault="00B554F0" w:rsidP="00B554F0">
      <w:p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Công ước Bắc Kinh có ý nghĩa đặc biệt đối với </w:t>
      </w:r>
      <w:r w:rsidRPr="00103F48">
        <w:rPr>
          <w:rFonts w:ascii="Times New Roman" w:hAnsi="Times New Roman" w:cs="Times New Roman"/>
          <w:sz w:val="26"/>
          <w:szCs w:val="26"/>
        </w:rPr>
        <w:t>thị trường mua bán tàu bị bắt giữ và bán theo phán quyết của tòa án (judicial sale).</w:t>
      </w:r>
      <w:r w:rsidRPr="00B554F0">
        <w:rPr>
          <w:rFonts w:ascii="Times New Roman" w:hAnsi="Times New Roman" w:cs="Times New Roman"/>
          <w:sz w:val="26"/>
          <w:szCs w:val="26"/>
        </w:rPr>
        <w:t xml:space="preserve"> Vấn đề cốt lõi là bảo đảm người mua tàu có được </w:t>
      </w:r>
      <w:r w:rsidRPr="00B554F0">
        <w:rPr>
          <w:rFonts w:ascii="Times New Roman" w:hAnsi="Times New Roman" w:cs="Times New Roman"/>
          <w:b/>
          <w:bCs/>
          <w:sz w:val="26"/>
          <w:szCs w:val="26"/>
        </w:rPr>
        <w:t>“</w:t>
      </w:r>
      <w:r w:rsidRPr="00103F48">
        <w:rPr>
          <w:rFonts w:ascii="Times New Roman" w:hAnsi="Times New Roman" w:cs="Times New Roman"/>
          <w:sz w:val="26"/>
          <w:szCs w:val="26"/>
        </w:rPr>
        <w:t xml:space="preserve">clean title” </w:t>
      </w:r>
      <w:r w:rsidR="00103F48">
        <w:rPr>
          <w:rFonts w:ascii="Times New Roman" w:hAnsi="Times New Roman" w:cs="Times New Roman"/>
          <w:sz w:val="26"/>
          <w:szCs w:val="26"/>
        </w:rPr>
        <w:t xml:space="preserve">, tức là </w:t>
      </w:r>
      <w:r w:rsidRPr="00103F48">
        <w:rPr>
          <w:rFonts w:ascii="Times New Roman" w:hAnsi="Times New Roman" w:cs="Times New Roman"/>
          <w:sz w:val="26"/>
          <w:szCs w:val="26"/>
        </w:rPr>
        <w:t>có khả năng được công nhận tại các quốc gia khác</w:t>
      </w:r>
      <w:r w:rsidRPr="00B554F0">
        <w:rPr>
          <w:rFonts w:ascii="Times New Roman" w:hAnsi="Times New Roman" w:cs="Times New Roman"/>
          <w:sz w:val="26"/>
          <w:szCs w:val="26"/>
        </w:rPr>
        <w:t>, qua đó giảm đáng kể rủi ro pháp lý sau khi mua tàu.</w:t>
      </w:r>
    </w:p>
    <w:p w14:paraId="33AE8E70" w14:textId="01A0B003" w:rsidR="00103F48" w:rsidRPr="00103F48" w:rsidRDefault="00B554F0" w:rsidP="00103F48">
      <w:pPr>
        <w:spacing w:before="120" w:after="120"/>
        <w:jc w:val="both"/>
        <w:rPr>
          <w:rFonts w:ascii="Times New Roman" w:hAnsi="Times New Roman" w:cs="Times New Roman"/>
          <w:sz w:val="26"/>
          <w:szCs w:val="26"/>
        </w:rPr>
      </w:pPr>
      <w:r w:rsidRPr="00B554F0">
        <w:rPr>
          <w:rFonts w:ascii="Times New Roman" w:hAnsi="Times New Roman" w:cs="Times New Roman"/>
          <w:sz w:val="26"/>
          <w:szCs w:val="26"/>
        </w:rPr>
        <w:t xml:space="preserve">Về mặt thực tiễn, một cơ chế quốc tế thống nhất hơn có thể giúp </w:t>
      </w:r>
      <w:r w:rsidRPr="00103F48">
        <w:rPr>
          <w:rFonts w:ascii="Times New Roman" w:hAnsi="Times New Roman" w:cs="Times New Roman"/>
          <w:sz w:val="26"/>
          <w:szCs w:val="26"/>
        </w:rPr>
        <w:t>tăng tính hấp dẫn của tàu được bán theo phán quyết của tòa án, nâng giá bán, bảo vệ lợi ích của chủ nợ và giảm sự không chắc chắn pháp lý trong giao dịch tàu xuyên biên giới.</w:t>
      </w:r>
      <w:r w:rsidR="00103F48">
        <w:rPr>
          <w:rFonts w:ascii="Times New Roman" w:hAnsi="Times New Roman" w:cs="Times New Roman"/>
          <w:sz w:val="26"/>
          <w:szCs w:val="26"/>
        </w:rPr>
        <w:t>/.</w:t>
      </w:r>
    </w:p>
    <w:sectPr w:rsidR="00103F48" w:rsidRPr="00103F48" w:rsidSect="00103F48">
      <w:pgSz w:w="12240" w:h="15840"/>
      <w:pgMar w:top="990" w:right="90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D0F8B"/>
    <w:multiLevelType w:val="multilevel"/>
    <w:tmpl w:val="1954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A1BA0"/>
    <w:multiLevelType w:val="multilevel"/>
    <w:tmpl w:val="1EFC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21EB1"/>
    <w:multiLevelType w:val="multilevel"/>
    <w:tmpl w:val="4210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6A1E4D"/>
    <w:multiLevelType w:val="multilevel"/>
    <w:tmpl w:val="6642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AD0D14"/>
    <w:multiLevelType w:val="multilevel"/>
    <w:tmpl w:val="C0A6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BB2F03"/>
    <w:multiLevelType w:val="multilevel"/>
    <w:tmpl w:val="918C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2009976">
    <w:abstractNumId w:val="1"/>
  </w:num>
  <w:num w:numId="2" w16cid:durableId="1352731053">
    <w:abstractNumId w:val="4"/>
  </w:num>
  <w:num w:numId="3" w16cid:durableId="182287989">
    <w:abstractNumId w:val="3"/>
  </w:num>
  <w:num w:numId="4" w16cid:durableId="412750157">
    <w:abstractNumId w:val="0"/>
  </w:num>
  <w:num w:numId="5" w16cid:durableId="1966348910">
    <w:abstractNumId w:val="5"/>
  </w:num>
  <w:num w:numId="6" w16cid:durableId="1765151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4F0"/>
    <w:rsid w:val="000501D0"/>
    <w:rsid w:val="00103F48"/>
    <w:rsid w:val="00B554F0"/>
    <w:rsid w:val="00C13E10"/>
    <w:rsid w:val="00F71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62D1"/>
  <w15:chartTrackingRefBased/>
  <w15:docId w15:val="{74245838-63BF-4D3C-B608-11FDD968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4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4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4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4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4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4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4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4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4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4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4F0"/>
    <w:rPr>
      <w:rFonts w:eastAsiaTheme="majorEastAsia" w:cstheme="majorBidi"/>
      <w:color w:val="272727" w:themeColor="text1" w:themeTint="D8"/>
    </w:rPr>
  </w:style>
  <w:style w:type="paragraph" w:styleId="Title">
    <w:name w:val="Title"/>
    <w:basedOn w:val="Normal"/>
    <w:next w:val="Normal"/>
    <w:link w:val="TitleChar"/>
    <w:uiPriority w:val="10"/>
    <w:qFormat/>
    <w:rsid w:val="00B55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4F0"/>
    <w:pPr>
      <w:spacing w:before="160"/>
      <w:jc w:val="center"/>
    </w:pPr>
    <w:rPr>
      <w:i/>
      <w:iCs/>
      <w:color w:val="404040" w:themeColor="text1" w:themeTint="BF"/>
    </w:rPr>
  </w:style>
  <w:style w:type="character" w:customStyle="1" w:styleId="QuoteChar">
    <w:name w:val="Quote Char"/>
    <w:basedOn w:val="DefaultParagraphFont"/>
    <w:link w:val="Quote"/>
    <w:uiPriority w:val="29"/>
    <w:rsid w:val="00B554F0"/>
    <w:rPr>
      <w:i/>
      <w:iCs/>
      <w:color w:val="404040" w:themeColor="text1" w:themeTint="BF"/>
    </w:rPr>
  </w:style>
  <w:style w:type="paragraph" w:styleId="ListParagraph">
    <w:name w:val="List Paragraph"/>
    <w:basedOn w:val="Normal"/>
    <w:uiPriority w:val="34"/>
    <w:qFormat/>
    <w:rsid w:val="00B554F0"/>
    <w:pPr>
      <w:ind w:left="720"/>
      <w:contextualSpacing/>
    </w:pPr>
  </w:style>
  <w:style w:type="character" w:styleId="IntenseEmphasis">
    <w:name w:val="Intense Emphasis"/>
    <w:basedOn w:val="DefaultParagraphFont"/>
    <w:uiPriority w:val="21"/>
    <w:qFormat/>
    <w:rsid w:val="00B554F0"/>
    <w:rPr>
      <w:i/>
      <w:iCs/>
      <w:color w:val="0F4761" w:themeColor="accent1" w:themeShade="BF"/>
    </w:rPr>
  </w:style>
  <w:style w:type="paragraph" w:styleId="IntenseQuote">
    <w:name w:val="Intense Quote"/>
    <w:basedOn w:val="Normal"/>
    <w:next w:val="Normal"/>
    <w:link w:val="IntenseQuoteChar"/>
    <w:uiPriority w:val="30"/>
    <w:qFormat/>
    <w:rsid w:val="00B554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4F0"/>
    <w:rPr>
      <w:i/>
      <w:iCs/>
      <w:color w:val="0F4761" w:themeColor="accent1" w:themeShade="BF"/>
    </w:rPr>
  </w:style>
  <w:style w:type="character" w:styleId="IntenseReference">
    <w:name w:val="Intense Reference"/>
    <w:basedOn w:val="DefaultParagraphFont"/>
    <w:uiPriority w:val="32"/>
    <w:qFormat/>
    <w:rsid w:val="00B554F0"/>
    <w:rPr>
      <w:b/>
      <w:bCs/>
      <w:smallCaps/>
      <w:color w:val="0F4761" w:themeColor="accent1" w:themeShade="BF"/>
      <w:spacing w:val="5"/>
    </w:rPr>
  </w:style>
  <w:style w:type="character" w:styleId="Hyperlink">
    <w:name w:val="Hyperlink"/>
    <w:basedOn w:val="DefaultParagraphFont"/>
    <w:uiPriority w:val="99"/>
    <w:unhideWhenUsed/>
    <w:rsid w:val="00B554F0"/>
    <w:rPr>
      <w:color w:val="467886" w:themeColor="hyperlink"/>
      <w:u w:val="single"/>
    </w:rPr>
  </w:style>
  <w:style w:type="character" w:styleId="UnresolvedMention">
    <w:name w:val="Unresolved Mention"/>
    <w:basedOn w:val="DefaultParagraphFont"/>
    <w:uiPriority w:val="99"/>
    <w:semiHidden/>
    <w:unhideWhenUsed/>
    <w:rsid w:val="00B55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regul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2026-08-12T06:49:00Z</dcterms:created>
  <dcterms:modified xsi:type="dcterms:W3CDTF">2026-08-12T07:02:00Z</dcterms:modified>
</cp:coreProperties>
</file>