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D8047" w14:textId="5EDB63CD" w:rsidR="00137185" w:rsidRPr="00A77A78" w:rsidRDefault="00137185" w:rsidP="00137185">
      <w:pPr>
        <w:spacing w:line="240" w:lineRule="auto"/>
        <w:jc w:val="center"/>
        <w:rPr>
          <w:rFonts w:ascii="Times New Roman" w:hAnsi="Times New Roman" w:cs="Times New Roman"/>
          <w:b/>
          <w:bCs/>
          <w:color w:val="0070C0"/>
          <w:sz w:val="40"/>
          <w:szCs w:val="40"/>
        </w:rPr>
      </w:pPr>
      <w:r w:rsidRPr="00A77A78">
        <w:rPr>
          <w:rFonts w:ascii="Times New Roman" w:hAnsi="Times New Roman" w:cs="Times New Roman"/>
          <w:b/>
          <w:bCs/>
          <w:color w:val="0070C0"/>
          <w:sz w:val="40"/>
          <w:szCs w:val="40"/>
        </w:rPr>
        <w:t xml:space="preserve">Các chiến lược thực tiễn </w:t>
      </w:r>
      <w:r w:rsidR="00A77A78" w:rsidRPr="00A77A78">
        <w:rPr>
          <w:rFonts w:ascii="Times New Roman" w:hAnsi="Times New Roman" w:cs="Times New Roman"/>
          <w:b/>
          <w:bCs/>
          <w:color w:val="0070C0"/>
          <w:sz w:val="40"/>
          <w:szCs w:val="40"/>
        </w:rPr>
        <w:t>dành cho chủ tàu và tổ chức khai thác tàu</w:t>
      </w:r>
      <w:r w:rsidR="00A77A78" w:rsidRPr="00A77A78">
        <w:rPr>
          <w:rFonts w:ascii="Times New Roman" w:hAnsi="Times New Roman" w:cs="Times New Roman"/>
          <w:b/>
          <w:bCs/>
          <w:color w:val="0070C0"/>
          <w:sz w:val="40"/>
          <w:szCs w:val="40"/>
        </w:rPr>
        <w:t xml:space="preserve"> </w:t>
      </w:r>
      <w:r w:rsidRPr="00A77A78">
        <w:rPr>
          <w:rFonts w:ascii="Times New Roman" w:hAnsi="Times New Roman" w:cs="Times New Roman"/>
          <w:b/>
          <w:bCs/>
          <w:color w:val="0070C0"/>
          <w:sz w:val="40"/>
          <w:szCs w:val="40"/>
        </w:rPr>
        <w:t xml:space="preserve">về </w:t>
      </w:r>
      <w:r w:rsidRPr="00A77A78">
        <w:rPr>
          <w:rFonts w:ascii="Times New Roman" w:hAnsi="Times New Roman" w:cs="Times New Roman"/>
          <w:b/>
          <w:bCs/>
          <w:color w:val="0070C0"/>
          <w:sz w:val="40"/>
          <w:szCs w:val="40"/>
        </w:rPr>
        <w:t xml:space="preserve">tuân thủ </w:t>
      </w:r>
      <w:r w:rsidRPr="00A77A78">
        <w:rPr>
          <w:rFonts w:ascii="Times New Roman" w:hAnsi="Times New Roman" w:cs="Times New Roman"/>
          <w:b/>
          <w:bCs/>
          <w:color w:val="0070C0"/>
          <w:sz w:val="40"/>
          <w:szCs w:val="40"/>
        </w:rPr>
        <w:t xml:space="preserve">loại bỏ khí thải carbon </w:t>
      </w:r>
    </w:p>
    <w:p w14:paraId="0857EDB4" w14:textId="77777777" w:rsidR="00137185" w:rsidRPr="00137185" w:rsidRDefault="00137185" w:rsidP="00137185">
      <w:pPr>
        <w:jc w:val="right"/>
      </w:pPr>
      <w:r w:rsidRPr="00137185">
        <w:t> </w:t>
      </w:r>
      <w:hyperlink r:id="rId5" w:history="1">
        <w:r w:rsidRPr="00137185">
          <w:rPr>
            <w:rStyle w:val="Hyperlink"/>
            <w:b/>
            <w:bCs/>
          </w:rPr>
          <w:t>maritimecyprus</w:t>
        </w:r>
      </w:hyperlink>
    </w:p>
    <w:p w14:paraId="1D01AC10" w14:textId="08114A8E" w:rsidR="00137185" w:rsidRPr="00137185" w:rsidRDefault="00137185" w:rsidP="00137185">
      <w:pPr>
        <w:jc w:val="center"/>
      </w:pPr>
      <w:r w:rsidRPr="00137185">
        <w:drawing>
          <wp:inline distT="0" distB="0" distL="0" distR="0" wp14:anchorId="1736EFE7" wp14:editId="44F12B07">
            <wp:extent cx="5943600" cy="3347720"/>
            <wp:effectExtent l="0" t="0" r="0" b="5080"/>
            <wp:docPr id="7623812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7D7A7536" w14:textId="77777777" w:rsidR="00137185" w:rsidRPr="00137185" w:rsidRDefault="00137185" w:rsidP="00137185">
      <w:pPr>
        <w:spacing w:before="120" w:after="120"/>
        <w:jc w:val="both"/>
        <w:rPr>
          <w:rFonts w:ascii="Times New Roman" w:hAnsi="Times New Roman" w:cs="Times New Roman"/>
          <w:color w:val="EE0000"/>
          <w:sz w:val="26"/>
          <w:szCs w:val="26"/>
        </w:rPr>
      </w:pPr>
      <w:r w:rsidRPr="00137185">
        <w:rPr>
          <w:rFonts w:ascii="Times New Roman" w:hAnsi="Times New Roman" w:cs="Times New Roman"/>
          <w:sz w:val="26"/>
          <w:szCs w:val="26"/>
        </w:rPr>
        <w:t xml:space="preserve">Ngành vận tải biển toàn cầu đang đứng trước một sự chuyển đổi chưa từng có về hệ thống quy định pháp lý. Các yêu cầu về môi trường đã phát triển từ những kiểm tra đơn giản dựa trên một tiêu chí duy nhất thành một </w:t>
      </w:r>
      <w:r w:rsidRPr="00137185">
        <w:rPr>
          <w:rFonts w:ascii="Times New Roman" w:hAnsi="Times New Roman" w:cs="Times New Roman"/>
          <w:color w:val="EE0000"/>
          <w:sz w:val="26"/>
          <w:szCs w:val="26"/>
        </w:rPr>
        <w:t>ma trận phức tạp gồm các nghĩa vụ tuân thủ về kỹ thuật, vận hành và cơ chế thị trường.</w:t>
      </w:r>
    </w:p>
    <w:p w14:paraId="5DEF8B42" w14:textId="31B7972F" w:rsidR="00137185" w:rsidRPr="00137185" w:rsidRDefault="00137185" w:rsidP="00137185">
      <w:pPr>
        <w:spacing w:before="120" w:after="120"/>
        <w:jc w:val="both"/>
        <w:rPr>
          <w:rFonts w:ascii="Times New Roman" w:hAnsi="Times New Roman" w:cs="Times New Roman"/>
          <w:color w:val="EE0000"/>
          <w:sz w:val="26"/>
          <w:szCs w:val="26"/>
        </w:rPr>
      </w:pPr>
      <w:r w:rsidRPr="00137185">
        <w:rPr>
          <w:rFonts w:ascii="Times New Roman" w:hAnsi="Times New Roman" w:cs="Times New Roman"/>
          <w:sz w:val="26"/>
          <w:szCs w:val="26"/>
        </w:rPr>
        <w:t xml:space="preserve">Đối với chủ tàu, người quản lý kỹ thuật và người thuê tàu, việc tuân thủ không còn có thể được xem là một công việc hành chính thụ động được thực hiện vào cuối năm. Việc tuân thủ hiện </w:t>
      </w:r>
      <w:r w:rsidRPr="00137185">
        <w:rPr>
          <w:rFonts w:ascii="Times New Roman" w:hAnsi="Times New Roman" w:cs="Times New Roman"/>
          <w:color w:val="EE0000"/>
          <w:sz w:val="26"/>
          <w:szCs w:val="26"/>
        </w:rPr>
        <w:t>tác động trực tiếp đến khả năng được thuê của tàu, biên lợi nhuận khai thác, khả năng tiếp cận tín dụng và giá trị tài sản của tàu.</w:t>
      </w:r>
    </w:p>
    <w:p w14:paraId="49E9E7BE" w14:textId="77777777" w:rsidR="00B8687E" w:rsidRPr="00B8687E" w:rsidRDefault="00B8687E" w:rsidP="00B8687E">
      <w:pPr>
        <w:spacing w:before="120" w:after="120"/>
        <w:jc w:val="both"/>
        <w:rPr>
          <w:rFonts w:ascii="Times New Roman" w:hAnsi="Times New Roman" w:cs="Times New Roman"/>
          <w:sz w:val="26"/>
          <w:szCs w:val="26"/>
        </w:rPr>
      </w:pPr>
      <w:r w:rsidRPr="00B8687E">
        <w:rPr>
          <w:rFonts w:ascii="Times New Roman" w:hAnsi="Times New Roman" w:cs="Times New Roman"/>
          <w:sz w:val="26"/>
          <w:szCs w:val="26"/>
        </w:rPr>
        <w:t>Dưới đây là phần phân tích mở rộng về mặt khai thác đối với các khung quy định chính điều chỉnh tàu container và các đội tàu quốc tế, tiếp theo là các khuyến nghị chiến lược có thể triển khai cho công tác quản lý tàu.</w:t>
      </w:r>
    </w:p>
    <w:p w14:paraId="2D6C3DF0" w14:textId="77777777" w:rsidR="00B8687E" w:rsidRPr="00B8687E" w:rsidRDefault="00B8687E" w:rsidP="00B8687E">
      <w:pPr>
        <w:spacing w:before="120" w:after="120"/>
        <w:ind w:left="360"/>
        <w:jc w:val="both"/>
        <w:rPr>
          <w:rFonts w:ascii="Times New Roman" w:hAnsi="Times New Roman" w:cs="Times New Roman"/>
          <w:b/>
          <w:bCs/>
          <w:sz w:val="26"/>
          <w:szCs w:val="26"/>
        </w:rPr>
      </w:pPr>
      <w:r w:rsidRPr="00B8687E">
        <w:rPr>
          <w:rFonts w:ascii="Times New Roman" w:hAnsi="Times New Roman" w:cs="Times New Roman"/>
          <w:b/>
          <w:bCs/>
          <w:sz w:val="26"/>
          <w:szCs w:val="26"/>
        </w:rPr>
        <w:t>1. Tổng quan về quy định: Các quy định toàn cầu, khu vực và địa phương</w:t>
      </w:r>
    </w:p>
    <w:p w14:paraId="2C90F8D4" w14:textId="3537748C" w:rsidR="00B8687E" w:rsidRPr="00B8687E" w:rsidRDefault="00B8687E" w:rsidP="00B8687E">
      <w:pPr>
        <w:spacing w:before="120" w:after="120"/>
        <w:ind w:left="360"/>
        <w:jc w:val="both"/>
        <w:rPr>
          <w:rFonts w:ascii="Times New Roman" w:hAnsi="Times New Roman" w:cs="Times New Roman"/>
          <w:b/>
          <w:bCs/>
          <w:sz w:val="26"/>
          <w:szCs w:val="26"/>
        </w:rPr>
      </w:pPr>
      <w:r w:rsidRPr="00B8687E">
        <w:rPr>
          <w:rFonts w:ascii="Times New Roman" w:hAnsi="Times New Roman" w:cs="Times New Roman"/>
          <w:b/>
          <w:bCs/>
          <w:sz w:val="26"/>
          <w:szCs w:val="26"/>
        </w:rPr>
        <w:t>A. Khung toàn cầu</w:t>
      </w:r>
      <w:r w:rsidRPr="00B8687E">
        <w:rPr>
          <w:rFonts w:ascii="Times New Roman" w:hAnsi="Times New Roman" w:cs="Times New Roman"/>
          <w:b/>
          <w:bCs/>
          <w:sz w:val="26"/>
          <w:szCs w:val="26"/>
        </w:rPr>
        <w:t xml:space="preserve"> </w:t>
      </w:r>
      <w:r>
        <w:rPr>
          <w:rFonts w:ascii="Times New Roman" w:hAnsi="Times New Roman" w:cs="Times New Roman"/>
          <w:b/>
          <w:bCs/>
          <w:sz w:val="26"/>
          <w:szCs w:val="26"/>
        </w:rPr>
        <w:t xml:space="preserve">của </w:t>
      </w:r>
      <w:r w:rsidRPr="00B8687E">
        <w:rPr>
          <w:rFonts w:ascii="Times New Roman" w:hAnsi="Times New Roman" w:cs="Times New Roman"/>
          <w:b/>
          <w:bCs/>
          <w:sz w:val="26"/>
          <w:szCs w:val="26"/>
        </w:rPr>
        <w:t>IMO</w:t>
      </w:r>
    </w:p>
    <w:p w14:paraId="50A6B249" w14:textId="580B9632" w:rsidR="00B8687E" w:rsidRPr="00B8687E" w:rsidRDefault="00B8687E" w:rsidP="00B8687E">
      <w:pPr>
        <w:spacing w:before="120" w:after="120"/>
        <w:jc w:val="both"/>
        <w:rPr>
          <w:rFonts w:ascii="Times New Roman" w:hAnsi="Times New Roman" w:cs="Times New Roman"/>
          <w:sz w:val="26"/>
          <w:szCs w:val="26"/>
        </w:rPr>
      </w:pPr>
      <w:r w:rsidRPr="00B8687E">
        <w:rPr>
          <w:rFonts w:ascii="Times New Roman" w:hAnsi="Times New Roman" w:cs="Times New Roman"/>
          <w:sz w:val="26"/>
          <w:szCs w:val="26"/>
        </w:rPr>
        <w:t xml:space="preserve">Được thực thi tại tất cả các quốc gia </w:t>
      </w:r>
      <w:r>
        <w:rPr>
          <w:rFonts w:ascii="Times New Roman" w:hAnsi="Times New Roman" w:cs="Times New Roman"/>
          <w:sz w:val="26"/>
          <w:szCs w:val="26"/>
        </w:rPr>
        <w:t>đăng ký</w:t>
      </w:r>
      <w:r w:rsidRPr="00B8687E">
        <w:rPr>
          <w:rFonts w:ascii="Times New Roman" w:hAnsi="Times New Roman" w:cs="Times New Roman"/>
          <w:sz w:val="26"/>
          <w:szCs w:val="26"/>
        </w:rPr>
        <w:t xml:space="preserve"> tàu theo </w:t>
      </w:r>
      <w:r w:rsidRPr="00B8687E">
        <w:rPr>
          <w:rFonts w:ascii="Times New Roman" w:hAnsi="Times New Roman" w:cs="Times New Roman"/>
          <w:color w:val="EE0000"/>
          <w:sz w:val="26"/>
          <w:szCs w:val="26"/>
        </w:rPr>
        <w:t>Phụ lục VI</w:t>
      </w:r>
      <w:r w:rsidRPr="00B8687E">
        <w:rPr>
          <w:rFonts w:ascii="Times New Roman" w:hAnsi="Times New Roman" w:cs="Times New Roman"/>
          <w:color w:val="EE0000"/>
          <w:sz w:val="26"/>
          <w:szCs w:val="26"/>
        </w:rPr>
        <w:t xml:space="preserve"> của </w:t>
      </w:r>
      <w:r w:rsidRPr="00B8687E">
        <w:rPr>
          <w:rFonts w:ascii="Times New Roman" w:hAnsi="Times New Roman" w:cs="Times New Roman"/>
          <w:color w:val="EE0000"/>
          <w:sz w:val="26"/>
          <w:szCs w:val="26"/>
        </w:rPr>
        <w:t>MARPOL</w:t>
      </w:r>
      <w:r w:rsidRPr="00B8687E">
        <w:rPr>
          <w:rFonts w:ascii="Times New Roman" w:hAnsi="Times New Roman" w:cs="Times New Roman"/>
          <w:sz w:val="26"/>
          <w:szCs w:val="26"/>
        </w:rPr>
        <w:t>, Tổ chức Hàng hải Quốc tế quy định các tiêu chuẩn kỹ thuật đồng thời với việc đánh giá hiệu quả hoạt động khai thác:</w:t>
      </w:r>
    </w:p>
    <w:p w14:paraId="2612691F" w14:textId="77777777" w:rsidR="00B8687E" w:rsidRPr="00B8687E" w:rsidRDefault="00B8687E" w:rsidP="00B8687E">
      <w:pPr>
        <w:numPr>
          <w:ilvl w:val="0"/>
          <w:numId w:val="11"/>
        </w:numPr>
        <w:spacing w:before="120" w:after="120"/>
        <w:jc w:val="both"/>
        <w:rPr>
          <w:rFonts w:ascii="Times New Roman" w:hAnsi="Times New Roman" w:cs="Times New Roman"/>
          <w:sz w:val="26"/>
          <w:szCs w:val="26"/>
        </w:rPr>
      </w:pPr>
      <w:r w:rsidRPr="00B8687E">
        <w:rPr>
          <w:rFonts w:ascii="Times New Roman" w:hAnsi="Times New Roman" w:cs="Times New Roman"/>
          <w:color w:val="EE0000"/>
          <w:sz w:val="26"/>
          <w:szCs w:val="26"/>
        </w:rPr>
        <w:t xml:space="preserve">EEDI (Energy Efficiency Design Index – Chỉ số thiết kế hiệu quả năng lượng): </w:t>
      </w:r>
      <w:r w:rsidRPr="00B8687E">
        <w:rPr>
          <w:rFonts w:ascii="Times New Roman" w:hAnsi="Times New Roman" w:cs="Times New Roman"/>
          <w:sz w:val="26"/>
          <w:szCs w:val="26"/>
        </w:rPr>
        <w:t xml:space="preserve">Một tiêu chuẩn thiết kế bắt buộc đối với các tàu đóng mới, yêu cầu mức </w:t>
      </w:r>
      <w:r w:rsidRPr="00B8687E">
        <w:rPr>
          <w:rFonts w:ascii="Times New Roman" w:hAnsi="Times New Roman" w:cs="Times New Roman"/>
          <w:color w:val="EE0000"/>
          <w:sz w:val="26"/>
          <w:szCs w:val="26"/>
        </w:rPr>
        <w:t xml:space="preserve">hiệu quả năng </w:t>
      </w:r>
      <w:r w:rsidRPr="00B8687E">
        <w:rPr>
          <w:rFonts w:ascii="Times New Roman" w:hAnsi="Times New Roman" w:cs="Times New Roman"/>
          <w:color w:val="EE0000"/>
          <w:sz w:val="26"/>
          <w:szCs w:val="26"/>
        </w:rPr>
        <w:lastRenderedPageBreak/>
        <w:t>lượng tối thiểu trên mỗi đơn vị năng lực vận chuyển-quãng đường (capacity-mile</w:t>
      </w:r>
      <w:r w:rsidRPr="00B8687E">
        <w:rPr>
          <w:rFonts w:ascii="Times New Roman" w:hAnsi="Times New Roman" w:cs="Times New Roman"/>
          <w:b/>
          <w:bCs/>
          <w:sz w:val="26"/>
          <w:szCs w:val="26"/>
        </w:rPr>
        <w:t>)</w:t>
      </w:r>
      <w:r w:rsidRPr="00B8687E">
        <w:rPr>
          <w:rFonts w:ascii="Times New Roman" w:hAnsi="Times New Roman" w:cs="Times New Roman"/>
          <w:sz w:val="26"/>
          <w:szCs w:val="26"/>
        </w:rPr>
        <w:t xml:space="preserve"> trong quá trình thiết kế và đóng tàu. </w:t>
      </w:r>
    </w:p>
    <w:p w14:paraId="2B57927F" w14:textId="77777777" w:rsidR="00B8687E" w:rsidRPr="00B8687E" w:rsidRDefault="00B8687E" w:rsidP="00B8687E">
      <w:pPr>
        <w:numPr>
          <w:ilvl w:val="0"/>
          <w:numId w:val="11"/>
        </w:numPr>
        <w:spacing w:before="120" w:after="120"/>
        <w:jc w:val="both"/>
        <w:rPr>
          <w:rFonts w:ascii="Times New Roman" w:hAnsi="Times New Roman" w:cs="Times New Roman"/>
          <w:sz w:val="26"/>
          <w:szCs w:val="26"/>
        </w:rPr>
      </w:pPr>
      <w:r w:rsidRPr="00B8687E">
        <w:rPr>
          <w:rFonts w:ascii="Times New Roman" w:hAnsi="Times New Roman" w:cs="Times New Roman"/>
          <w:color w:val="EE0000"/>
          <w:sz w:val="26"/>
          <w:szCs w:val="26"/>
        </w:rPr>
        <w:t xml:space="preserve">EEXI (Energy Efficiency Existing Ship Index – Chỉ số hiệu quả năng lượng của tàu hiện có): </w:t>
      </w:r>
      <w:r w:rsidRPr="00B8687E">
        <w:rPr>
          <w:rFonts w:ascii="Times New Roman" w:hAnsi="Times New Roman" w:cs="Times New Roman"/>
          <w:sz w:val="26"/>
          <w:szCs w:val="26"/>
        </w:rPr>
        <w:t xml:space="preserve">Được áp dụng hồi tố đối với các tàu hiện có, yêu cầu đạt mức hiệu quả kỹ thuật tương đương (thông thường đạt được thông qua Giới hạn công suất động cơ – Engine Power Limitation (EPL) hoặc các giải pháp cải hoán tiết kiệm năng lượng). </w:t>
      </w:r>
    </w:p>
    <w:p w14:paraId="599BC982" w14:textId="63B149D1" w:rsidR="00B8687E" w:rsidRPr="00B8687E" w:rsidRDefault="00B8687E" w:rsidP="00B8687E">
      <w:pPr>
        <w:numPr>
          <w:ilvl w:val="0"/>
          <w:numId w:val="11"/>
        </w:numPr>
        <w:spacing w:before="120" w:after="120"/>
        <w:jc w:val="both"/>
        <w:rPr>
          <w:rFonts w:ascii="Times New Roman" w:hAnsi="Times New Roman" w:cs="Times New Roman"/>
          <w:sz w:val="26"/>
          <w:szCs w:val="26"/>
        </w:rPr>
      </w:pPr>
      <w:r w:rsidRPr="00B8687E">
        <w:rPr>
          <w:rFonts w:ascii="Times New Roman" w:hAnsi="Times New Roman" w:cs="Times New Roman"/>
          <w:color w:val="EE0000"/>
          <w:sz w:val="26"/>
          <w:szCs w:val="26"/>
        </w:rPr>
        <w:t xml:space="preserve">CII (Carbon Intensity Indicator – Chỉ số cường độ carbon): </w:t>
      </w:r>
      <w:r w:rsidRPr="00B8687E">
        <w:rPr>
          <w:rFonts w:ascii="Times New Roman" w:hAnsi="Times New Roman" w:cs="Times New Roman"/>
          <w:sz w:val="26"/>
          <w:szCs w:val="26"/>
        </w:rPr>
        <w:t>Một hệ thống xếp hạng khai thác (</w:t>
      </w:r>
      <w:r w:rsidRPr="00B8687E">
        <w:rPr>
          <w:rFonts w:ascii="Times New Roman" w:hAnsi="Times New Roman" w:cs="Times New Roman"/>
          <w:color w:val="EE0000"/>
          <w:sz w:val="26"/>
          <w:szCs w:val="26"/>
        </w:rPr>
        <w:t>từ A đến</w:t>
      </w:r>
      <w:r w:rsidRPr="00B8687E">
        <w:rPr>
          <w:rFonts w:ascii="Times New Roman" w:hAnsi="Times New Roman" w:cs="Times New Roman"/>
          <w:color w:val="EE0000"/>
          <w:sz w:val="26"/>
          <w:szCs w:val="26"/>
        </w:rPr>
        <w:t xml:space="preserve"> E</w:t>
      </w:r>
      <w:r w:rsidRPr="00B8687E">
        <w:rPr>
          <w:rFonts w:ascii="Times New Roman" w:hAnsi="Times New Roman" w:cs="Times New Roman"/>
          <w:color w:val="EE0000"/>
          <w:sz w:val="26"/>
          <w:szCs w:val="26"/>
        </w:rPr>
        <w:t xml:space="preserve">) </w:t>
      </w:r>
      <w:r w:rsidRPr="00B8687E">
        <w:rPr>
          <w:rFonts w:ascii="Times New Roman" w:hAnsi="Times New Roman" w:cs="Times New Roman"/>
          <w:sz w:val="26"/>
          <w:szCs w:val="26"/>
        </w:rPr>
        <w:t xml:space="preserve">dựa trên cường độ carbon khai thác hằng năm (g CO₂ / </w:t>
      </w:r>
      <w:r>
        <w:rPr>
          <w:rFonts w:ascii="Times New Roman" w:hAnsi="Times New Roman" w:cs="Times New Roman"/>
          <w:sz w:val="26"/>
          <w:szCs w:val="26"/>
        </w:rPr>
        <w:t xml:space="preserve">DWT, </w:t>
      </w:r>
      <w:r w:rsidRPr="00B8687E">
        <w:rPr>
          <w:rFonts w:ascii="Times New Roman" w:hAnsi="Times New Roman" w:cs="Times New Roman"/>
          <w:sz w:val="26"/>
          <w:szCs w:val="26"/>
        </w:rPr>
        <w:t>CO₂</w:t>
      </w:r>
      <w:r>
        <w:rPr>
          <w:rFonts w:ascii="Times New Roman" w:hAnsi="Times New Roman" w:cs="Times New Roman"/>
          <w:sz w:val="26"/>
          <w:szCs w:val="26"/>
        </w:rPr>
        <w:t>/DWT-Nautical mile</w:t>
      </w:r>
      <w:r w:rsidRPr="00B8687E">
        <w:rPr>
          <w:rFonts w:ascii="Times New Roman" w:hAnsi="Times New Roman" w:cs="Times New Roman"/>
          <w:sz w:val="26"/>
          <w:szCs w:val="26"/>
        </w:rPr>
        <w:t xml:space="preserve">). Các khung quy định của IMO yêu cầu </w:t>
      </w:r>
      <w:r w:rsidRPr="00C54DA2">
        <w:rPr>
          <w:rFonts w:ascii="Times New Roman" w:hAnsi="Times New Roman" w:cs="Times New Roman"/>
          <w:sz w:val="26"/>
          <w:szCs w:val="26"/>
        </w:rPr>
        <w:t>các hệ số giảm khai thác hằng năm ngày càng nghiêm ngặt, lên tới</w:t>
      </w:r>
      <w:r w:rsidR="00C54DA2">
        <w:rPr>
          <w:rFonts w:ascii="Times New Roman" w:hAnsi="Times New Roman" w:cs="Times New Roman"/>
          <w:sz w:val="26"/>
          <w:szCs w:val="26"/>
        </w:rPr>
        <w:t xml:space="preserve">21,5% </w:t>
      </w:r>
      <w:r w:rsidRPr="00C54DA2">
        <w:rPr>
          <w:rFonts w:ascii="Times New Roman" w:hAnsi="Times New Roman" w:cs="Times New Roman"/>
          <w:sz w:val="26"/>
          <w:szCs w:val="26"/>
        </w:rPr>
        <w:t>vào năm 2030.</w:t>
      </w:r>
      <w:r w:rsidRPr="00B8687E">
        <w:rPr>
          <w:rFonts w:ascii="Times New Roman" w:hAnsi="Times New Roman" w:cs="Times New Roman"/>
          <w:sz w:val="26"/>
          <w:szCs w:val="26"/>
        </w:rPr>
        <w:t xml:space="preserve"> </w:t>
      </w:r>
    </w:p>
    <w:p w14:paraId="488E62FB" w14:textId="77777777" w:rsidR="00B8687E" w:rsidRPr="00C54DA2" w:rsidRDefault="00B8687E" w:rsidP="00B8687E">
      <w:pPr>
        <w:numPr>
          <w:ilvl w:val="0"/>
          <w:numId w:val="11"/>
        </w:numPr>
        <w:spacing w:before="120" w:after="120"/>
        <w:jc w:val="both"/>
        <w:rPr>
          <w:rFonts w:ascii="Times New Roman" w:hAnsi="Times New Roman" w:cs="Times New Roman"/>
          <w:sz w:val="26"/>
          <w:szCs w:val="26"/>
        </w:rPr>
      </w:pPr>
      <w:r w:rsidRPr="00C54DA2">
        <w:rPr>
          <w:rFonts w:ascii="Times New Roman" w:hAnsi="Times New Roman" w:cs="Times New Roman"/>
          <w:sz w:val="26"/>
          <w:szCs w:val="26"/>
        </w:rPr>
        <w:t>IMO DCS (Data Collection System – Hệ thống thu thập dữ liệu):</w:t>
      </w:r>
      <w:r w:rsidRPr="00B8687E">
        <w:rPr>
          <w:rFonts w:ascii="Times New Roman" w:hAnsi="Times New Roman" w:cs="Times New Roman"/>
          <w:sz w:val="26"/>
          <w:szCs w:val="26"/>
        </w:rPr>
        <w:t xml:space="preserve"> Hệ thống báo cáo nhiên liệu và hành trình trên toàn cầu dành cho các tàu có </w:t>
      </w:r>
      <w:r w:rsidRPr="00C54DA2">
        <w:rPr>
          <w:rFonts w:ascii="Times New Roman" w:hAnsi="Times New Roman" w:cs="Times New Roman"/>
          <w:color w:val="EE0000"/>
          <w:sz w:val="26"/>
          <w:szCs w:val="26"/>
        </w:rPr>
        <w:t>tổng dung tích từ 5.000 GT trở lên</w:t>
      </w:r>
      <w:r w:rsidRPr="00B8687E">
        <w:rPr>
          <w:rFonts w:ascii="Times New Roman" w:hAnsi="Times New Roman" w:cs="Times New Roman"/>
          <w:sz w:val="26"/>
          <w:szCs w:val="26"/>
        </w:rPr>
        <w:t xml:space="preserve">. Các quy định về </w:t>
      </w:r>
      <w:r w:rsidRPr="00C54DA2">
        <w:rPr>
          <w:rFonts w:ascii="Times New Roman" w:hAnsi="Times New Roman" w:cs="Times New Roman"/>
          <w:sz w:val="26"/>
          <w:szCs w:val="26"/>
        </w:rPr>
        <w:t>mức độ chi tiết dữ liệu được tăng cường theo MARPOL Phụ lục VI, Phụ chương IX (Appendix IX)</w:t>
      </w:r>
      <w:r w:rsidRPr="00B8687E">
        <w:rPr>
          <w:rFonts w:ascii="Times New Roman" w:hAnsi="Times New Roman" w:cs="Times New Roman"/>
          <w:sz w:val="26"/>
          <w:szCs w:val="26"/>
        </w:rPr>
        <w:t xml:space="preserve"> yêu cầu theo dõi cụ thể lượng nhiên liệu tiêu thụ theo từng loại thiết bị tiêu thụ (</w:t>
      </w:r>
      <w:r w:rsidRPr="00C54DA2">
        <w:rPr>
          <w:rFonts w:ascii="Times New Roman" w:hAnsi="Times New Roman" w:cs="Times New Roman"/>
          <w:sz w:val="26"/>
          <w:szCs w:val="26"/>
        </w:rPr>
        <w:t>máy chính, máy phụ, nồi hơi</w:t>
      </w:r>
      <w:r w:rsidRPr="00B8687E">
        <w:rPr>
          <w:rFonts w:ascii="Times New Roman" w:hAnsi="Times New Roman" w:cs="Times New Roman"/>
          <w:sz w:val="26"/>
          <w:szCs w:val="26"/>
        </w:rPr>
        <w:t xml:space="preserve">), lượng điện sử dụng từ </w:t>
      </w:r>
      <w:r w:rsidRPr="00C54DA2">
        <w:rPr>
          <w:rFonts w:ascii="Times New Roman" w:hAnsi="Times New Roman" w:cs="Times New Roman"/>
          <w:sz w:val="26"/>
          <w:szCs w:val="26"/>
        </w:rPr>
        <w:t xml:space="preserve">nguồn điện trên bờ, và thời gian tàu đang hành trình giữa “Full Ahead on Passage” (FAOP) và “End of Sea Passage” (EOSP). </w:t>
      </w:r>
    </w:p>
    <w:p w14:paraId="19782076" w14:textId="77777777" w:rsidR="00B8687E" w:rsidRPr="00C54DA2" w:rsidRDefault="00B8687E" w:rsidP="00B8687E">
      <w:pPr>
        <w:numPr>
          <w:ilvl w:val="0"/>
          <w:numId w:val="11"/>
        </w:numPr>
        <w:spacing w:before="120" w:after="120"/>
        <w:jc w:val="both"/>
        <w:rPr>
          <w:rFonts w:ascii="Times New Roman" w:hAnsi="Times New Roman" w:cs="Times New Roman"/>
          <w:sz w:val="26"/>
          <w:szCs w:val="26"/>
        </w:rPr>
      </w:pPr>
      <w:r w:rsidRPr="00C54DA2">
        <w:rPr>
          <w:rFonts w:ascii="Times New Roman" w:hAnsi="Times New Roman" w:cs="Times New Roman"/>
          <w:color w:val="EE0000"/>
          <w:sz w:val="26"/>
          <w:szCs w:val="26"/>
        </w:rPr>
        <w:t xml:space="preserve">MEPC 83 &amp; Các biện pháp trung hạn (Mid-Term Measures): </w:t>
      </w:r>
      <w:r w:rsidRPr="00B8687E">
        <w:rPr>
          <w:rFonts w:ascii="Times New Roman" w:hAnsi="Times New Roman" w:cs="Times New Roman"/>
          <w:sz w:val="26"/>
          <w:szCs w:val="26"/>
        </w:rPr>
        <w:t xml:space="preserve">Các cuộc đàm phán của IMO tập trung vào một </w:t>
      </w:r>
      <w:r w:rsidRPr="00C54DA2">
        <w:rPr>
          <w:rFonts w:ascii="Times New Roman" w:hAnsi="Times New Roman" w:cs="Times New Roman"/>
          <w:sz w:val="26"/>
          <w:szCs w:val="26"/>
        </w:rPr>
        <w:t>“gói” (basket) các biện pháp trung hạn</w:t>
      </w:r>
      <w:r w:rsidRPr="00B8687E">
        <w:rPr>
          <w:rFonts w:ascii="Times New Roman" w:hAnsi="Times New Roman" w:cs="Times New Roman"/>
          <w:sz w:val="26"/>
          <w:szCs w:val="26"/>
        </w:rPr>
        <w:t xml:space="preserve">, kết hợp các </w:t>
      </w:r>
      <w:r w:rsidRPr="00C54DA2">
        <w:rPr>
          <w:rFonts w:ascii="Times New Roman" w:hAnsi="Times New Roman" w:cs="Times New Roman"/>
          <w:sz w:val="26"/>
          <w:szCs w:val="26"/>
        </w:rPr>
        <w:t xml:space="preserve">tiêu chuẩn nhiên liệu hàng hải dựa trên mục tiêu với các cơ chế kinh tế toàn cầu về khí nhà kính (GHG), </w:t>
      </w:r>
      <w:r w:rsidRPr="00B8687E">
        <w:rPr>
          <w:rFonts w:ascii="Times New Roman" w:hAnsi="Times New Roman" w:cs="Times New Roman"/>
          <w:sz w:val="26"/>
          <w:szCs w:val="26"/>
        </w:rPr>
        <w:t xml:space="preserve">chẳng hạn như </w:t>
      </w:r>
      <w:r w:rsidRPr="00C54DA2">
        <w:rPr>
          <w:rFonts w:ascii="Times New Roman" w:hAnsi="Times New Roman" w:cs="Times New Roman"/>
          <w:sz w:val="26"/>
          <w:szCs w:val="26"/>
        </w:rPr>
        <w:t>một khoản phí phát thải cố định (flat emissions levy).</w:t>
      </w:r>
    </w:p>
    <w:p w14:paraId="01279414" w14:textId="666869C7" w:rsidR="008A1F16" w:rsidRDefault="008A1F16" w:rsidP="008A1F16">
      <w:pPr>
        <w:spacing w:before="120" w:after="120"/>
        <w:ind w:left="360"/>
        <w:jc w:val="both"/>
        <w:rPr>
          <w:rFonts w:ascii="Times New Roman" w:hAnsi="Times New Roman" w:cs="Times New Roman"/>
          <w:sz w:val="26"/>
          <w:szCs w:val="26"/>
        </w:rPr>
      </w:pPr>
      <w:r w:rsidRPr="00137185">
        <w:drawing>
          <wp:inline distT="0" distB="0" distL="0" distR="0" wp14:anchorId="4EAEDF12" wp14:editId="594AC754">
            <wp:extent cx="5943600" cy="3093720"/>
            <wp:effectExtent l="0" t="0" r="0" b="0"/>
            <wp:docPr id="5072085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093720"/>
                    </a:xfrm>
                    <a:prstGeom prst="rect">
                      <a:avLst/>
                    </a:prstGeom>
                    <a:noFill/>
                    <a:ln>
                      <a:noFill/>
                    </a:ln>
                  </pic:spPr>
                </pic:pic>
              </a:graphicData>
            </a:graphic>
          </wp:inline>
        </w:drawing>
      </w:r>
    </w:p>
    <w:p w14:paraId="5085D715" w14:textId="399933F2" w:rsidR="00C54DA2" w:rsidRPr="00137185" w:rsidRDefault="00137185" w:rsidP="00137185">
      <w:pPr>
        <w:spacing w:before="120" w:after="120"/>
        <w:jc w:val="both"/>
        <w:rPr>
          <w:rFonts w:ascii="Times New Roman" w:hAnsi="Times New Roman" w:cs="Times New Roman"/>
          <w:b/>
          <w:bCs/>
          <w:sz w:val="26"/>
          <w:szCs w:val="26"/>
        </w:rPr>
      </w:pPr>
      <w:r w:rsidRPr="00137185">
        <w:rPr>
          <w:rFonts w:ascii="Times New Roman" w:hAnsi="Times New Roman" w:cs="Times New Roman"/>
          <w:b/>
          <w:bCs/>
          <w:sz w:val="26"/>
          <w:szCs w:val="26"/>
        </w:rPr>
        <w:t>B. Các quy định của Liên minh châu Âu (EU)</w:t>
      </w:r>
    </w:p>
    <w:p w14:paraId="40407BDD" w14:textId="77777777" w:rsidR="00C54DA2" w:rsidRPr="00C54DA2" w:rsidRDefault="00C54DA2" w:rsidP="00C54DA2">
      <w:pPr>
        <w:spacing w:before="120" w:after="120"/>
        <w:jc w:val="both"/>
        <w:rPr>
          <w:rFonts w:ascii="Times New Roman" w:hAnsi="Times New Roman" w:cs="Times New Roman"/>
          <w:sz w:val="26"/>
          <w:szCs w:val="26"/>
        </w:rPr>
      </w:pPr>
      <w:r w:rsidRPr="00C54DA2">
        <w:rPr>
          <w:rFonts w:ascii="Times New Roman" w:hAnsi="Times New Roman" w:cs="Times New Roman"/>
          <w:sz w:val="26"/>
          <w:szCs w:val="26"/>
        </w:rPr>
        <w:t xml:space="preserve">EU áp dụng các </w:t>
      </w:r>
      <w:r w:rsidRPr="00C54DA2">
        <w:rPr>
          <w:rFonts w:ascii="Times New Roman" w:hAnsi="Times New Roman" w:cs="Times New Roman"/>
          <w:b/>
          <w:bCs/>
          <w:sz w:val="26"/>
          <w:szCs w:val="26"/>
        </w:rPr>
        <w:t xml:space="preserve">cơ </w:t>
      </w:r>
      <w:r w:rsidRPr="00C54DA2">
        <w:rPr>
          <w:rFonts w:ascii="Times New Roman" w:hAnsi="Times New Roman" w:cs="Times New Roman"/>
          <w:color w:val="EE0000"/>
          <w:sz w:val="26"/>
          <w:szCs w:val="26"/>
        </w:rPr>
        <w:t xml:space="preserve">chế dựa trên thị trường có tính bắt buộc thi hành </w:t>
      </w:r>
      <w:r w:rsidRPr="00C54DA2">
        <w:rPr>
          <w:rFonts w:ascii="Times New Roman" w:hAnsi="Times New Roman" w:cs="Times New Roman"/>
          <w:sz w:val="26"/>
          <w:szCs w:val="26"/>
        </w:rPr>
        <w:t>và các quy định về nhiên liệu trên toàn Khu vực Kinh tế châu Âu (EEA):</w:t>
      </w:r>
    </w:p>
    <w:p w14:paraId="04DCA8A0" w14:textId="77777777" w:rsidR="00C54DA2" w:rsidRPr="00C54DA2" w:rsidRDefault="00C54DA2" w:rsidP="00C54DA2">
      <w:pPr>
        <w:numPr>
          <w:ilvl w:val="0"/>
          <w:numId w:val="13"/>
        </w:numPr>
        <w:spacing w:before="120" w:after="120"/>
        <w:jc w:val="both"/>
        <w:rPr>
          <w:rFonts w:ascii="Times New Roman" w:hAnsi="Times New Roman" w:cs="Times New Roman"/>
          <w:sz w:val="26"/>
          <w:szCs w:val="26"/>
        </w:rPr>
      </w:pPr>
      <w:r w:rsidRPr="00C54DA2">
        <w:rPr>
          <w:rFonts w:ascii="Times New Roman" w:hAnsi="Times New Roman" w:cs="Times New Roman"/>
          <w:color w:val="EE0000"/>
          <w:sz w:val="26"/>
          <w:szCs w:val="26"/>
        </w:rPr>
        <w:lastRenderedPageBreak/>
        <w:t xml:space="preserve">EU MRV (Monitoring, Reporting, and Verification – Giám sát, Báo cáo và Thẩm tra): </w:t>
      </w:r>
      <w:r w:rsidRPr="00C54DA2">
        <w:rPr>
          <w:rFonts w:ascii="Times New Roman" w:hAnsi="Times New Roman" w:cs="Times New Roman"/>
          <w:sz w:val="26"/>
          <w:szCs w:val="26"/>
        </w:rPr>
        <w:t xml:space="preserve">Là nền tảng theo dõi đối với các chuyến hành trình đến, đi từ và giữa các cảng thuộc EEA, bao gồm CO₂, methane (CH₄) và nitrous oxide (N₂O). </w:t>
      </w:r>
    </w:p>
    <w:p w14:paraId="203DC5B6" w14:textId="3B529971" w:rsidR="00C54DA2" w:rsidRPr="00C54DA2" w:rsidRDefault="00C54DA2" w:rsidP="00C54DA2">
      <w:pPr>
        <w:numPr>
          <w:ilvl w:val="0"/>
          <w:numId w:val="13"/>
        </w:numPr>
        <w:spacing w:before="120" w:after="120"/>
        <w:jc w:val="both"/>
        <w:rPr>
          <w:rFonts w:ascii="Times New Roman" w:hAnsi="Times New Roman" w:cs="Times New Roman"/>
          <w:sz w:val="26"/>
          <w:szCs w:val="26"/>
        </w:rPr>
      </w:pPr>
      <w:r w:rsidRPr="00C54DA2">
        <w:rPr>
          <w:rFonts w:ascii="Times New Roman" w:hAnsi="Times New Roman" w:cs="Times New Roman"/>
          <w:color w:val="EE0000"/>
          <w:sz w:val="26"/>
          <w:szCs w:val="26"/>
        </w:rPr>
        <w:t xml:space="preserve">EU ETS (Emissions Trading System – Hệ thống mua bán phát thải): </w:t>
      </w:r>
      <w:r w:rsidRPr="00C54DA2">
        <w:rPr>
          <w:rFonts w:ascii="Times New Roman" w:hAnsi="Times New Roman" w:cs="Times New Roman"/>
          <w:sz w:val="26"/>
          <w:szCs w:val="26"/>
        </w:rPr>
        <w:t xml:space="preserve">Yêu cầu các công ty vận tải biển </w:t>
      </w:r>
      <w:r w:rsidRPr="00C54DA2">
        <w:rPr>
          <w:rFonts w:ascii="Times New Roman" w:hAnsi="Times New Roman" w:cs="Times New Roman"/>
          <w:color w:val="EE0000"/>
          <w:sz w:val="26"/>
          <w:szCs w:val="26"/>
        </w:rPr>
        <w:t xml:space="preserve">nộp EU Allowances (EUA – hạn ngạch phát thải của EU) </w:t>
      </w:r>
      <w:r w:rsidRPr="00C54DA2">
        <w:rPr>
          <w:rFonts w:ascii="Times New Roman" w:hAnsi="Times New Roman" w:cs="Times New Roman"/>
          <w:sz w:val="26"/>
          <w:szCs w:val="26"/>
        </w:rPr>
        <w:t>để bao phủ 100% lượng phát thải đã được thẩm tra đối với các chuyến đi nội khối EU và lượng phát thải tại cảng, và 50% đối với các chuyến đi ngoài EU. Việc hạch toán phát thải đầy đủ bao gồm methane (CH₄) và nitrous oxide (N₂O), được đánh giá theo tiềm năng gây nóng lên toàn cầu (GWP – Global Warming Potential) tương ứng với CO₂</w:t>
      </w:r>
      <w:r>
        <w:rPr>
          <w:rFonts w:ascii="Times New Roman" w:hAnsi="Times New Roman" w:cs="Times New Roman"/>
          <w:sz w:val="26"/>
          <w:szCs w:val="26"/>
        </w:rPr>
        <w:t xml:space="preserve"> (</w:t>
      </w:r>
      <w:r w:rsidRPr="00C54DA2">
        <w:rPr>
          <w:rFonts w:ascii="Times New Roman" w:hAnsi="Times New Roman" w:cs="Times New Roman"/>
          <w:sz w:val="26"/>
          <w:szCs w:val="26"/>
        </w:rPr>
        <w:t xml:space="preserve">qua đó đặt ra </w:t>
      </w:r>
      <w:r w:rsidRPr="00C54DA2">
        <w:rPr>
          <w:rFonts w:ascii="Times New Roman" w:hAnsi="Times New Roman" w:cs="Times New Roman"/>
          <w:color w:val="EE0000"/>
          <w:sz w:val="26"/>
          <w:szCs w:val="26"/>
        </w:rPr>
        <w:t>các khoản phạt tài chính đáng kể đối với lượng methane chưa cháy hết (methane slip)</w:t>
      </w:r>
      <w:r w:rsidRPr="00C54DA2">
        <w:rPr>
          <w:rFonts w:ascii="Times New Roman" w:hAnsi="Times New Roman" w:cs="Times New Roman"/>
          <w:sz w:val="26"/>
          <w:szCs w:val="26"/>
        </w:rPr>
        <w:t xml:space="preserve"> trong các động cơ nhiên liệu kép. </w:t>
      </w:r>
    </w:p>
    <w:p w14:paraId="7CD6AACF" w14:textId="77777777" w:rsidR="00C54DA2" w:rsidRPr="00C54DA2" w:rsidRDefault="00C54DA2" w:rsidP="00C54DA2">
      <w:pPr>
        <w:numPr>
          <w:ilvl w:val="0"/>
          <w:numId w:val="13"/>
        </w:numPr>
        <w:spacing w:before="120" w:after="120"/>
        <w:jc w:val="both"/>
        <w:rPr>
          <w:rFonts w:ascii="Times New Roman" w:hAnsi="Times New Roman" w:cs="Times New Roman"/>
          <w:sz w:val="26"/>
          <w:szCs w:val="26"/>
        </w:rPr>
      </w:pPr>
      <w:r w:rsidRPr="00C54DA2">
        <w:rPr>
          <w:rFonts w:ascii="Times New Roman" w:hAnsi="Times New Roman" w:cs="Times New Roman"/>
          <w:sz w:val="26"/>
          <w:szCs w:val="26"/>
        </w:rPr>
        <w:t xml:space="preserve">FuelEU Maritime: Đặt ra các giới hạn giảm dần đối với cường độ khí nhà kính (GHG) theo phương pháp Well-to-Wake (WtW – từ khai thác/sản xuất nhiên liệu đến khi sử dụng trên tàu) của năng lượng được sử dụng trên tàu khi tàu ghé các cảng EU. Việc không tuân thủ dẫn đến các khoản phạt tài chính nghiêm trọng, được tính ở mức </w:t>
      </w:r>
      <w:r w:rsidRPr="00C54DA2">
        <w:rPr>
          <w:rFonts w:ascii="Times New Roman" w:hAnsi="Times New Roman" w:cs="Times New Roman"/>
          <w:b/>
          <w:bCs/>
          <w:sz w:val="26"/>
          <w:szCs w:val="26"/>
        </w:rPr>
        <w:t>2</w:t>
      </w:r>
      <w:r w:rsidRPr="00C54DA2">
        <w:rPr>
          <w:rFonts w:ascii="Times New Roman" w:hAnsi="Times New Roman" w:cs="Times New Roman"/>
          <w:sz w:val="26"/>
          <w:szCs w:val="26"/>
        </w:rPr>
        <w:t>.400 EUR cho mỗi tấn tương đương năng lượng VLSFO bị thiếu hụt. Đối với các năm liên tiếp không tuân thủ, mức phạt sẽ tăng theo cấp số nhân thông qua một hệ số nhân. Từ năm 2030, các tàu container và tàu chở khách cũng phải kết nối với hệ thống cấp điện từ bờ (Onshore Power Supply – OPS) trong thời gian tàu neo tại cầu cảng.</w:t>
      </w:r>
    </w:p>
    <w:p w14:paraId="4E00A4CD" w14:textId="77777777" w:rsidR="00137185" w:rsidRPr="00137185" w:rsidRDefault="00137185" w:rsidP="00137185">
      <w:pPr>
        <w:spacing w:before="120" w:after="120"/>
        <w:jc w:val="both"/>
        <w:rPr>
          <w:rFonts w:ascii="Times New Roman" w:hAnsi="Times New Roman" w:cs="Times New Roman"/>
          <w:sz w:val="26"/>
          <w:szCs w:val="26"/>
        </w:rPr>
      </w:pPr>
      <w:r w:rsidRPr="00137185">
        <w:rPr>
          <w:rFonts w:ascii="Times New Roman" w:hAnsi="Times New Roman" w:cs="Times New Roman"/>
          <w:sz w:val="26"/>
          <w:szCs w:val="26"/>
        </w:rPr>
        <w:t xml:space="preserve">Việc không tuân thủ sẽ dẫn đến các khoản phạt tài chính đáng kể, được tính dựa trên mức thiếu hụt năng lượng tương đương </w:t>
      </w:r>
      <w:r w:rsidRPr="008A1F16">
        <w:rPr>
          <w:rFonts w:ascii="Times New Roman" w:hAnsi="Times New Roman" w:cs="Times New Roman"/>
          <w:sz w:val="26"/>
          <w:szCs w:val="26"/>
        </w:rPr>
        <w:t>VLSFO</w:t>
      </w:r>
      <w:r w:rsidRPr="00137185">
        <w:rPr>
          <w:rFonts w:ascii="Times New Roman" w:hAnsi="Times New Roman" w:cs="Times New Roman"/>
          <w:sz w:val="26"/>
          <w:szCs w:val="26"/>
        </w:rPr>
        <w:t>. Đối với các năm liên tiếp không tuân thủ, mức phạt sẽ tăng mạnh theo hệ số nhân.</w:t>
      </w:r>
    </w:p>
    <w:p w14:paraId="09BF2112" w14:textId="49BE2AAC" w:rsidR="00137185" w:rsidRPr="00137185" w:rsidRDefault="00137185" w:rsidP="00137185">
      <w:pPr>
        <w:spacing w:before="120" w:after="120"/>
        <w:jc w:val="both"/>
        <w:rPr>
          <w:rFonts w:ascii="Times New Roman" w:hAnsi="Times New Roman" w:cs="Times New Roman"/>
          <w:sz w:val="26"/>
          <w:szCs w:val="26"/>
        </w:rPr>
      </w:pPr>
      <w:r w:rsidRPr="00137185">
        <w:rPr>
          <w:rFonts w:ascii="Times New Roman" w:hAnsi="Times New Roman" w:cs="Times New Roman"/>
          <w:sz w:val="26"/>
          <w:szCs w:val="26"/>
        </w:rPr>
        <w:t xml:space="preserve">Từ </w:t>
      </w:r>
      <w:r w:rsidRPr="008A1F16">
        <w:rPr>
          <w:rFonts w:ascii="Times New Roman" w:hAnsi="Times New Roman" w:cs="Times New Roman"/>
          <w:sz w:val="26"/>
          <w:szCs w:val="26"/>
        </w:rPr>
        <w:t>năm 2030</w:t>
      </w:r>
      <w:r w:rsidRPr="00137185">
        <w:rPr>
          <w:rFonts w:ascii="Times New Roman" w:hAnsi="Times New Roman" w:cs="Times New Roman"/>
          <w:sz w:val="26"/>
          <w:szCs w:val="26"/>
        </w:rPr>
        <w:t xml:space="preserve">, tàu container và tàu chở khách cũng phải thực hiện </w:t>
      </w:r>
      <w:r w:rsidRPr="008A1F16">
        <w:rPr>
          <w:rFonts w:ascii="Times New Roman" w:hAnsi="Times New Roman" w:cs="Times New Roman"/>
          <w:sz w:val="26"/>
          <w:szCs w:val="26"/>
        </w:rPr>
        <w:t>kết nối với nguồn điện trên bờ (OPS – Onshore Power Supply)</w:t>
      </w:r>
      <w:r w:rsidRPr="00137185">
        <w:rPr>
          <w:rFonts w:ascii="Times New Roman" w:hAnsi="Times New Roman" w:cs="Times New Roman"/>
          <w:sz w:val="26"/>
          <w:szCs w:val="26"/>
        </w:rPr>
        <w:t xml:space="preserve"> trong thời gian tàu nằm </w:t>
      </w:r>
      <w:r w:rsidR="008A1F16">
        <w:rPr>
          <w:rFonts w:ascii="Times New Roman" w:hAnsi="Times New Roman" w:cs="Times New Roman"/>
          <w:sz w:val="26"/>
          <w:szCs w:val="26"/>
        </w:rPr>
        <w:t>ở</w:t>
      </w:r>
      <w:r w:rsidRPr="00137185">
        <w:rPr>
          <w:rFonts w:ascii="Times New Roman" w:hAnsi="Times New Roman" w:cs="Times New Roman"/>
          <w:sz w:val="26"/>
          <w:szCs w:val="26"/>
        </w:rPr>
        <w:t xml:space="preserve"> cầu cảng, tại các cảng thuộc phạm vi áp dụng của quy định.</w:t>
      </w:r>
    </w:p>
    <w:p w14:paraId="1AA1BD58" w14:textId="3C28A8C2" w:rsidR="00137185" w:rsidRPr="00137185" w:rsidRDefault="00137185" w:rsidP="00137185">
      <w:pPr>
        <w:spacing w:before="120" w:after="120"/>
        <w:jc w:val="both"/>
        <w:rPr>
          <w:rFonts w:ascii="Times New Roman" w:hAnsi="Times New Roman" w:cs="Times New Roman"/>
          <w:b/>
          <w:bCs/>
          <w:sz w:val="26"/>
          <w:szCs w:val="26"/>
        </w:rPr>
      </w:pPr>
      <w:r w:rsidRPr="00137185">
        <w:rPr>
          <w:rFonts w:ascii="Times New Roman" w:hAnsi="Times New Roman" w:cs="Times New Roman"/>
          <w:b/>
          <w:bCs/>
          <w:sz w:val="26"/>
          <w:szCs w:val="26"/>
        </w:rPr>
        <w:t xml:space="preserve">C. Khung quy định </w:t>
      </w:r>
      <w:r w:rsidR="008A1F16">
        <w:rPr>
          <w:rFonts w:ascii="Times New Roman" w:hAnsi="Times New Roman" w:cs="Times New Roman"/>
          <w:b/>
          <w:bCs/>
          <w:sz w:val="26"/>
          <w:szCs w:val="26"/>
        </w:rPr>
        <w:t xml:space="preserve">cấp </w:t>
      </w:r>
      <w:r w:rsidRPr="00137185">
        <w:rPr>
          <w:rFonts w:ascii="Times New Roman" w:hAnsi="Times New Roman" w:cs="Times New Roman"/>
          <w:b/>
          <w:bCs/>
          <w:sz w:val="26"/>
          <w:szCs w:val="26"/>
        </w:rPr>
        <w:t xml:space="preserve">khu vực và theo từng </w:t>
      </w:r>
      <w:r w:rsidR="008A1F16">
        <w:rPr>
          <w:rFonts w:ascii="Times New Roman" w:hAnsi="Times New Roman" w:cs="Times New Roman"/>
          <w:b/>
          <w:bCs/>
          <w:sz w:val="26"/>
          <w:szCs w:val="26"/>
        </w:rPr>
        <w:t>quốc gia</w:t>
      </w:r>
    </w:p>
    <w:p w14:paraId="49E98CF8" w14:textId="77777777" w:rsidR="00137185" w:rsidRPr="00137185" w:rsidRDefault="00137185" w:rsidP="00137185">
      <w:pPr>
        <w:numPr>
          <w:ilvl w:val="0"/>
          <w:numId w:val="10"/>
        </w:numPr>
        <w:spacing w:before="120" w:after="120"/>
        <w:jc w:val="both"/>
        <w:rPr>
          <w:rFonts w:ascii="Times New Roman" w:hAnsi="Times New Roman" w:cs="Times New Roman"/>
          <w:sz w:val="26"/>
          <w:szCs w:val="26"/>
        </w:rPr>
      </w:pPr>
      <w:r w:rsidRPr="008A1F16">
        <w:rPr>
          <w:rFonts w:ascii="Times New Roman" w:hAnsi="Times New Roman" w:cs="Times New Roman"/>
          <w:color w:val="EE0000"/>
          <w:sz w:val="26"/>
          <w:szCs w:val="26"/>
        </w:rPr>
        <w:t>UK MRV &amp; UK ETS</w:t>
      </w:r>
      <w:r w:rsidRPr="00137185">
        <w:rPr>
          <w:rFonts w:ascii="Times New Roman" w:hAnsi="Times New Roman" w:cs="Times New Roman"/>
          <w:b/>
          <w:bCs/>
          <w:sz w:val="26"/>
          <w:szCs w:val="26"/>
        </w:rPr>
        <w:t>:</w:t>
      </w:r>
      <w:r w:rsidRPr="00137185">
        <w:rPr>
          <w:rFonts w:ascii="Times New Roman" w:hAnsi="Times New Roman" w:cs="Times New Roman"/>
          <w:sz w:val="26"/>
          <w:szCs w:val="26"/>
        </w:rPr>
        <w:t xml:space="preserve"> Sau Brexit, Vương quốc Anh áp dụng một chế độ riêng về giám sát, báo cáo và thẩm tra phát thải, cùng với cơ chế giao dịch phát thải. Các quy định này bao gồm hoạt động khai thác nội địa của Anh và phát thải trong thời gian tàu lưu lại tại cảng. </w:t>
      </w:r>
    </w:p>
    <w:p w14:paraId="2FFE870A" w14:textId="34D5A963" w:rsidR="00137185" w:rsidRPr="0040650E" w:rsidRDefault="00137185" w:rsidP="00137185">
      <w:pPr>
        <w:numPr>
          <w:ilvl w:val="0"/>
          <w:numId w:val="10"/>
        </w:numPr>
        <w:spacing w:before="120" w:after="120"/>
        <w:jc w:val="both"/>
        <w:rPr>
          <w:rFonts w:ascii="Times New Roman" w:hAnsi="Times New Roman" w:cs="Times New Roman"/>
          <w:sz w:val="26"/>
          <w:szCs w:val="26"/>
        </w:rPr>
      </w:pPr>
      <w:r w:rsidRPr="0040650E">
        <w:rPr>
          <w:rFonts w:ascii="Times New Roman" w:hAnsi="Times New Roman" w:cs="Times New Roman"/>
          <w:color w:val="EE0000"/>
          <w:sz w:val="26"/>
          <w:szCs w:val="26"/>
        </w:rPr>
        <w:t xml:space="preserve">ECAs (Emission Control Areas – Các khu vực kiểm soát phát thải): </w:t>
      </w:r>
      <w:r w:rsidRPr="0040650E">
        <w:rPr>
          <w:rFonts w:ascii="Times New Roman" w:hAnsi="Times New Roman" w:cs="Times New Roman"/>
          <w:sz w:val="26"/>
          <w:szCs w:val="26"/>
        </w:rPr>
        <w:t>Đây là các khu vực ven biển áp dụng các giới hạn phát thải nghiêm ngặt đối với</w:t>
      </w:r>
      <w:r w:rsidR="008A1F16" w:rsidRPr="0040650E">
        <w:rPr>
          <w:rFonts w:ascii="Times New Roman" w:hAnsi="Times New Roman" w:cs="Times New Roman"/>
          <w:sz w:val="26"/>
          <w:szCs w:val="26"/>
        </w:rPr>
        <w:t xml:space="preserve"> </w:t>
      </w:r>
      <w:r w:rsidRPr="0040650E">
        <w:rPr>
          <w:rFonts w:ascii="Times New Roman" w:hAnsi="Times New Roman" w:cs="Times New Roman"/>
          <w:sz w:val="26"/>
          <w:szCs w:val="26"/>
        </w:rPr>
        <w:t xml:space="preserve">SOx – oxit lưu huỳnh; NOx – oxit nitơ; </w:t>
      </w:r>
      <w:r w:rsidR="008A1F16" w:rsidRPr="0040650E">
        <w:rPr>
          <w:rFonts w:ascii="Times New Roman" w:hAnsi="Times New Roman" w:cs="Times New Roman"/>
          <w:sz w:val="26"/>
          <w:szCs w:val="26"/>
        </w:rPr>
        <w:t>Bụi mịn</w:t>
      </w:r>
      <w:r w:rsidRPr="0040650E">
        <w:rPr>
          <w:rFonts w:ascii="Times New Roman" w:hAnsi="Times New Roman" w:cs="Times New Roman"/>
          <w:sz w:val="26"/>
          <w:szCs w:val="26"/>
        </w:rPr>
        <w:t xml:space="preserve"> (Particulate Matter – PM). </w:t>
      </w:r>
      <w:r w:rsidR="0040650E" w:rsidRPr="0040650E">
        <w:rPr>
          <w:rFonts w:ascii="Times New Roman" w:hAnsi="Times New Roman" w:cs="Times New Roman"/>
          <w:sz w:val="26"/>
          <w:szCs w:val="26"/>
        </w:rPr>
        <w:t xml:space="preserve"> </w:t>
      </w:r>
      <w:r w:rsidRPr="0040650E">
        <w:rPr>
          <w:rFonts w:ascii="Times New Roman" w:hAnsi="Times New Roman" w:cs="Times New Roman"/>
          <w:sz w:val="26"/>
          <w:szCs w:val="26"/>
        </w:rPr>
        <w:t>Khi hoạt động trong ECA, tàu phải sử dụng nhiên liệu hoặc áp dụng các biện pháp kỹ thuật phù hợp để đáp ứng các giới hạn phát thải nghiêm ngặt hơn so với yêu cầu chung của MARPOL Annex VI.</w:t>
      </w:r>
    </w:p>
    <w:p w14:paraId="528F6033" w14:textId="77777777" w:rsidR="00137185" w:rsidRDefault="00137185" w:rsidP="00137185">
      <w:pPr>
        <w:numPr>
          <w:ilvl w:val="0"/>
          <w:numId w:val="10"/>
        </w:numPr>
        <w:spacing w:before="120" w:after="120"/>
        <w:jc w:val="both"/>
        <w:rPr>
          <w:rFonts w:ascii="Times New Roman" w:hAnsi="Times New Roman" w:cs="Times New Roman"/>
          <w:sz w:val="26"/>
          <w:szCs w:val="26"/>
        </w:rPr>
      </w:pPr>
      <w:r w:rsidRPr="008A1F16">
        <w:rPr>
          <w:rFonts w:ascii="Times New Roman" w:hAnsi="Times New Roman" w:cs="Times New Roman"/>
          <w:color w:val="EE0000"/>
          <w:sz w:val="26"/>
          <w:szCs w:val="26"/>
        </w:rPr>
        <w:t xml:space="preserve">Cơ quan quản lý cảng địa phương (Local Port States), ví dụ CARB của California: </w:t>
      </w:r>
      <w:r w:rsidRPr="00137185">
        <w:rPr>
          <w:rFonts w:ascii="Times New Roman" w:hAnsi="Times New Roman" w:cs="Times New Roman"/>
          <w:sz w:val="26"/>
          <w:szCs w:val="26"/>
        </w:rPr>
        <w:t xml:space="preserve">Các quy định cấp địa phương có thể yêu cầu các chiến lược kiểm soát phát thải nghiêm </w:t>
      </w:r>
      <w:r w:rsidRPr="00137185">
        <w:rPr>
          <w:rFonts w:ascii="Times New Roman" w:hAnsi="Times New Roman" w:cs="Times New Roman"/>
          <w:sz w:val="26"/>
          <w:szCs w:val="26"/>
        </w:rPr>
        <w:lastRenderedPageBreak/>
        <w:t xml:space="preserve">ngặt hơn, bao gồm yêu cầu về </w:t>
      </w:r>
      <w:r w:rsidRPr="008A1F16">
        <w:rPr>
          <w:rFonts w:ascii="Times New Roman" w:hAnsi="Times New Roman" w:cs="Times New Roman"/>
          <w:sz w:val="26"/>
          <w:szCs w:val="26"/>
        </w:rPr>
        <w:t>kết nối với lưới điện trên bờ (shore power)</w:t>
      </w:r>
      <w:r w:rsidRPr="00137185">
        <w:rPr>
          <w:rFonts w:ascii="Times New Roman" w:hAnsi="Times New Roman" w:cs="Times New Roman"/>
          <w:sz w:val="26"/>
          <w:szCs w:val="26"/>
        </w:rPr>
        <w:t xml:space="preserve"> trong thời gian tàu nằm tại cầu cảng.</w:t>
      </w:r>
    </w:p>
    <w:p w14:paraId="029A2836" w14:textId="77777777" w:rsidR="0040650E" w:rsidRPr="0040650E" w:rsidRDefault="0040650E" w:rsidP="0040650E">
      <w:pPr>
        <w:spacing w:before="120" w:after="120"/>
        <w:jc w:val="both"/>
        <w:rPr>
          <w:rFonts w:ascii="Times New Roman" w:hAnsi="Times New Roman" w:cs="Times New Roman"/>
          <w:b/>
          <w:bCs/>
          <w:sz w:val="26"/>
          <w:szCs w:val="26"/>
        </w:rPr>
      </w:pPr>
      <w:r w:rsidRPr="0040650E">
        <w:rPr>
          <w:rFonts w:ascii="Times New Roman" w:hAnsi="Times New Roman" w:cs="Times New Roman"/>
          <w:b/>
          <w:bCs/>
          <w:sz w:val="26"/>
          <w:szCs w:val="26"/>
        </w:rPr>
        <w:t>2. Phân tích chuyên sâu về tuân thủ dành cho Chủ tàu và Người quản lý tàu</w:t>
      </w:r>
    </w:p>
    <w:p w14:paraId="6F054E85" w14:textId="196DC064" w:rsidR="0040650E" w:rsidRPr="0040650E" w:rsidRDefault="0040650E" w:rsidP="0040650E">
      <w:pPr>
        <w:spacing w:before="120" w:after="120"/>
        <w:jc w:val="both"/>
        <w:rPr>
          <w:rFonts w:ascii="Times New Roman" w:hAnsi="Times New Roman" w:cs="Times New Roman"/>
          <w:sz w:val="26"/>
          <w:szCs w:val="26"/>
        </w:rPr>
      </w:pPr>
      <w:r w:rsidRPr="0040650E">
        <w:rPr>
          <w:rFonts w:ascii="Times New Roman" w:hAnsi="Times New Roman" w:cs="Times New Roman"/>
          <w:sz w:val="26"/>
          <w:szCs w:val="26"/>
        </w:rPr>
        <w:t xml:space="preserve">Vượt ra ngoài việc chỉ đơn thuần báo cáo </w:t>
      </w:r>
      <w:r>
        <w:rPr>
          <w:rFonts w:ascii="Times New Roman" w:hAnsi="Times New Roman" w:cs="Times New Roman"/>
          <w:sz w:val="26"/>
          <w:szCs w:val="26"/>
        </w:rPr>
        <w:t xml:space="preserve">sự </w:t>
      </w:r>
      <w:r w:rsidRPr="0040650E">
        <w:rPr>
          <w:rFonts w:ascii="Times New Roman" w:hAnsi="Times New Roman" w:cs="Times New Roman"/>
          <w:sz w:val="26"/>
          <w:szCs w:val="26"/>
        </w:rPr>
        <w:t xml:space="preserve">tuân thủ, việc quản lý đội tàu đòi hỏi một </w:t>
      </w:r>
      <w:r w:rsidRPr="0040650E">
        <w:rPr>
          <w:rFonts w:ascii="Times New Roman" w:hAnsi="Times New Roman" w:cs="Times New Roman"/>
          <w:color w:val="EE0000"/>
          <w:sz w:val="26"/>
          <w:szCs w:val="26"/>
        </w:rPr>
        <w:t>cách tiếp cận chủ động và năng động</w:t>
      </w:r>
      <w:r w:rsidRPr="0040650E">
        <w:rPr>
          <w:rFonts w:ascii="Times New Roman" w:hAnsi="Times New Roman" w:cs="Times New Roman"/>
          <w:sz w:val="26"/>
          <w:szCs w:val="26"/>
        </w:rPr>
        <w:t>. Các Hội P&amp;I, BIMCO và các chuyên gia pháp lý nhấn mạnh những bước quan trọng sau đây nhằm hạn chế các rủi ro pháp lý, tài chính và khai thác</w:t>
      </w:r>
      <w:r>
        <w:rPr>
          <w:rFonts w:ascii="Times New Roman" w:hAnsi="Times New Roman" w:cs="Times New Roman"/>
          <w:sz w:val="26"/>
          <w:szCs w:val="26"/>
        </w:rPr>
        <w:t xml:space="preserve"> tàu</w:t>
      </w:r>
      <w:r w:rsidRPr="0040650E">
        <w:rPr>
          <w:rFonts w:ascii="Times New Roman" w:hAnsi="Times New Roman" w:cs="Times New Roman"/>
          <w:sz w:val="26"/>
          <w:szCs w:val="26"/>
        </w:rPr>
        <w:t>.</w:t>
      </w:r>
    </w:p>
    <w:p w14:paraId="39A23948" w14:textId="77777777" w:rsidR="0040650E" w:rsidRPr="0040650E" w:rsidRDefault="0040650E" w:rsidP="0040650E">
      <w:pPr>
        <w:spacing w:before="120" w:after="120"/>
        <w:jc w:val="both"/>
        <w:rPr>
          <w:rFonts w:ascii="Times New Roman" w:hAnsi="Times New Roman" w:cs="Times New Roman"/>
          <w:b/>
          <w:bCs/>
          <w:sz w:val="26"/>
          <w:szCs w:val="26"/>
        </w:rPr>
      </w:pPr>
      <w:r w:rsidRPr="0040650E">
        <w:rPr>
          <w:rFonts w:ascii="Times New Roman" w:hAnsi="Times New Roman" w:cs="Times New Roman"/>
          <w:b/>
          <w:bCs/>
          <w:sz w:val="26"/>
          <w:szCs w:val="26"/>
        </w:rPr>
        <w:t>A. Đồng bộ hóa các yêu cầu thương mại và Hợp đồng thuê tàu</w:t>
      </w:r>
    </w:p>
    <w:p w14:paraId="1F7C5E64" w14:textId="654E13D6" w:rsidR="0040650E" w:rsidRPr="0040650E" w:rsidRDefault="0040650E" w:rsidP="0040650E">
      <w:pPr>
        <w:numPr>
          <w:ilvl w:val="0"/>
          <w:numId w:val="14"/>
        </w:numPr>
        <w:spacing w:before="120" w:after="120"/>
        <w:jc w:val="both"/>
        <w:rPr>
          <w:rFonts w:ascii="Times New Roman" w:hAnsi="Times New Roman" w:cs="Times New Roman"/>
          <w:sz w:val="26"/>
          <w:szCs w:val="26"/>
        </w:rPr>
      </w:pPr>
      <w:r w:rsidRPr="0040650E">
        <w:rPr>
          <w:rFonts w:ascii="Times New Roman" w:hAnsi="Times New Roman" w:cs="Times New Roman"/>
          <w:color w:val="EE0000"/>
          <w:sz w:val="26"/>
          <w:szCs w:val="26"/>
        </w:rPr>
        <w:t>Đưa các điều khoản tiêu chuẩn của BIMCO vào hợp đồng</w:t>
      </w:r>
      <w:r w:rsidRPr="0040650E">
        <w:rPr>
          <w:rFonts w:ascii="Times New Roman" w:hAnsi="Times New Roman" w:cs="Times New Roman"/>
          <w:b/>
          <w:bCs/>
          <w:sz w:val="26"/>
          <w:szCs w:val="26"/>
        </w:rPr>
        <w:t>:</w:t>
      </w:r>
      <w:r w:rsidRPr="0040650E">
        <w:rPr>
          <w:rFonts w:ascii="Times New Roman" w:hAnsi="Times New Roman" w:cs="Times New Roman"/>
          <w:sz w:val="26"/>
          <w:szCs w:val="26"/>
        </w:rPr>
        <w:t xml:space="preserve"> Đảm bảo đưa BIMCO FuelEU Maritime Clause 2024, CII Operations Clause và ETS Surcharge Clauses</w:t>
      </w:r>
      <w:r w:rsidRPr="0040650E">
        <w:rPr>
          <w:rFonts w:ascii="Times New Roman" w:hAnsi="Times New Roman" w:cs="Times New Roman"/>
          <w:sz w:val="26"/>
          <w:szCs w:val="26"/>
        </w:rPr>
        <w:t xml:space="preserve"> </w:t>
      </w:r>
      <w:r>
        <w:rPr>
          <w:rFonts w:ascii="Times New Roman" w:hAnsi="Times New Roman" w:cs="Times New Roman"/>
          <w:sz w:val="26"/>
          <w:szCs w:val="26"/>
        </w:rPr>
        <w:t xml:space="preserve">vào </w:t>
      </w:r>
      <w:r w:rsidRPr="0040650E">
        <w:rPr>
          <w:rFonts w:ascii="Times New Roman" w:hAnsi="Times New Roman" w:cs="Times New Roman"/>
          <w:sz w:val="26"/>
          <w:szCs w:val="26"/>
        </w:rPr>
        <w:t xml:space="preserve">tất cả các hợp đồng thuê tàu định hạn (time charterparties). Chuyển trực tiếp các chi phí tuân thủ và trách nhiệm nộp các hạn ngạch phát thải cho người thuê tàu định hạn, là bên quyết định tốc độ tàu, tuyến hành trình và việc mua nhiên liệu. </w:t>
      </w:r>
    </w:p>
    <w:p w14:paraId="013DF700" w14:textId="77777777" w:rsidR="0040650E" w:rsidRPr="0040650E" w:rsidRDefault="0040650E" w:rsidP="0040650E">
      <w:pPr>
        <w:numPr>
          <w:ilvl w:val="0"/>
          <w:numId w:val="14"/>
        </w:numPr>
        <w:spacing w:before="120" w:after="120"/>
        <w:jc w:val="both"/>
        <w:rPr>
          <w:rFonts w:ascii="Times New Roman" w:hAnsi="Times New Roman" w:cs="Times New Roman"/>
          <w:sz w:val="26"/>
          <w:szCs w:val="26"/>
        </w:rPr>
      </w:pPr>
      <w:r w:rsidRPr="0040650E">
        <w:rPr>
          <w:rFonts w:ascii="Times New Roman" w:hAnsi="Times New Roman" w:cs="Times New Roman"/>
          <w:color w:val="EE0000"/>
          <w:sz w:val="26"/>
          <w:szCs w:val="26"/>
        </w:rPr>
        <w:t xml:space="preserve">Làm rõ lịch trình chuyển giao và nộp EUA/hạn ngạch cũng như các khoản phụ phí: </w:t>
      </w:r>
      <w:r w:rsidRPr="0040650E">
        <w:rPr>
          <w:rFonts w:ascii="Times New Roman" w:hAnsi="Times New Roman" w:cs="Times New Roman"/>
          <w:sz w:val="26"/>
          <w:szCs w:val="26"/>
        </w:rPr>
        <w:t xml:space="preserve">Thiết lập </w:t>
      </w:r>
      <w:r w:rsidRPr="0040650E">
        <w:rPr>
          <w:rFonts w:ascii="Times New Roman" w:hAnsi="Times New Roman" w:cs="Times New Roman"/>
          <w:color w:val="EE0000"/>
          <w:sz w:val="26"/>
          <w:szCs w:val="26"/>
        </w:rPr>
        <w:t xml:space="preserve">lịch chuyển giao theo tháng hoặc theo từng chuyến đi </w:t>
      </w:r>
      <w:r w:rsidRPr="0040650E">
        <w:rPr>
          <w:rFonts w:ascii="Times New Roman" w:hAnsi="Times New Roman" w:cs="Times New Roman"/>
          <w:sz w:val="26"/>
          <w:szCs w:val="26"/>
        </w:rPr>
        <w:t xml:space="preserve">đối với các hạn ngạch carbon, thay vì chờ đến thời hạn đối soát hàng năm, qua đó giảm thiểu rủi ro do biến động giá carbon. </w:t>
      </w:r>
    </w:p>
    <w:p w14:paraId="41397837" w14:textId="77777777" w:rsidR="0040650E" w:rsidRPr="0040650E" w:rsidRDefault="0040650E" w:rsidP="0040650E">
      <w:pPr>
        <w:numPr>
          <w:ilvl w:val="0"/>
          <w:numId w:val="14"/>
        </w:numPr>
        <w:spacing w:before="120" w:after="120"/>
        <w:jc w:val="both"/>
        <w:rPr>
          <w:rFonts w:ascii="Times New Roman" w:hAnsi="Times New Roman" w:cs="Times New Roman"/>
          <w:sz w:val="26"/>
          <w:szCs w:val="26"/>
        </w:rPr>
      </w:pPr>
      <w:r w:rsidRPr="0040650E">
        <w:rPr>
          <w:rFonts w:ascii="Times New Roman" w:hAnsi="Times New Roman" w:cs="Times New Roman"/>
          <w:color w:val="EE0000"/>
          <w:sz w:val="26"/>
          <w:szCs w:val="26"/>
        </w:rPr>
        <w:t>Hợp tác khai thác về tốc độ và RPM</w:t>
      </w:r>
      <w:r w:rsidRPr="0040650E">
        <w:rPr>
          <w:rFonts w:ascii="Times New Roman" w:hAnsi="Times New Roman" w:cs="Times New Roman"/>
          <w:b/>
          <w:bCs/>
          <w:sz w:val="26"/>
          <w:szCs w:val="26"/>
        </w:rPr>
        <w:t>:</w:t>
      </w:r>
      <w:r w:rsidRPr="0040650E">
        <w:rPr>
          <w:rFonts w:ascii="Times New Roman" w:hAnsi="Times New Roman" w:cs="Times New Roman"/>
          <w:sz w:val="26"/>
          <w:szCs w:val="26"/>
        </w:rPr>
        <w:t xml:space="preserve"> Hợp đồng phải </w:t>
      </w:r>
      <w:r w:rsidRPr="0040650E">
        <w:rPr>
          <w:rFonts w:ascii="Times New Roman" w:hAnsi="Times New Roman" w:cs="Times New Roman"/>
          <w:color w:val="EE0000"/>
          <w:sz w:val="26"/>
          <w:szCs w:val="26"/>
        </w:rPr>
        <w:t xml:space="preserve">quy định rõ ràng quyền của thuyền trưởng trong việc điều chỉnh tốc độ tàu hoặc vòng quay động cơ chính (RPM) </w:t>
      </w:r>
      <w:r w:rsidRPr="0040650E">
        <w:rPr>
          <w:rFonts w:ascii="Times New Roman" w:hAnsi="Times New Roman" w:cs="Times New Roman"/>
          <w:sz w:val="26"/>
          <w:szCs w:val="26"/>
        </w:rPr>
        <w:t xml:space="preserve">để đạt được việc tàu đến cảng đúng thời điểm (Just-In-Time – JIT) mà không vi phạm các nghĩa vụ truyền thống về “despatch and speed”. </w:t>
      </w:r>
    </w:p>
    <w:p w14:paraId="54C5BF2E" w14:textId="77777777" w:rsidR="0040650E" w:rsidRPr="0040650E" w:rsidRDefault="0040650E" w:rsidP="0040650E">
      <w:pPr>
        <w:spacing w:before="120" w:after="120"/>
        <w:jc w:val="both"/>
        <w:rPr>
          <w:rFonts w:ascii="Times New Roman" w:hAnsi="Times New Roman" w:cs="Times New Roman"/>
          <w:b/>
          <w:bCs/>
          <w:sz w:val="26"/>
          <w:szCs w:val="26"/>
        </w:rPr>
      </w:pPr>
      <w:r w:rsidRPr="0040650E">
        <w:rPr>
          <w:rFonts w:ascii="Times New Roman" w:hAnsi="Times New Roman" w:cs="Times New Roman"/>
          <w:b/>
          <w:bCs/>
          <w:sz w:val="26"/>
          <w:szCs w:val="26"/>
        </w:rPr>
        <w:t>B. Chiến lược Pool FuelEU, Banking và các biện pháp bảo vệ trong Hợp đồng S&amp;P</w:t>
      </w:r>
    </w:p>
    <w:p w14:paraId="41442DEA" w14:textId="50ECC931" w:rsidR="0040650E" w:rsidRPr="0040650E" w:rsidRDefault="0040650E" w:rsidP="0040650E">
      <w:pPr>
        <w:numPr>
          <w:ilvl w:val="0"/>
          <w:numId w:val="15"/>
        </w:numPr>
        <w:spacing w:before="120" w:after="120"/>
        <w:jc w:val="both"/>
        <w:rPr>
          <w:rFonts w:ascii="Times New Roman" w:hAnsi="Times New Roman" w:cs="Times New Roman"/>
          <w:sz w:val="26"/>
          <w:szCs w:val="26"/>
        </w:rPr>
      </w:pPr>
      <w:r w:rsidRPr="0040650E">
        <w:rPr>
          <w:rFonts w:ascii="Times New Roman" w:hAnsi="Times New Roman" w:cs="Times New Roman"/>
          <w:color w:val="EE0000"/>
          <w:sz w:val="26"/>
          <w:szCs w:val="26"/>
        </w:rPr>
        <w:t>Tận dụng các cơ chế linh hoạt của FuelEU</w:t>
      </w:r>
      <w:r w:rsidRPr="0040650E">
        <w:rPr>
          <w:rFonts w:ascii="Times New Roman" w:hAnsi="Times New Roman" w:cs="Times New Roman"/>
          <w:b/>
          <w:bCs/>
          <w:sz w:val="26"/>
          <w:szCs w:val="26"/>
        </w:rPr>
        <w:t>:</w:t>
      </w:r>
      <w:r w:rsidRPr="0040650E">
        <w:rPr>
          <w:rFonts w:ascii="Times New Roman" w:hAnsi="Times New Roman" w:cs="Times New Roman"/>
          <w:sz w:val="26"/>
          <w:szCs w:val="26"/>
        </w:rPr>
        <w:t xml:space="preserve"> Tận dụng các lựa chọn mà FuelEU cho phép về mặt pháp lý — banking (chuyển số dư tuân thủ sang kỳ sau), borrowing (vay số dư tuân thủ từ các kỳ tương lai) và fleet pooling (gộp </w:t>
      </w:r>
      <w:r>
        <w:rPr>
          <w:rFonts w:ascii="Times New Roman" w:hAnsi="Times New Roman" w:cs="Times New Roman"/>
          <w:sz w:val="26"/>
          <w:szCs w:val="26"/>
        </w:rPr>
        <w:t xml:space="preserve">các tàu trong cùng </w:t>
      </w:r>
      <w:r w:rsidRPr="0040650E">
        <w:rPr>
          <w:rFonts w:ascii="Times New Roman" w:hAnsi="Times New Roman" w:cs="Times New Roman"/>
          <w:sz w:val="26"/>
          <w:szCs w:val="26"/>
        </w:rPr>
        <w:t xml:space="preserve">đội tàu). Các chủ tàu có những tàu thực hiện tốt hơn yêu cầu (tàu có mức phát thải carbon thấp hoặc tàu nhiên liệu kép) có thể gộp số dư tuân thủ với các tàu cũ có kết quả kém hơn để tránh các khoản phạt tài chính nghiêm trọng trên toàn bộ đội tàu. </w:t>
      </w:r>
    </w:p>
    <w:p w14:paraId="6FA23A8E" w14:textId="2D263D6D" w:rsidR="0040650E" w:rsidRPr="0040650E" w:rsidRDefault="0040650E" w:rsidP="0040650E">
      <w:pPr>
        <w:numPr>
          <w:ilvl w:val="0"/>
          <w:numId w:val="15"/>
        </w:numPr>
        <w:spacing w:before="120" w:after="120"/>
        <w:jc w:val="both"/>
        <w:rPr>
          <w:rFonts w:ascii="Times New Roman" w:hAnsi="Times New Roman" w:cs="Times New Roman"/>
          <w:sz w:val="26"/>
          <w:szCs w:val="26"/>
        </w:rPr>
      </w:pPr>
      <w:r w:rsidRPr="0040650E">
        <w:rPr>
          <w:rFonts w:ascii="Times New Roman" w:hAnsi="Times New Roman" w:cs="Times New Roman"/>
          <w:color w:val="EE0000"/>
          <w:sz w:val="26"/>
          <w:szCs w:val="26"/>
        </w:rPr>
        <w:t xml:space="preserve">Thiết lập hoạt động thẩm tra chuyên sâu (Due Diligence) khi mua bán tàu (S&amp;P): </w:t>
      </w:r>
      <w:r w:rsidRPr="0040650E">
        <w:rPr>
          <w:rFonts w:ascii="Times New Roman" w:hAnsi="Times New Roman" w:cs="Times New Roman"/>
          <w:sz w:val="26"/>
          <w:szCs w:val="26"/>
        </w:rPr>
        <w:t xml:space="preserve">Hướng dẫn pháp lý của các Hội P&amp;I (ví dụ Gard Insights) nhấn mạnh rằng khi mua một </w:t>
      </w:r>
      <w:r w:rsidRPr="0040650E">
        <w:rPr>
          <w:rFonts w:ascii="Times New Roman" w:hAnsi="Times New Roman" w:cs="Times New Roman"/>
          <w:color w:val="EE0000"/>
          <w:sz w:val="26"/>
          <w:szCs w:val="26"/>
        </w:rPr>
        <w:t xml:space="preserve">tàu đã qua sử dụng đang khai thác tại EU, </w:t>
      </w:r>
      <w:r>
        <w:rPr>
          <w:rFonts w:ascii="Times New Roman" w:hAnsi="Times New Roman" w:cs="Times New Roman"/>
          <w:color w:val="EE0000"/>
          <w:sz w:val="26"/>
          <w:szCs w:val="26"/>
        </w:rPr>
        <w:t xml:space="preserve">thì </w:t>
      </w:r>
      <w:r w:rsidRPr="0040650E">
        <w:rPr>
          <w:rFonts w:ascii="Times New Roman" w:hAnsi="Times New Roman" w:cs="Times New Roman"/>
          <w:color w:val="EE0000"/>
          <w:sz w:val="26"/>
          <w:szCs w:val="26"/>
        </w:rPr>
        <w:t>các khoản phạt FuelEU chưa thanh toán và các khoản thâm hụt tuân thủ sẽ đi theo con tàu</w:t>
      </w:r>
      <w:r w:rsidRPr="0040650E">
        <w:rPr>
          <w:rFonts w:ascii="Times New Roman" w:hAnsi="Times New Roman" w:cs="Times New Roman"/>
          <w:sz w:val="26"/>
          <w:szCs w:val="26"/>
        </w:rPr>
        <w:t>. Người mua phải xác minh</w:t>
      </w:r>
      <w:r>
        <w:rPr>
          <w:rFonts w:ascii="Times New Roman" w:hAnsi="Times New Roman" w:cs="Times New Roman"/>
          <w:sz w:val="26"/>
          <w:szCs w:val="26"/>
        </w:rPr>
        <w:t xml:space="preserve"> xem</w:t>
      </w:r>
      <w:r w:rsidRPr="0040650E">
        <w:rPr>
          <w:rFonts w:ascii="Times New Roman" w:hAnsi="Times New Roman" w:cs="Times New Roman"/>
          <w:sz w:val="26"/>
          <w:szCs w:val="26"/>
        </w:rPr>
        <w:t xml:space="preserve">: </w:t>
      </w:r>
    </w:p>
    <w:p w14:paraId="3DAD3D8A" w14:textId="77777777" w:rsidR="0040650E" w:rsidRPr="0040650E" w:rsidRDefault="0040650E" w:rsidP="0040650E">
      <w:pPr>
        <w:numPr>
          <w:ilvl w:val="1"/>
          <w:numId w:val="15"/>
        </w:numPr>
        <w:spacing w:before="120" w:after="120"/>
        <w:jc w:val="both"/>
        <w:rPr>
          <w:rFonts w:ascii="Times New Roman" w:hAnsi="Times New Roman" w:cs="Times New Roman"/>
          <w:sz w:val="26"/>
          <w:szCs w:val="26"/>
        </w:rPr>
      </w:pPr>
      <w:r w:rsidRPr="0040650E">
        <w:rPr>
          <w:rFonts w:ascii="Times New Roman" w:hAnsi="Times New Roman" w:cs="Times New Roman"/>
          <w:sz w:val="26"/>
          <w:szCs w:val="26"/>
        </w:rPr>
        <w:t xml:space="preserve">Tàu có </w:t>
      </w:r>
      <w:r w:rsidRPr="0040650E">
        <w:rPr>
          <w:rFonts w:ascii="Times New Roman" w:hAnsi="Times New Roman" w:cs="Times New Roman"/>
          <w:color w:val="EE0000"/>
          <w:sz w:val="26"/>
          <w:szCs w:val="26"/>
        </w:rPr>
        <w:t xml:space="preserve">vay số dư tuân thủ từ các năm tương lai </w:t>
      </w:r>
      <w:r w:rsidRPr="0040650E">
        <w:rPr>
          <w:rFonts w:ascii="Times New Roman" w:hAnsi="Times New Roman" w:cs="Times New Roman"/>
          <w:sz w:val="26"/>
          <w:szCs w:val="26"/>
        </w:rPr>
        <w:t xml:space="preserve">hay không (việc này sẽ phát sinh khoản phạt lãi suất trong kỳ tiếp theo)? </w:t>
      </w:r>
    </w:p>
    <w:p w14:paraId="3A1EBCF6" w14:textId="2F0F5BCF" w:rsidR="0040650E" w:rsidRPr="0040650E" w:rsidRDefault="0040650E" w:rsidP="0040650E">
      <w:pPr>
        <w:numPr>
          <w:ilvl w:val="1"/>
          <w:numId w:val="15"/>
        </w:numPr>
        <w:spacing w:before="120" w:after="120"/>
        <w:jc w:val="both"/>
        <w:rPr>
          <w:rFonts w:ascii="Times New Roman" w:hAnsi="Times New Roman" w:cs="Times New Roman"/>
          <w:sz w:val="26"/>
          <w:szCs w:val="26"/>
        </w:rPr>
      </w:pPr>
      <w:r w:rsidRPr="0040650E">
        <w:rPr>
          <w:rFonts w:ascii="Times New Roman" w:hAnsi="Times New Roman" w:cs="Times New Roman"/>
          <w:sz w:val="26"/>
          <w:szCs w:val="26"/>
        </w:rPr>
        <w:t xml:space="preserve">Người nắm giữ </w:t>
      </w:r>
      <w:r w:rsidRPr="0040650E">
        <w:rPr>
          <w:rFonts w:ascii="Times New Roman" w:hAnsi="Times New Roman" w:cs="Times New Roman"/>
          <w:color w:val="EE0000"/>
          <w:sz w:val="26"/>
          <w:szCs w:val="26"/>
        </w:rPr>
        <w:t xml:space="preserve">Document of Compliance (DOC) có nộp các báo cáo về cường độ GHG đã được thẩm tra </w:t>
      </w:r>
      <w:r w:rsidRPr="0040650E">
        <w:rPr>
          <w:rFonts w:ascii="Times New Roman" w:hAnsi="Times New Roman" w:cs="Times New Roman"/>
          <w:sz w:val="26"/>
          <w:szCs w:val="26"/>
        </w:rPr>
        <w:t xml:space="preserve">cho giai đoạn trước khi chuyển giao quyền sở hữu hay chưa? </w:t>
      </w:r>
    </w:p>
    <w:p w14:paraId="4843FD70" w14:textId="77777777" w:rsidR="0040650E" w:rsidRPr="0040650E" w:rsidRDefault="0040650E" w:rsidP="0040650E">
      <w:pPr>
        <w:numPr>
          <w:ilvl w:val="1"/>
          <w:numId w:val="15"/>
        </w:numPr>
        <w:spacing w:before="120" w:after="120"/>
        <w:jc w:val="both"/>
        <w:rPr>
          <w:rFonts w:ascii="Times New Roman" w:hAnsi="Times New Roman" w:cs="Times New Roman"/>
          <w:sz w:val="26"/>
          <w:szCs w:val="26"/>
        </w:rPr>
      </w:pPr>
      <w:r w:rsidRPr="0040650E">
        <w:rPr>
          <w:rFonts w:ascii="Times New Roman" w:hAnsi="Times New Roman" w:cs="Times New Roman"/>
          <w:sz w:val="26"/>
          <w:szCs w:val="26"/>
        </w:rPr>
        <w:lastRenderedPageBreak/>
        <w:t xml:space="preserve">Các hợp đồng S&amp;P phải có các </w:t>
      </w:r>
      <w:r w:rsidRPr="0040650E">
        <w:rPr>
          <w:rFonts w:ascii="Times New Roman" w:hAnsi="Times New Roman" w:cs="Times New Roman"/>
          <w:color w:val="EE0000"/>
          <w:sz w:val="26"/>
          <w:szCs w:val="26"/>
        </w:rPr>
        <w:t>điều khoản bồi hoàn (indemnities) rõ ràng, các tài khoản giữ lại (retention accounts) và các cơ chế điều chỉnh giá</w:t>
      </w:r>
      <w:r w:rsidRPr="0040650E">
        <w:rPr>
          <w:rFonts w:ascii="Times New Roman" w:hAnsi="Times New Roman" w:cs="Times New Roman"/>
          <w:sz w:val="26"/>
          <w:szCs w:val="26"/>
        </w:rPr>
        <w:t xml:space="preserve">, bao quát các trách nhiệm FuelEU trong lịch sử hoặc các tín chỉ dư thừa được chuyển giao. </w:t>
      </w:r>
    </w:p>
    <w:p w14:paraId="735E83E2" w14:textId="77777777" w:rsidR="0040650E" w:rsidRPr="0040650E" w:rsidRDefault="0040650E" w:rsidP="0040650E">
      <w:pPr>
        <w:numPr>
          <w:ilvl w:val="0"/>
          <w:numId w:val="15"/>
        </w:numPr>
        <w:spacing w:before="120" w:after="120"/>
        <w:jc w:val="both"/>
        <w:rPr>
          <w:rFonts w:ascii="Times New Roman" w:hAnsi="Times New Roman" w:cs="Times New Roman"/>
          <w:sz w:val="26"/>
          <w:szCs w:val="26"/>
        </w:rPr>
      </w:pPr>
      <w:r w:rsidRPr="0040650E">
        <w:rPr>
          <w:rFonts w:ascii="Times New Roman" w:hAnsi="Times New Roman" w:cs="Times New Roman"/>
          <w:color w:val="EE0000"/>
          <w:sz w:val="26"/>
          <w:szCs w:val="26"/>
        </w:rPr>
        <w:t xml:space="preserve">Các quy tắc an toàn khi tham gia Pool bên ngoài: </w:t>
      </w:r>
      <w:r w:rsidRPr="0040650E">
        <w:rPr>
          <w:rFonts w:ascii="Times New Roman" w:hAnsi="Times New Roman" w:cs="Times New Roman"/>
          <w:sz w:val="26"/>
          <w:szCs w:val="26"/>
        </w:rPr>
        <w:t xml:space="preserve">Khi tham gia các pool tuân thủ bên ngoài với các chủ tàu bên thứ ba, cần yêu cầu dữ liệu đã được xác nhận trước (pre-validated data), thực hiện kiểm tra Know-Your-Customer (KYC) chặt chẽ đối với các đối tác tham gia pool, đồng thời hạn chế quyền của đối tác đối với việc bán lại các tín chỉ dư thừa đã được bán cho bên thứ ba. </w:t>
      </w:r>
    </w:p>
    <w:p w14:paraId="0BF658E9" w14:textId="77777777" w:rsidR="0040650E" w:rsidRPr="0040650E" w:rsidRDefault="0040650E" w:rsidP="0040650E">
      <w:pPr>
        <w:spacing w:before="120" w:after="120"/>
        <w:jc w:val="both"/>
        <w:rPr>
          <w:rFonts w:ascii="Times New Roman" w:hAnsi="Times New Roman" w:cs="Times New Roman"/>
          <w:b/>
          <w:bCs/>
          <w:sz w:val="26"/>
          <w:szCs w:val="26"/>
        </w:rPr>
      </w:pPr>
      <w:r w:rsidRPr="0040650E">
        <w:rPr>
          <w:rFonts w:ascii="Times New Roman" w:hAnsi="Times New Roman" w:cs="Times New Roman"/>
          <w:b/>
          <w:bCs/>
          <w:sz w:val="26"/>
          <w:szCs w:val="26"/>
        </w:rPr>
        <w:t>C. Xác minh Methane Slip và hiệu quả khai thác với CAPEX thấp</w:t>
      </w:r>
    </w:p>
    <w:p w14:paraId="04BD9407" w14:textId="1024AA46" w:rsidR="0040650E" w:rsidRPr="0040650E" w:rsidRDefault="0040650E" w:rsidP="0040650E">
      <w:pPr>
        <w:numPr>
          <w:ilvl w:val="0"/>
          <w:numId w:val="16"/>
        </w:numPr>
        <w:spacing w:before="120" w:after="120"/>
        <w:jc w:val="both"/>
        <w:rPr>
          <w:rFonts w:ascii="Times New Roman" w:hAnsi="Times New Roman" w:cs="Times New Roman"/>
          <w:sz w:val="26"/>
          <w:szCs w:val="26"/>
        </w:rPr>
      </w:pPr>
      <w:r w:rsidRPr="0040650E">
        <w:rPr>
          <w:rFonts w:ascii="Times New Roman" w:hAnsi="Times New Roman" w:cs="Times New Roman"/>
          <w:color w:val="EE0000"/>
          <w:sz w:val="26"/>
          <w:szCs w:val="26"/>
        </w:rPr>
        <w:t xml:space="preserve">Thay thế các hệ số Methane Slip mặc định: </w:t>
      </w:r>
      <w:r w:rsidRPr="0040650E">
        <w:rPr>
          <w:rFonts w:ascii="Times New Roman" w:hAnsi="Times New Roman" w:cs="Times New Roman"/>
          <w:sz w:val="26"/>
          <w:szCs w:val="26"/>
        </w:rPr>
        <w:t xml:space="preserve">Theo EU MRV/ETS và FuelEU Maritime, các tàu </w:t>
      </w:r>
      <w:r>
        <w:rPr>
          <w:rFonts w:ascii="Times New Roman" w:hAnsi="Times New Roman" w:cs="Times New Roman"/>
          <w:sz w:val="26"/>
          <w:szCs w:val="26"/>
        </w:rPr>
        <w:t xml:space="preserve">dùng </w:t>
      </w:r>
      <w:r w:rsidRPr="0040650E">
        <w:rPr>
          <w:rFonts w:ascii="Times New Roman" w:hAnsi="Times New Roman" w:cs="Times New Roman"/>
          <w:sz w:val="26"/>
          <w:szCs w:val="26"/>
        </w:rPr>
        <w:t>nhiên liệu kép (</w:t>
      </w:r>
      <w:proofErr w:type="gramStart"/>
      <w:r w:rsidRPr="0040650E">
        <w:rPr>
          <w:rFonts w:ascii="Times New Roman" w:hAnsi="Times New Roman" w:cs="Times New Roman"/>
          <w:sz w:val="26"/>
          <w:szCs w:val="26"/>
        </w:rPr>
        <w:t>dual-fuel</w:t>
      </w:r>
      <w:proofErr w:type="gramEnd"/>
      <w:r w:rsidRPr="0040650E">
        <w:rPr>
          <w:rFonts w:ascii="Times New Roman" w:hAnsi="Times New Roman" w:cs="Times New Roman"/>
          <w:sz w:val="26"/>
          <w:szCs w:val="26"/>
        </w:rPr>
        <w:t xml:space="preserve">) được áp dụng các hệ số methane </w:t>
      </w:r>
      <w:proofErr w:type="gramStart"/>
      <w:r w:rsidRPr="0040650E">
        <w:rPr>
          <w:rFonts w:ascii="Times New Roman" w:hAnsi="Times New Roman" w:cs="Times New Roman"/>
          <w:sz w:val="26"/>
          <w:szCs w:val="26"/>
        </w:rPr>
        <w:t>slip</w:t>
      </w:r>
      <w:proofErr w:type="gramEnd"/>
      <w:r w:rsidRPr="0040650E">
        <w:rPr>
          <w:rFonts w:ascii="Times New Roman" w:hAnsi="Times New Roman" w:cs="Times New Roman"/>
          <w:sz w:val="26"/>
          <w:szCs w:val="26"/>
        </w:rPr>
        <w:t xml:space="preserve"> mặc định mang tính bất lợi (ví dụ lên tới </w:t>
      </w:r>
      <w:r w:rsidRPr="0040650E">
        <w:rPr>
          <w:rFonts w:ascii="Times New Roman" w:hAnsi="Times New Roman" w:cs="Times New Roman"/>
          <w:b/>
          <w:bCs/>
          <w:sz w:val="26"/>
          <w:szCs w:val="26"/>
        </w:rPr>
        <w:t>[</w:t>
      </w:r>
      <w:r w:rsidRPr="0040650E">
        <w:rPr>
          <w:rFonts w:ascii="Times New Roman" w:hAnsi="Times New Roman" w:cs="Times New Roman"/>
          <w:sz w:val="26"/>
          <w:szCs w:val="26"/>
        </w:rPr>
        <w:t xml:space="preserve">giá trị trong tài liệu gốc] đối với động cơ Otto nhiên liệu kép tốc độ trung bình). Các chủ tàu vận hành động cơ nhiên liệu kép hiện đại có mức methane </w:t>
      </w:r>
      <w:proofErr w:type="gramStart"/>
      <w:r w:rsidRPr="0040650E">
        <w:rPr>
          <w:rFonts w:ascii="Times New Roman" w:hAnsi="Times New Roman" w:cs="Times New Roman"/>
          <w:sz w:val="26"/>
          <w:szCs w:val="26"/>
        </w:rPr>
        <w:t>slip</w:t>
      </w:r>
      <w:proofErr w:type="gramEnd"/>
      <w:r w:rsidRPr="0040650E">
        <w:rPr>
          <w:rFonts w:ascii="Times New Roman" w:hAnsi="Times New Roman" w:cs="Times New Roman"/>
          <w:sz w:val="26"/>
          <w:szCs w:val="26"/>
        </w:rPr>
        <w:t xml:space="preserve"> thấp nên thực hiện thử nghiệm trên tàu được chứng nhận theo các hướng dẫn của MEPC để xác định các đường cong phát thải thực tế phụ thuộc vào tải (load-dependent emission curves). Việc nộp các hệ số methane </w:t>
      </w:r>
      <w:proofErr w:type="gramStart"/>
      <w:r w:rsidRPr="0040650E">
        <w:rPr>
          <w:rFonts w:ascii="Times New Roman" w:hAnsi="Times New Roman" w:cs="Times New Roman"/>
          <w:sz w:val="26"/>
          <w:szCs w:val="26"/>
        </w:rPr>
        <w:t>slip</w:t>
      </w:r>
      <w:proofErr w:type="gramEnd"/>
      <w:r w:rsidRPr="0040650E">
        <w:rPr>
          <w:rFonts w:ascii="Times New Roman" w:hAnsi="Times New Roman" w:cs="Times New Roman"/>
          <w:sz w:val="26"/>
          <w:szCs w:val="26"/>
        </w:rPr>
        <w:t xml:space="preserve"> thực tế đã được thẩm tra có thể làm giảm đáng kể lượng phát thải được báo cáo và giảm nghĩa vụ nộp EUA. </w:t>
      </w:r>
    </w:p>
    <w:p w14:paraId="77E4788D" w14:textId="77777777" w:rsidR="0040650E" w:rsidRPr="0040650E" w:rsidRDefault="0040650E" w:rsidP="0040650E">
      <w:pPr>
        <w:numPr>
          <w:ilvl w:val="0"/>
          <w:numId w:val="16"/>
        </w:numPr>
        <w:spacing w:before="120" w:after="120"/>
        <w:jc w:val="both"/>
        <w:rPr>
          <w:rFonts w:ascii="Times New Roman" w:hAnsi="Times New Roman" w:cs="Times New Roman"/>
          <w:sz w:val="26"/>
          <w:szCs w:val="26"/>
        </w:rPr>
      </w:pPr>
      <w:r w:rsidRPr="0040650E">
        <w:rPr>
          <w:rFonts w:ascii="Times New Roman" w:hAnsi="Times New Roman" w:cs="Times New Roman"/>
          <w:color w:val="C00000"/>
          <w:sz w:val="26"/>
          <w:szCs w:val="26"/>
        </w:rPr>
        <w:t>Thực hiện ngay các biện pháp tiết kiệm nhiên liệu</w:t>
      </w:r>
      <w:r w:rsidRPr="0040650E">
        <w:rPr>
          <w:rFonts w:ascii="Times New Roman" w:hAnsi="Times New Roman" w:cs="Times New Roman"/>
          <w:b/>
          <w:bCs/>
          <w:sz w:val="26"/>
          <w:szCs w:val="26"/>
        </w:rPr>
        <w:t>:</w:t>
      </w:r>
      <w:r w:rsidRPr="0040650E">
        <w:rPr>
          <w:rFonts w:ascii="Times New Roman" w:hAnsi="Times New Roman" w:cs="Times New Roman"/>
          <w:sz w:val="26"/>
          <w:szCs w:val="26"/>
        </w:rPr>
        <w:t xml:space="preserve"> Ưu tiên các điều chỉnh khai thác có khả năng mang lại mức giảm tiêu thụ nhiên liệu và phát thải ngay lập tức mà không cần thực hiện các đợt cải hoán lớn, bao gồm: </w:t>
      </w:r>
    </w:p>
    <w:p w14:paraId="12F1B947" w14:textId="77777777" w:rsidR="0040650E" w:rsidRPr="0040650E" w:rsidRDefault="0040650E" w:rsidP="0040650E">
      <w:pPr>
        <w:numPr>
          <w:ilvl w:val="1"/>
          <w:numId w:val="16"/>
        </w:numPr>
        <w:spacing w:before="120" w:after="120"/>
        <w:jc w:val="both"/>
        <w:rPr>
          <w:rFonts w:ascii="Times New Roman" w:hAnsi="Times New Roman" w:cs="Times New Roman"/>
          <w:sz w:val="26"/>
          <w:szCs w:val="26"/>
        </w:rPr>
      </w:pPr>
      <w:r w:rsidRPr="0040650E">
        <w:rPr>
          <w:rFonts w:ascii="Times New Roman" w:hAnsi="Times New Roman" w:cs="Times New Roman"/>
          <w:color w:val="C00000"/>
          <w:sz w:val="26"/>
          <w:szCs w:val="26"/>
        </w:rPr>
        <w:t>Tàu đến cảng đúng thời điểm (Just-in-Time – JIT):</w:t>
      </w:r>
      <w:r w:rsidRPr="0040650E">
        <w:rPr>
          <w:rFonts w:ascii="Times New Roman" w:hAnsi="Times New Roman" w:cs="Times New Roman"/>
          <w:sz w:val="26"/>
          <w:szCs w:val="26"/>
        </w:rPr>
        <w:t xml:space="preserve"> Loại bỏ cách thức vận hành “chạy nhanh rồi chờ” (sail fast then wait) để giảm tiêu thụ nhiên liệu và phát thải trong thời gian tàu ở cảng. </w:t>
      </w:r>
    </w:p>
    <w:p w14:paraId="5E5D9C9A" w14:textId="52280289" w:rsidR="0040650E" w:rsidRPr="0040650E" w:rsidRDefault="0040650E" w:rsidP="0040650E">
      <w:pPr>
        <w:numPr>
          <w:ilvl w:val="1"/>
          <w:numId w:val="16"/>
        </w:numPr>
        <w:spacing w:before="120" w:after="120"/>
        <w:jc w:val="both"/>
        <w:rPr>
          <w:rFonts w:ascii="Times New Roman" w:hAnsi="Times New Roman" w:cs="Times New Roman"/>
          <w:sz w:val="26"/>
          <w:szCs w:val="26"/>
        </w:rPr>
      </w:pPr>
      <w:r w:rsidRPr="0040650E">
        <w:rPr>
          <w:rFonts w:ascii="Times New Roman" w:hAnsi="Times New Roman" w:cs="Times New Roman"/>
          <w:color w:val="C00000"/>
          <w:sz w:val="26"/>
          <w:szCs w:val="26"/>
        </w:rPr>
        <w:t>Hành hải</w:t>
      </w:r>
      <w:r w:rsidRPr="0040650E">
        <w:rPr>
          <w:rFonts w:ascii="Times New Roman" w:hAnsi="Times New Roman" w:cs="Times New Roman"/>
          <w:color w:val="C00000"/>
          <w:sz w:val="26"/>
          <w:szCs w:val="26"/>
        </w:rPr>
        <w:t xml:space="preserve"> theo thời tiết và quản lý tốc độ</w:t>
      </w:r>
      <w:r w:rsidRPr="0040650E">
        <w:rPr>
          <w:rFonts w:ascii="Times New Roman" w:hAnsi="Times New Roman" w:cs="Times New Roman"/>
          <w:b/>
          <w:bCs/>
          <w:sz w:val="26"/>
          <w:szCs w:val="26"/>
        </w:rPr>
        <w:t>:</w:t>
      </w:r>
      <w:r w:rsidRPr="0040650E">
        <w:rPr>
          <w:rFonts w:ascii="Times New Roman" w:hAnsi="Times New Roman" w:cs="Times New Roman"/>
          <w:sz w:val="26"/>
          <w:szCs w:val="26"/>
        </w:rPr>
        <w:t xml:space="preserve"> Sử dụng </w:t>
      </w:r>
      <w:r w:rsidRPr="0040650E">
        <w:rPr>
          <w:rFonts w:ascii="Times New Roman" w:hAnsi="Times New Roman" w:cs="Times New Roman"/>
          <w:sz w:val="26"/>
          <w:szCs w:val="26"/>
        </w:rPr>
        <w:t>cách hành hải theo</w:t>
      </w:r>
      <w:r w:rsidRPr="0040650E">
        <w:rPr>
          <w:rFonts w:ascii="Times New Roman" w:hAnsi="Times New Roman" w:cs="Times New Roman"/>
          <w:sz w:val="26"/>
          <w:szCs w:val="26"/>
        </w:rPr>
        <w:t xml:space="preserve"> thời tiết động (dynamic weather routing) để duy trì tải động cơ tối ưu và bảo vệ xếp hạng khai thác CII. </w:t>
      </w:r>
    </w:p>
    <w:p w14:paraId="484DA88C" w14:textId="77777777" w:rsidR="0040650E" w:rsidRPr="0040650E" w:rsidRDefault="0040650E" w:rsidP="0040650E">
      <w:pPr>
        <w:numPr>
          <w:ilvl w:val="1"/>
          <w:numId w:val="16"/>
        </w:numPr>
        <w:spacing w:before="120" w:after="120"/>
        <w:jc w:val="both"/>
        <w:rPr>
          <w:rFonts w:ascii="Times New Roman" w:hAnsi="Times New Roman" w:cs="Times New Roman"/>
          <w:sz w:val="26"/>
          <w:szCs w:val="26"/>
        </w:rPr>
      </w:pPr>
      <w:r w:rsidRPr="0040650E">
        <w:rPr>
          <w:rFonts w:ascii="Times New Roman" w:hAnsi="Times New Roman" w:cs="Times New Roman"/>
          <w:color w:val="C00000"/>
          <w:sz w:val="26"/>
          <w:szCs w:val="26"/>
        </w:rPr>
        <w:t xml:space="preserve">Bảo dưỡng thân tàu và chân vịt: </w:t>
      </w:r>
      <w:r w:rsidRPr="0040650E">
        <w:rPr>
          <w:rFonts w:ascii="Times New Roman" w:hAnsi="Times New Roman" w:cs="Times New Roman"/>
          <w:sz w:val="26"/>
          <w:szCs w:val="26"/>
        </w:rPr>
        <w:t xml:space="preserve">Lập kế hoạch vệ sinh thân tàu thường xuyên và loại bỏ sinh vật bám (biofouling) nhằm giảm thiểu lực cản thủy động lực học. </w:t>
      </w:r>
    </w:p>
    <w:p w14:paraId="6647CC36" w14:textId="77777777" w:rsidR="0040650E" w:rsidRPr="0040650E" w:rsidRDefault="0040650E" w:rsidP="0040650E">
      <w:pPr>
        <w:numPr>
          <w:ilvl w:val="0"/>
          <w:numId w:val="16"/>
        </w:numPr>
        <w:spacing w:before="120" w:after="120"/>
        <w:jc w:val="both"/>
        <w:rPr>
          <w:rFonts w:ascii="Times New Roman" w:hAnsi="Times New Roman" w:cs="Times New Roman"/>
          <w:color w:val="C00000"/>
          <w:sz w:val="26"/>
          <w:szCs w:val="26"/>
        </w:rPr>
      </w:pPr>
      <w:proofErr w:type="gramStart"/>
      <w:r w:rsidRPr="0040650E">
        <w:rPr>
          <w:rFonts w:ascii="Times New Roman" w:hAnsi="Times New Roman" w:cs="Times New Roman"/>
          <w:color w:val="C00000"/>
          <w:sz w:val="26"/>
          <w:szCs w:val="26"/>
        </w:rPr>
        <w:t>An</w:t>
      </w:r>
      <w:proofErr w:type="gramEnd"/>
      <w:r w:rsidRPr="0040650E">
        <w:rPr>
          <w:rFonts w:ascii="Times New Roman" w:hAnsi="Times New Roman" w:cs="Times New Roman"/>
          <w:color w:val="C00000"/>
          <w:sz w:val="26"/>
          <w:szCs w:val="26"/>
        </w:rPr>
        <w:t xml:space="preserve"> toàn và đào tạo đối với nhiên liệu thay thế</w:t>
      </w:r>
      <w:r w:rsidRPr="0040650E">
        <w:rPr>
          <w:rFonts w:ascii="Times New Roman" w:hAnsi="Times New Roman" w:cs="Times New Roman"/>
          <w:b/>
          <w:bCs/>
          <w:sz w:val="26"/>
          <w:szCs w:val="26"/>
        </w:rPr>
        <w:t>:</w:t>
      </w:r>
      <w:r w:rsidRPr="0040650E">
        <w:rPr>
          <w:rFonts w:ascii="Times New Roman" w:hAnsi="Times New Roman" w:cs="Times New Roman"/>
          <w:sz w:val="26"/>
          <w:szCs w:val="26"/>
        </w:rPr>
        <w:t xml:space="preserve"> Các Hội P&amp;I nhấn mạnh rằng việc chuyển đổi sang nhiên liệu thay thế (ví dụ LNG, Methanol, Ammonia) tạo ra các </w:t>
      </w:r>
      <w:r w:rsidRPr="0040650E">
        <w:rPr>
          <w:rFonts w:ascii="Times New Roman" w:hAnsi="Times New Roman" w:cs="Times New Roman"/>
          <w:color w:val="C00000"/>
          <w:sz w:val="26"/>
          <w:szCs w:val="26"/>
        </w:rPr>
        <w:t xml:space="preserve">rủi ro mới về phòng ngừa tổn thất và an toàn. </w:t>
      </w:r>
      <w:r w:rsidRPr="0040650E">
        <w:rPr>
          <w:rFonts w:ascii="Times New Roman" w:hAnsi="Times New Roman" w:cs="Times New Roman"/>
          <w:sz w:val="26"/>
          <w:szCs w:val="26"/>
        </w:rPr>
        <w:t xml:space="preserve">Đào tạo thuyền viên phải giải quyết các vấn đề về </w:t>
      </w:r>
      <w:r w:rsidRPr="0040650E">
        <w:rPr>
          <w:rFonts w:ascii="Times New Roman" w:hAnsi="Times New Roman" w:cs="Times New Roman"/>
          <w:color w:val="C00000"/>
          <w:sz w:val="26"/>
          <w:szCs w:val="26"/>
        </w:rPr>
        <w:t xml:space="preserve">độc tính, tính dễ cháy, quy trình tiếp nhận/cung cấp nhiên liệu (bunkering) và bảo dưỡng động cơ nhiên liệu kép, bên cạnh việc chỉ tuân thủ các yêu cầu về phát thải. </w:t>
      </w:r>
    </w:p>
    <w:p w14:paraId="6B722D26" w14:textId="77777777" w:rsidR="0040650E" w:rsidRPr="0040650E" w:rsidRDefault="0040650E" w:rsidP="0040650E">
      <w:pPr>
        <w:spacing w:before="120" w:after="120"/>
        <w:jc w:val="both"/>
        <w:rPr>
          <w:rFonts w:ascii="Times New Roman" w:hAnsi="Times New Roman" w:cs="Times New Roman"/>
          <w:b/>
          <w:bCs/>
          <w:sz w:val="26"/>
          <w:szCs w:val="26"/>
        </w:rPr>
      </w:pPr>
      <w:r w:rsidRPr="0040650E">
        <w:rPr>
          <w:rFonts w:ascii="Times New Roman" w:hAnsi="Times New Roman" w:cs="Times New Roman"/>
          <w:b/>
          <w:bCs/>
          <w:sz w:val="26"/>
          <w:szCs w:val="26"/>
        </w:rPr>
        <w:t>D. Hệ thống dữ liệu tích hợp và phối hợp nội bộ</w:t>
      </w:r>
    </w:p>
    <w:p w14:paraId="163AFC79" w14:textId="77777777" w:rsidR="0040650E" w:rsidRPr="00A77A78" w:rsidRDefault="0040650E" w:rsidP="0040650E">
      <w:pPr>
        <w:numPr>
          <w:ilvl w:val="0"/>
          <w:numId w:val="17"/>
        </w:numPr>
        <w:spacing w:before="120" w:after="120"/>
        <w:jc w:val="both"/>
        <w:rPr>
          <w:rFonts w:ascii="Times New Roman" w:hAnsi="Times New Roman" w:cs="Times New Roman"/>
          <w:sz w:val="26"/>
          <w:szCs w:val="26"/>
        </w:rPr>
      </w:pPr>
      <w:r w:rsidRPr="00A77A78">
        <w:rPr>
          <w:rFonts w:ascii="Times New Roman" w:hAnsi="Times New Roman" w:cs="Times New Roman"/>
          <w:color w:val="C00000"/>
          <w:sz w:val="26"/>
          <w:szCs w:val="26"/>
        </w:rPr>
        <w:lastRenderedPageBreak/>
        <w:t xml:space="preserve">Thống nhất hạ tầng báo cáo: </w:t>
      </w:r>
      <w:r w:rsidRPr="0040650E">
        <w:rPr>
          <w:rFonts w:ascii="Times New Roman" w:hAnsi="Times New Roman" w:cs="Times New Roman"/>
          <w:sz w:val="26"/>
          <w:szCs w:val="26"/>
        </w:rPr>
        <w:t xml:space="preserve">Tránh duy trì </w:t>
      </w:r>
      <w:r w:rsidRPr="00A77A78">
        <w:rPr>
          <w:rFonts w:ascii="Times New Roman" w:hAnsi="Times New Roman" w:cs="Times New Roman"/>
          <w:sz w:val="26"/>
          <w:szCs w:val="26"/>
        </w:rPr>
        <w:t>các hệ thống dữ liệu riêng biệt, tách rời</w:t>
      </w:r>
      <w:r w:rsidRPr="0040650E">
        <w:rPr>
          <w:rFonts w:ascii="Times New Roman" w:hAnsi="Times New Roman" w:cs="Times New Roman"/>
          <w:sz w:val="26"/>
          <w:szCs w:val="26"/>
        </w:rPr>
        <w:t xml:space="preserve"> cho </w:t>
      </w:r>
      <w:r w:rsidRPr="00A77A78">
        <w:rPr>
          <w:rFonts w:ascii="Times New Roman" w:hAnsi="Times New Roman" w:cs="Times New Roman"/>
          <w:sz w:val="26"/>
          <w:szCs w:val="26"/>
        </w:rPr>
        <w:t>IMO DCS, EU MRV và UK MRV</w:t>
      </w:r>
      <w:r w:rsidRPr="0040650E">
        <w:rPr>
          <w:rFonts w:ascii="Times New Roman" w:hAnsi="Times New Roman" w:cs="Times New Roman"/>
          <w:sz w:val="26"/>
          <w:szCs w:val="26"/>
        </w:rPr>
        <w:t xml:space="preserve">. Triển khai các </w:t>
      </w:r>
      <w:r w:rsidRPr="00A77A78">
        <w:rPr>
          <w:rFonts w:ascii="Times New Roman" w:hAnsi="Times New Roman" w:cs="Times New Roman"/>
          <w:sz w:val="26"/>
          <w:szCs w:val="26"/>
        </w:rPr>
        <w:t>nền tảng theo dõi phát thải kỹ thuật số, tự động,</w:t>
      </w:r>
      <w:r w:rsidRPr="0040650E">
        <w:rPr>
          <w:rFonts w:ascii="Times New Roman" w:hAnsi="Times New Roman" w:cs="Times New Roman"/>
          <w:sz w:val="26"/>
          <w:szCs w:val="26"/>
        </w:rPr>
        <w:t xml:space="preserve"> có khả năng thu thập </w:t>
      </w:r>
      <w:r w:rsidRPr="00A77A78">
        <w:rPr>
          <w:rFonts w:ascii="Times New Roman" w:hAnsi="Times New Roman" w:cs="Times New Roman"/>
          <w:sz w:val="26"/>
          <w:szCs w:val="26"/>
        </w:rPr>
        <w:t xml:space="preserve">mức tiêu thụ nhiên liệu theo từng loại thiết bị tiêu thụ, tốc độ tàu và dữ liệu vị trí theo thời gian thực. </w:t>
      </w:r>
    </w:p>
    <w:p w14:paraId="6FF4768F" w14:textId="77777777" w:rsidR="0040650E" w:rsidRPr="00A77A78" w:rsidRDefault="0040650E" w:rsidP="0040650E">
      <w:pPr>
        <w:numPr>
          <w:ilvl w:val="0"/>
          <w:numId w:val="17"/>
        </w:numPr>
        <w:spacing w:before="120" w:after="120"/>
        <w:jc w:val="both"/>
        <w:rPr>
          <w:rFonts w:ascii="Times New Roman" w:hAnsi="Times New Roman" w:cs="Times New Roman"/>
          <w:sz w:val="26"/>
          <w:szCs w:val="26"/>
        </w:rPr>
      </w:pPr>
      <w:r w:rsidRPr="00A77A78">
        <w:rPr>
          <w:rFonts w:ascii="Times New Roman" w:hAnsi="Times New Roman" w:cs="Times New Roman"/>
          <w:color w:val="C00000"/>
          <w:sz w:val="26"/>
          <w:szCs w:val="26"/>
        </w:rPr>
        <w:t>Phá bỏ các “silo” nội bộ</w:t>
      </w:r>
      <w:r w:rsidRPr="0040650E">
        <w:rPr>
          <w:rFonts w:ascii="Times New Roman" w:hAnsi="Times New Roman" w:cs="Times New Roman"/>
          <w:b/>
          <w:bCs/>
          <w:sz w:val="26"/>
          <w:szCs w:val="26"/>
        </w:rPr>
        <w:t>:</w:t>
      </w:r>
      <w:r w:rsidRPr="0040650E">
        <w:rPr>
          <w:rFonts w:ascii="Times New Roman" w:hAnsi="Times New Roman" w:cs="Times New Roman"/>
          <w:sz w:val="26"/>
          <w:szCs w:val="26"/>
        </w:rPr>
        <w:t xml:space="preserve"> Phối hợp liên chức năng là yếu tố thiết yếu. </w:t>
      </w:r>
      <w:r w:rsidRPr="00A77A78">
        <w:rPr>
          <w:rFonts w:ascii="Times New Roman" w:hAnsi="Times New Roman" w:cs="Times New Roman"/>
          <w:sz w:val="26"/>
          <w:szCs w:val="26"/>
        </w:rPr>
        <w:t xml:space="preserve">Bộ phận quản lý kỹ thuật, bộ phận khai thác thương mại/khai thác hợp đồng thuê tàu, các cán bộ tài chính và các nhóm pháp lý phải cùng nhau theo dõi mức độ phơi nhiễm phát thải hàng ngày, thị trường hạn ngạch phát thải và hồ sơ sử dụng nhiên liệu trong khai thác. </w:t>
      </w:r>
    </w:p>
    <w:p w14:paraId="7F05A531" w14:textId="77777777" w:rsidR="0040650E" w:rsidRDefault="0040650E" w:rsidP="0040650E">
      <w:pPr>
        <w:spacing w:before="120" w:after="120"/>
        <w:jc w:val="both"/>
        <w:rPr>
          <w:rFonts w:ascii="Times New Roman" w:hAnsi="Times New Roman" w:cs="Times New Roman"/>
          <w:sz w:val="26"/>
          <w:szCs w:val="26"/>
        </w:rPr>
      </w:pPr>
      <w:r w:rsidRPr="0040650E">
        <w:rPr>
          <w:rFonts w:ascii="Times New Roman" w:hAnsi="Times New Roman" w:cs="Times New Roman"/>
          <w:sz w:val="26"/>
          <w:szCs w:val="26"/>
        </w:rPr>
        <w:t xml:space="preserve">Việc tuân thủ các </w:t>
      </w:r>
      <w:r w:rsidRPr="00A77A78">
        <w:rPr>
          <w:rFonts w:ascii="Times New Roman" w:hAnsi="Times New Roman" w:cs="Times New Roman"/>
          <w:color w:val="C00000"/>
          <w:sz w:val="26"/>
          <w:szCs w:val="26"/>
        </w:rPr>
        <w:t xml:space="preserve">quy định môi trường hàng hải đa tầng hiện nay </w:t>
      </w:r>
      <w:r w:rsidRPr="0040650E">
        <w:rPr>
          <w:rFonts w:ascii="Times New Roman" w:hAnsi="Times New Roman" w:cs="Times New Roman"/>
          <w:sz w:val="26"/>
          <w:szCs w:val="26"/>
        </w:rPr>
        <w:t xml:space="preserve">không còn có thể được xem đơn thuần là </w:t>
      </w:r>
      <w:r w:rsidRPr="00A77A78">
        <w:rPr>
          <w:rFonts w:ascii="Times New Roman" w:hAnsi="Times New Roman" w:cs="Times New Roman"/>
          <w:sz w:val="26"/>
          <w:szCs w:val="26"/>
        </w:rPr>
        <w:t>một trung tâm chi phí hoặc một nhiệm vụ hành chính</w:t>
      </w:r>
      <w:r w:rsidRPr="0040650E">
        <w:rPr>
          <w:rFonts w:ascii="Times New Roman" w:hAnsi="Times New Roman" w:cs="Times New Roman"/>
          <w:sz w:val="26"/>
          <w:szCs w:val="26"/>
        </w:rPr>
        <w:t xml:space="preserve">. Bằng cách tích hợp </w:t>
      </w:r>
      <w:r w:rsidRPr="00A77A78">
        <w:rPr>
          <w:rFonts w:ascii="Times New Roman" w:hAnsi="Times New Roman" w:cs="Times New Roman"/>
          <w:sz w:val="26"/>
          <w:szCs w:val="26"/>
        </w:rPr>
        <w:t>theo dõi dữ liệu với độ chi tiết cao,</w:t>
      </w:r>
      <w:r w:rsidRPr="0040650E">
        <w:rPr>
          <w:rFonts w:ascii="Times New Roman" w:hAnsi="Times New Roman" w:cs="Times New Roman"/>
          <w:sz w:val="26"/>
          <w:szCs w:val="26"/>
        </w:rPr>
        <w:t xml:space="preserve"> các </w:t>
      </w:r>
      <w:r w:rsidRPr="00A77A78">
        <w:rPr>
          <w:rFonts w:ascii="Times New Roman" w:hAnsi="Times New Roman" w:cs="Times New Roman"/>
          <w:sz w:val="26"/>
          <w:szCs w:val="26"/>
        </w:rPr>
        <w:t>biện pháp bảo vệ trong hợp đồng thuê tàu và hợp đồng S&amp;P hiện đại, tối ưu hóa tốc độ khai thác, dữ liệu methane slip đã được xác minh</w:t>
      </w:r>
      <w:r w:rsidRPr="0040650E">
        <w:rPr>
          <w:rFonts w:ascii="Times New Roman" w:hAnsi="Times New Roman" w:cs="Times New Roman"/>
          <w:sz w:val="26"/>
          <w:szCs w:val="26"/>
        </w:rPr>
        <w:t xml:space="preserve">, và các </w:t>
      </w:r>
      <w:r w:rsidRPr="00A77A78">
        <w:rPr>
          <w:rFonts w:ascii="Times New Roman" w:hAnsi="Times New Roman" w:cs="Times New Roman"/>
          <w:sz w:val="26"/>
          <w:szCs w:val="26"/>
        </w:rPr>
        <w:t>cơ chế linh hoạt năng động như FuelEU pooling,</w:t>
      </w:r>
      <w:r w:rsidRPr="0040650E">
        <w:rPr>
          <w:rFonts w:ascii="Times New Roman" w:hAnsi="Times New Roman" w:cs="Times New Roman"/>
          <w:sz w:val="26"/>
          <w:szCs w:val="26"/>
        </w:rPr>
        <w:t xml:space="preserve"> các chủ tàu và người quản lý tàu có thể </w:t>
      </w:r>
      <w:r w:rsidRPr="00A77A78">
        <w:rPr>
          <w:rFonts w:ascii="Times New Roman" w:hAnsi="Times New Roman" w:cs="Times New Roman"/>
          <w:sz w:val="26"/>
          <w:szCs w:val="26"/>
        </w:rPr>
        <w:t>biến việc tuân thủ thành một lợi thế thương mại rõ ràng.</w:t>
      </w:r>
    </w:p>
    <w:p w14:paraId="2624AAD7" w14:textId="646012E0" w:rsidR="00C13E10" w:rsidRPr="00A77A78" w:rsidRDefault="00A77A78" w:rsidP="00A77A78">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A77A78" w:rsidSect="00A77A78">
      <w:pgSz w:w="12240" w:h="15840"/>
      <w:pgMar w:top="900" w:right="117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08EF"/>
    <w:multiLevelType w:val="multilevel"/>
    <w:tmpl w:val="E7740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B0E0B"/>
    <w:multiLevelType w:val="multilevel"/>
    <w:tmpl w:val="DB46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56E64"/>
    <w:multiLevelType w:val="multilevel"/>
    <w:tmpl w:val="9C26C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71AB2"/>
    <w:multiLevelType w:val="multilevel"/>
    <w:tmpl w:val="83D64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C3F16"/>
    <w:multiLevelType w:val="multilevel"/>
    <w:tmpl w:val="BA52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07834"/>
    <w:multiLevelType w:val="multilevel"/>
    <w:tmpl w:val="5AC8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DE2FEF"/>
    <w:multiLevelType w:val="multilevel"/>
    <w:tmpl w:val="20886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4063BE"/>
    <w:multiLevelType w:val="multilevel"/>
    <w:tmpl w:val="7990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743F12"/>
    <w:multiLevelType w:val="multilevel"/>
    <w:tmpl w:val="AEF8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A6790"/>
    <w:multiLevelType w:val="multilevel"/>
    <w:tmpl w:val="B4B4F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1A6B73"/>
    <w:multiLevelType w:val="multilevel"/>
    <w:tmpl w:val="EF68E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E129F9"/>
    <w:multiLevelType w:val="multilevel"/>
    <w:tmpl w:val="CB24D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FF1B6D"/>
    <w:multiLevelType w:val="multilevel"/>
    <w:tmpl w:val="9570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197074"/>
    <w:multiLevelType w:val="multilevel"/>
    <w:tmpl w:val="CB66B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D1126F"/>
    <w:multiLevelType w:val="multilevel"/>
    <w:tmpl w:val="D102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482734"/>
    <w:multiLevelType w:val="multilevel"/>
    <w:tmpl w:val="5D8E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0D54FF"/>
    <w:multiLevelType w:val="multilevel"/>
    <w:tmpl w:val="239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8501994">
    <w:abstractNumId w:val="1"/>
  </w:num>
  <w:num w:numId="2" w16cid:durableId="522133697">
    <w:abstractNumId w:val="5"/>
  </w:num>
  <w:num w:numId="3" w16cid:durableId="965739317">
    <w:abstractNumId w:val="12"/>
  </w:num>
  <w:num w:numId="4" w16cid:durableId="909002998">
    <w:abstractNumId w:val="0"/>
  </w:num>
  <w:num w:numId="5" w16cid:durableId="1455245211">
    <w:abstractNumId w:val="9"/>
  </w:num>
  <w:num w:numId="6" w16cid:durableId="1673071642">
    <w:abstractNumId w:val="10"/>
  </w:num>
  <w:num w:numId="7" w16cid:durableId="1199513798">
    <w:abstractNumId w:val="14"/>
  </w:num>
  <w:num w:numId="8" w16cid:durableId="1131242790">
    <w:abstractNumId w:val="11"/>
  </w:num>
  <w:num w:numId="9" w16cid:durableId="1577010749">
    <w:abstractNumId w:val="6"/>
  </w:num>
  <w:num w:numId="10" w16cid:durableId="516579410">
    <w:abstractNumId w:val="13"/>
  </w:num>
  <w:num w:numId="11" w16cid:durableId="1761219453">
    <w:abstractNumId w:val="7"/>
  </w:num>
  <w:num w:numId="12" w16cid:durableId="483475274">
    <w:abstractNumId w:val="8"/>
  </w:num>
  <w:num w:numId="13" w16cid:durableId="1808007285">
    <w:abstractNumId w:val="4"/>
  </w:num>
  <w:num w:numId="14" w16cid:durableId="556626905">
    <w:abstractNumId w:val="15"/>
  </w:num>
  <w:num w:numId="15" w16cid:durableId="911740749">
    <w:abstractNumId w:val="2"/>
  </w:num>
  <w:num w:numId="16" w16cid:durableId="1425758673">
    <w:abstractNumId w:val="3"/>
  </w:num>
  <w:num w:numId="17" w16cid:durableId="910889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185"/>
    <w:rsid w:val="000501D0"/>
    <w:rsid w:val="00137185"/>
    <w:rsid w:val="00292D1F"/>
    <w:rsid w:val="0040650E"/>
    <w:rsid w:val="008A1F16"/>
    <w:rsid w:val="00A77A78"/>
    <w:rsid w:val="00B8687E"/>
    <w:rsid w:val="00C13E10"/>
    <w:rsid w:val="00C54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7878C"/>
  <w15:chartTrackingRefBased/>
  <w15:docId w15:val="{95FC2638-1768-4E3A-88E8-5E0136A8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7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371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1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1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1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1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1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1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1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71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371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1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1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1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1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1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185"/>
    <w:rPr>
      <w:rFonts w:eastAsiaTheme="majorEastAsia" w:cstheme="majorBidi"/>
      <w:color w:val="272727" w:themeColor="text1" w:themeTint="D8"/>
    </w:rPr>
  </w:style>
  <w:style w:type="paragraph" w:styleId="Title">
    <w:name w:val="Title"/>
    <w:basedOn w:val="Normal"/>
    <w:next w:val="Normal"/>
    <w:link w:val="TitleChar"/>
    <w:uiPriority w:val="10"/>
    <w:qFormat/>
    <w:rsid w:val="001371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1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1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1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185"/>
    <w:pPr>
      <w:spacing w:before="160"/>
      <w:jc w:val="center"/>
    </w:pPr>
    <w:rPr>
      <w:i/>
      <w:iCs/>
      <w:color w:val="404040" w:themeColor="text1" w:themeTint="BF"/>
    </w:rPr>
  </w:style>
  <w:style w:type="character" w:customStyle="1" w:styleId="QuoteChar">
    <w:name w:val="Quote Char"/>
    <w:basedOn w:val="DefaultParagraphFont"/>
    <w:link w:val="Quote"/>
    <w:uiPriority w:val="29"/>
    <w:rsid w:val="00137185"/>
    <w:rPr>
      <w:i/>
      <w:iCs/>
      <w:color w:val="404040" w:themeColor="text1" w:themeTint="BF"/>
    </w:rPr>
  </w:style>
  <w:style w:type="paragraph" w:styleId="ListParagraph">
    <w:name w:val="List Paragraph"/>
    <w:basedOn w:val="Normal"/>
    <w:uiPriority w:val="34"/>
    <w:qFormat/>
    <w:rsid w:val="00137185"/>
    <w:pPr>
      <w:ind w:left="720"/>
      <w:contextualSpacing/>
    </w:pPr>
  </w:style>
  <w:style w:type="character" w:styleId="IntenseEmphasis">
    <w:name w:val="Intense Emphasis"/>
    <w:basedOn w:val="DefaultParagraphFont"/>
    <w:uiPriority w:val="21"/>
    <w:qFormat/>
    <w:rsid w:val="00137185"/>
    <w:rPr>
      <w:i/>
      <w:iCs/>
      <w:color w:val="0F4761" w:themeColor="accent1" w:themeShade="BF"/>
    </w:rPr>
  </w:style>
  <w:style w:type="paragraph" w:styleId="IntenseQuote">
    <w:name w:val="Intense Quote"/>
    <w:basedOn w:val="Normal"/>
    <w:next w:val="Normal"/>
    <w:link w:val="IntenseQuoteChar"/>
    <w:uiPriority w:val="30"/>
    <w:qFormat/>
    <w:rsid w:val="00137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185"/>
    <w:rPr>
      <w:i/>
      <w:iCs/>
      <w:color w:val="0F4761" w:themeColor="accent1" w:themeShade="BF"/>
    </w:rPr>
  </w:style>
  <w:style w:type="character" w:styleId="IntenseReference">
    <w:name w:val="Intense Reference"/>
    <w:basedOn w:val="DefaultParagraphFont"/>
    <w:uiPriority w:val="32"/>
    <w:qFormat/>
    <w:rsid w:val="00137185"/>
    <w:rPr>
      <w:b/>
      <w:bCs/>
      <w:smallCaps/>
      <w:color w:val="0F4761" w:themeColor="accent1" w:themeShade="BF"/>
      <w:spacing w:val="5"/>
    </w:rPr>
  </w:style>
  <w:style w:type="character" w:styleId="Hyperlink">
    <w:name w:val="Hyperlink"/>
    <w:basedOn w:val="DefaultParagraphFont"/>
    <w:uiPriority w:val="99"/>
    <w:unhideWhenUsed/>
    <w:rsid w:val="00137185"/>
    <w:rPr>
      <w:color w:val="467886" w:themeColor="hyperlink"/>
      <w:u w:val="single"/>
    </w:rPr>
  </w:style>
  <w:style w:type="character" w:styleId="UnresolvedMention">
    <w:name w:val="Unresolved Mention"/>
    <w:basedOn w:val="DefaultParagraphFont"/>
    <w:uiPriority w:val="99"/>
    <w:semiHidden/>
    <w:unhideWhenUsed/>
    <w:rsid w:val="00137185"/>
    <w:rPr>
      <w:color w:val="605E5C"/>
      <w:shd w:val="clear" w:color="auto" w:fill="E1DFDD"/>
    </w:rPr>
  </w:style>
  <w:style w:type="paragraph" w:styleId="NormalWeb">
    <w:name w:val="Normal (Web)"/>
    <w:basedOn w:val="Normal"/>
    <w:uiPriority w:val="99"/>
    <w:semiHidden/>
    <w:unhideWhenUsed/>
    <w:rsid w:val="00B8687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aritimecyprus.com/author/maritimecypru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1860</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2026-08-22T07:56:00Z</dcterms:created>
  <dcterms:modified xsi:type="dcterms:W3CDTF">2026-08-22T08:51:00Z</dcterms:modified>
</cp:coreProperties>
</file>