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01523" w14:textId="32829946" w:rsidR="009931CA" w:rsidRPr="00BB06D8" w:rsidRDefault="00BB06D8" w:rsidP="00BB06D8">
      <w:pPr>
        <w:spacing w:line="240" w:lineRule="auto"/>
        <w:jc w:val="center"/>
        <w:rPr>
          <w:rFonts w:ascii="Times New Roman" w:hAnsi="Times New Roman" w:cs="Times New Roman"/>
          <w:b/>
          <w:bCs/>
          <w:color w:val="C00000"/>
          <w:sz w:val="40"/>
          <w:szCs w:val="40"/>
        </w:rPr>
      </w:pPr>
      <w:r w:rsidRPr="00BB06D8">
        <w:rPr>
          <w:rFonts w:ascii="Times New Roman" w:hAnsi="Times New Roman" w:cs="Times New Roman"/>
          <w:b/>
          <w:bCs/>
          <w:color w:val="C00000"/>
          <w:sz w:val="40"/>
          <w:szCs w:val="40"/>
        </w:rPr>
        <w:t>Paris MoU và Tokyo MoU – Chiến dịch kiểm tra tập trung (CIC) về chằng buộc hàng hóa</w:t>
      </w:r>
    </w:p>
    <w:p w14:paraId="48BD5755" w14:textId="696E1DFD" w:rsidR="00BB06D8" w:rsidRPr="00BB06D8" w:rsidRDefault="00BB06D8" w:rsidP="00BB06D8">
      <w:pPr>
        <w:jc w:val="right"/>
        <w:rPr>
          <w:b/>
          <w:bCs/>
          <w:color w:val="0070C0"/>
        </w:rPr>
      </w:pPr>
      <w:r w:rsidRPr="00BB06D8">
        <w:rPr>
          <w:b/>
          <w:bCs/>
          <w:color w:val="0070C0"/>
        </w:rPr>
        <w:t>DNV</w:t>
      </w:r>
    </w:p>
    <w:p w14:paraId="541B658F"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Thông qua thông cáo báo chí phát hành ngày 03 tháng 8, Paris MoU và Tokyo MoU đã công bố </w:t>
      </w:r>
      <w:r w:rsidRPr="00BB06D8">
        <w:rPr>
          <w:rFonts w:ascii="Times New Roman" w:hAnsi="Times New Roman" w:cs="Times New Roman"/>
          <w:b/>
          <w:bCs/>
          <w:color w:val="C00000"/>
          <w:sz w:val="26"/>
          <w:szCs w:val="26"/>
        </w:rPr>
        <w:t>bảng câu hỏi (questionnaire)</w:t>
      </w:r>
      <w:r w:rsidRPr="00BB06D8">
        <w:rPr>
          <w:rFonts w:ascii="Times New Roman" w:hAnsi="Times New Roman" w:cs="Times New Roman"/>
          <w:color w:val="C00000"/>
          <w:sz w:val="26"/>
          <w:szCs w:val="26"/>
        </w:rPr>
        <w:t xml:space="preserve"> </w:t>
      </w:r>
      <w:r w:rsidRPr="00BB06D8">
        <w:rPr>
          <w:rFonts w:ascii="Times New Roman" w:hAnsi="Times New Roman" w:cs="Times New Roman"/>
          <w:sz w:val="26"/>
          <w:szCs w:val="26"/>
        </w:rPr>
        <w:t xml:space="preserve">dành cho </w:t>
      </w:r>
      <w:r w:rsidRPr="00BB06D8">
        <w:rPr>
          <w:rFonts w:ascii="Times New Roman" w:hAnsi="Times New Roman" w:cs="Times New Roman"/>
          <w:b/>
          <w:bCs/>
          <w:color w:val="C00000"/>
          <w:sz w:val="26"/>
          <w:szCs w:val="26"/>
        </w:rPr>
        <w:t>Chiến dịch Kiểm tra Tập trung (Concentrated Inspection Campaign - CIC)</w:t>
      </w:r>
      <w:r w:rsidRPr="00BB06D8">
        <w:rPr>
          <w:rFonts w:ascii="Times New Roman" w:hAnsi="Times New Roman" w:cs="Times New Roman"/>
          <w:sz w:val="26"/>
          <w:szCs w:val="26"/>
        </w:rPr>
        <w:t xml:space="preserve"> năm nay.</w:t>
      </w:r>
    </w:p>
    <w:p w14:paraId="3A140D3F"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Bảng câu hỏi gồm 10 câu hỏi nhằm kiểm tra việc tuân thủ các yêu cầu về chằng buộc và cố định hàng hóa (cargo securing).</w:t>
      </w:r>
    </w:p>
    <w:p w14:paraId="2E4CEBC0"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Trong số đó:</w:t>
      </w:r>
    </w:p>
    <w:p w14:paraId="57FCF1A0" w14:textId="77777777" w:rsidR="00BB06D8" w:rsidRPr="00BB06D8" w:rsidRDefault="00BB06D8" w:rsidP="00BB06D8">
      <w:pPr>
        <w:numPr>
          <w:ilvl w:val="0"/>
          <w:numId w:val="2"/>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07 câu hỏi có thể được xem là căn cứ để lưu giữ tàu (detention) nếu phát hiện vi phạm; </w:t>
      </w:r>
    </w:p>
    <w:p w14:paraId="1DCE6EE7" w14:textId="77777777" w:rsidR="00BB06D8" w:rsidRPr="00BB06D8" w:rsidRDefault="00BB06D8" w:rsidP="00BB06D8">
      <w:pPr>
        <w:numPr>
          <w:ilvl w:val="0"/>
          <w:numId w:val="2"/>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Trong khi đó, câu hỏi số 1, số 6 và câu 10a/10b chỉ dẫn đến việc ghi nhận khiếm khuyết không đủ căn cứ lưu giữ tàu (non-detainable deficiencies). </w:t>
      </w:r>
    </w:p>
    <w:p w14:paraId="13815D5A"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color w:val="C00000"/>
          <w:sz w:val="26"/>
          <w:szCs w:val="26"/>
        </w:rPr>
        <w:t>Chiến dịch CIC sẽ được lồng ghép vào các đợt kiểm tra của Nhà nước có Cảng biển</w:t>
      </w:r>
      <w:r w:rsidRPr="00BB06D8">
        <w:rPr>
          <w:rFonts w:ascii="Times New Roman" w:hAnsi="Times New Roman" w:cs="Times New Roman"/>
          <w:b/>
          <w:bCs/>
          <w:color w:val="C00000"/>
          <w:sz w:val="26"/>
          <w:szCs w:val="26"/>
        </w:rPr>
        <w:t xml:space="preserve"> (</w:t>
      </w:r>
      <w:r w:rsidRPr="00BB06D8">
        <w:rPr>
          <w:rFonts w:ascii="Times New Roman" w:hAnsi="Times New Roman" w:cs="Times New Roman"/>
          <w:color w:val="C00000"/>
          <w:sz w:val="26"/>
          <w:szCs w:val="26"/>
        </w:rPr>
        <w:t>PSC) thường kỳ trong khoảng thời gian từ tháng 9 đến tháng 11 năm 2026</w:t>
      </w:r>
      <w:r w:rsidRPr="00BB06D8">
        <w:rPr>
          <w:rFonts w:ascii="Times New Roman" w:hAnsi="Times New Roman" w:cs="Times New Roman"/>
          <w:sz w:val="26"/>
          <w:szCs w:val="26"/>
        </w:rPr>
        <w:t>.</w:t>
      </w:r>
    </w:p>
    <w:p w14:paraId="3CDE4A32" w14:textId="1244B643" w:rsidR="009931CA" w:rsidRPr="009931CA" w:rsidRDefault="009931CA" w:rsidP="009931CA">
      <w:pPr>
        <w:jc w:val="center"/>
      </w:pPr>
      <w:r w:rsidRPr="009931CA">
        <w:drawing>
          <wp:inline distT="0" distB="0" distL="0" distR="0" wp14:anchorId="5F396BF9" wp14:editId="4495E67C">
            <wp:extent cx="5911566" cy="4419600"/>
            <wp:effectExtent l="0" t="0" r="0" b="0"/>
            <wp:docPr id="1426356532" name="Picture 2" descr="Steel plates - well secured with a combination of lashing chains, lashing straps and appropriate fi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el plates - well secured with a combination of lashing chains, lashing straps and appropriate fitting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3852" cy="4451213"/>
                    </a:xfrm>
                    <a:prstGeom prst="rect">
                      <a:avLst/>
                    </a:prstGeom>
                    <a:noFill/>
                    <a:ln>
                      <a:noFill/>
                    </a:ln>
                  </pic:spPr>
                </pic:pic>
              </a:graphicData>
            </a:graphic>
          </wp:inline>
        </w:drawing>
      </w:r>
    </w:p>
    <w:p w14:paraId="018B173D" w14:textId="77777777" w:rsidR="00BB06D8" w:rsidRPr="00BB06D8" w:rsidRDefault="00BB06D8" w:rsidP="00BB06D8">
      <w:pPr>
        <w:spacing w:before="120" w:after="120"/>
        <w:jc w:val="center"/>
        <w:rPr>
          <w:rFonts w:ascii="Times New Roman" w:hAnsi="Times New Roman" w:cs="Times New Roman"/>
          <w:sz w:val="26"/>
          <w:szCs w:val="26"/>
        </w:rPr>
      </w:pPr>
      <w:r w:rsidRPr="00BB06D8">
        <w:rPr>
          <w:rFonts w:ascii="Times New Roman" w:hAnsi="Times New Roman" w:cs="Times New Roman"/>
          <w:i/>
          <w:iCs/>
          <w:sz w:val="26"/>
          <w:szCs w:val="26"/>
        </w:rPr>
        <w:t>Một ví dụ về chằng buộc đúng quy cách là các tấm thép được cố định chắc chắn bằng sự kết hợp giữa xích chằng, dây chằng và các phụ kiện phù hợp.</w:t>
      </w:r>
    </w:p>
    <w:p w14:paraId="50073615" w14:textId="31BACB6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lastRenderedPageBreak/>
        <w:t xml:space="preserve">Từ góc độ của Bộ luật Quốc tế </w:t>
      </w:r>
      <w:r>
        <w:rPr>
          <w:rFonts w:ascii="Times New Roman" w:hAnsi="Times New Roman" w:cs="Times New Roman"/>
          <w:sz w:val="26"/>
          <w:szCs w:val="26"/>
        </w:rPr>
        <w:t xml:space="preserve">về </w:t>
      </w:r>
      <w:r w:rsidRPr="00BB06D8">
        <w:rPr>
          <w:rFonts w:ascii="Times New Roman" w:hAnsi="Times New Roman" w:cs="Times New Roman"/>
          <w:sz w:val="26"/>
          <w:szCs w:val="26"/>
        </w:rPr>
        <w:t xml:space="preserve">Quản lý </w:t>
      </w:r>
      <w:proofErr w:type="gramStart"/>
      <w:r w:rsidRPr="00BB06D8">
        <w:rPr>
          <w:rFonts w:ascii="Times New Roman" w:hAnsi="Times New Roman" w:cs="Times New Roman"/>
          <w:sz w:val="26"/>
          <w:szCs w:val="26"/>
        </w:rPr>
        <w:t>An</w:t>
      </w:r>
      <w:proofErr w:type="gramEnd"/>
      <w:r w:rsidRPr="00BB06D8">
        <w:rPr>
          <w:rFonts w:ascii="Times New Roman" w:hAnsi="Times New Roman" w:cs="Times New Roman"/>
          <w:sz w:val="26"/>
          <w:szCs w:val="26"/>
        </w:rPr>
        <w:t xml:space="preserve"> toàn (ISM Code), các vấn đề liên quan đến chằng buộc hàng hóa có thể phản ánh những điểm yếu trong Hệ thống Quản lý </w:t>
      </w:r>
      <w:proofErr w:type="gramStart"/>
      <w:r w:rsidRPr="00BB06D8">
        <w:rPr>
          <w:rFonts w:ascii="Times New Roman" w:hAnsi="Times New Roman" w:cs="Times New Roman"/>
          <w:sz w:val="26"/>
          <w:szCs w:val="26"/>
        </w:rPr>
        <w:t>An</w:t>
      </w:r>
      <w:proofErr w:type="gramEnd"/>
      <w:r w:rsidRPr="00BB06D8">
        <w:rPr>
          <w:rFonts w:ascii="Times New Roman" w:hAnsi="Times New Roman" w:cs="Times New Roman"/>
          <w:sz w:val="26"/>
          <w:szCs w:val="26"/>
        </w:rPr>
        <w:t xml:space="preserve"> toàn (SMS), chẳng hạn như:</w:t>
      </w:r>
    </w:p>
    <w:p w14:paraId="3FB2A2F0" w14:textId="77777777" w:rsidR="00BB06D8" w:rsidRPr="00BB06D8" w:rsidRDefault="00BB06D8" w:rsidP="00BB06D8">
      <w:pPr>
        <w:numPr>
          <w:ilvl w:val="0"/>
          <w:numId w:val="3"/>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Thiếu hoặc chưa đầy đủ các quy trình; </w:t>
      </w:r>
    </w:p>
    <w:p w14:paraId="4321B84A" w14:textId="3A59B33E" w:rsidR="00BB06D8" w:rsidRPr="00BB06D8" w:rsidRDefault="00BB06D8" w:rsidP="00BB06D8">
      <w:pPr>
        <w:numPr>
          <w:ilvl w:val="0"/>
          <w:numId w:val="3"/>
        </w:numPr>
        <w:spacing w:before="120" w:after="120"/>
        <w:jc w:val="both"/>
        <w:rPr>
          <w:rFonts w:ascii="Times New Roman" w:hAnsi="Times New Roman" w:cs="Times New Roman"/>
          <w:sz w:val="26"/>
          <w:szCs w:val="26"/>
        </w:rPr>
      </w:pPr>
      <w:r>
        <w:rPr>
          <w:rFonts w:ascii="Times New Roman" w:hAnsi="Times New Roman" w:cs="Times New Roman"/>
          <w:sz w:val="26"/>
          <w:szCs w:val="26"/>
        </w:rPr>
        <w:t>Huấn luyện</w:t>
      </w:r>
      <w:r w:rsidRPr="00BB06D8">
        <w:rPr>
          <w:rFonts w:ascii="Times New Roman" w:hAnsi="Times New Roman" w:cs="Times New Roman"/>
          <w:sz w:val="26"/>
          <w:szCs w:val="26"/>
        </w:rPr>
        <w:t xml:space="preserve"> chưa hiệu quả; </w:t>
      </w:r>
    </w:p>
    <w:p w14:paraId="7FA7C652" w14:textId="77777777" w:rsidR="00BB06D8" w:rsidRPr="00BB06D8" w:rsidRDefault="00BB06D8" w:rsidP="00BB06D8">
      <w:pPr>
        <w:numPr>
          <w:ilvl w:val="0"/>
          <w:numId w:val="3"/>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Công tác giám sát chưa phù hợp; </w:t>
      </w:r>
    </w:p>
    <w:p w14:paraId="62703704" w14:textId="77777777" w:rsidR="00BB06D8" w:rsidRPr="00BB06D8" w:rsidRDefault="00BB06D8" w:rsidP="00BB06D8">
      <w:pPr>
        <w:numPr>
          <w:ilvl w:val="0"/>
          <w:numId w:val="3"/>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Đánh giá rủi ro chưa đầy đủ. </w:t>
      </w:r>
    </w:p>
    <w:p w14:paraId="55129C1B" w14:textId="24A5C54A" w:rsidR="00BB06D8" w:rsidRPr="00BB06D8" w:rsidRDefault="00BB06D8" w:rsidP="00BB06D8">
      <w:pPr>
        <w:tabs>
          <w:tab w:val="num" w:pos="720"/>
        </w:tabs>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Khi phát hiện các vấn đề này, công ty cần tiến hành</w:t>
      </w:r>
      <w:r>
        <w:rPr>
          <w:rFonts w:ascii="Times New Roman" w:hAnsi="Times New Roman" w:cs="Times New Roman"/>
          <w:sz w:val="26"/>
          <w:szCs w:val="26"/>
        </w:rPr>
        <w:t xml:space="preserve"> r</w:t>
      </w:r>
      <w:r w:rsidRPr="00BB06D8">
        <w:rPr>
          <w:rFonts w:ascii="Times New Roman" w:hAnsi="Times New Roman" w:cs="Times New Roman"/>
          <w:sz w:val="26"/>
          <w:szCs w:val="26"/>
        </w:rPr>
        <w:t xml:space="preserve">à soát lại các </w:t>
      </w:r>
      <w:r>
        <w:rPr>
          <w:rFonts w:ascii="Times New Roman" w:hAnsi="Times New Roman" w:cs="Times New Roman"/>
          <w:sz w:val="26"/>
          <w:szCs w:val="26"/>
        </w:rPr>
        <w:t>cách làm</w:t>
      </w:r>
      <w:r w:rsidRPr="00BB06D8">
        <w:rPr>
          <w:rFonts w:ascii="Times New Roman" w:hAnsi="Times New Roman" w:cs="Times New Roman"/>
          <w:sz w:val="26"/>
          <w:szCs w:val="26"/>
        </w:rPr>
        <w:t xml:space="preserve"> hiện hành</w:t>
      </w:r>
      <w:r>
        <w:rPr>
          <w:rFonts w:ascii="Times New Roman" w:hAnsi="Times New Roman" w:cs="Times New Roman"/>
          <w:sz w:val="26"/>
          <w:szCs w:val="26"/>
        </w:rPr>
        <w:t>, p</w:t>
      </w:r>
      <w:r w:rsidRPr="00BB06D8">
        <w:rPr>
          <w:rFonts w:ascii="Times New Roman" w:hAnsi="Times New Roman" w:cs="Times New Roman"/>
          <w:sz w:val="26"/>
          <w:szCs w:val="26"/>
        </w:rPr>
        <w:t>hân tích nguyên nhân gốc rễ (Root Cause Analysis)</w:t>
      </w:r>
      <w:r>
        <w:rPr>
          <w:rFonts w:ascii="Times New Roman" w:hAnsi="Times New Roman" w:cs="Times New Roman"/>
          <w:sz w:val="26"/>
          <w:szCs w:val="26"/>
        </w:rPr>
        <w:t xml:space="preserve"> và t</w:t>
      </w:r>
      <w:r w:rsidRPr="00BB06D8">
        <w:rPr>
          <w:rFonts w:ascii="Times New Roman" w:hAnsi="Times New Roman" w:cs="Times New Roman"/>
          <w:sz w:val="26"/>
          <w:szCs w:val="26"/>
        </w:rPr>
        <w:t xml:space="preserve">hực hiện các hành động khắc phục thích hợp, </w:t>
      </w:r>
      <w:r>
        <w:rPr>
          <w:rFonts w:ascii="Times New Roman" w:hAnsi="Times New Roman" w:cs="Times New Roman"/>
          <w:sz w:val="26"/>
          <w:szCs w:val="26"/>
        </w:rPr>
        <w:t>nhất là</w:t>
      </w:r>
      <w:r w:rsidRPr="00BB06D8">
        <w:rPr>
          <w:rFonts w:ascii="Times New Roman" w:hAnsi="Times New Roman" w:cs="Times New Roman"/>
          <w:sz w:val="26"/>
          <w:szCs w:val="26"/>
        </w:rPr>
        <w:t xml:space="preserve"> trong trường hợp các khiếm khuyết mang tính lặp lại hoặc có tính hệ thống.</w:t>
      </w:r>
    </w:p>
    <w:p w14:paraId="3322E51E" w14:textId="397D3E8E" w:rsidR="00BB06D8" w:rsidRPr="00BB06D8" w:rsidRDefault="00BB06D8" w:rsidP="00BB06D8">
      <w:pPr>
        <w:tabs>
          <w:tab w:val="num" w:pos="720"/>
        </w:tabs>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Đối với PSC, các khiếm khuyết về chằng buộc hàng hóa được xem là </w:t>
      </w:r>
      <w:r w:rsidRPr="00BB06D8">
        <w:rPr>
          <w:rFonts w:ascii="Times New Roman" w:hAnsi="Times New Roman" w:cs="Times New Roman"/>
          <w:color w:val="C00000"/>
          <w:sz w:val="26"/>
          <w:szCs w:val="26"/>
        </w:rPr>
        <w:t xml:space="preserve">rất nghiêm trọng </w:t>
      </w:r>
      <w:r w:rsidRPr="00BB06D8">
        <w:rPr>
          <w:rFonts w:ascii="Times New Roman" w:hAnsi="Times New Roman" w:cs="Times New Roman"/>
          <w:sz w:val="26"/>
          <w:szCs w:val="26"/>
        </w:rPr>
        <w:t>và có thể dẫn đến</w:t>
      </w:r>
      <w:r>
        <w:rPr>
          <w:rFonts w:ascii="Times New Roman" w:hAnsi="Times New Roman" w:cs="Times New Roman"/>
          <w:sz w:val="26"/>
          <w:szCs w:val="26"/>
        </w:rPr>
        <w:t xml:space="preserve"> t</w:t>
      </w:r>
      <w:r w:rsidRPr="00BB06D8">
        <w:rPr>
          <w:rFonts w:ascii="Times New Roman" w:hAnsi="Times New Roman" w:cs="Times New Roman"/>
          <w:sz w:val="26"/>
          <w:szCs w:val="26"/>
        </w:rPr>
        <w:t>àu bị chậm trễ trong khai thác</w:t>
      </w:r>
      <w:r>
        <w:rPr>
          <w:rFonts w:ascii="Times New Roman" w:hAnsi="Times New Roman" w:cs="Times New Roman"/>
          <w:sz w:val="26"/>
          <w:szCs w:val="26"/>
        </w:rPr>
        <w:t>, á</w:t>
      </w:r>
      <w:r w:rsidRPr="00BB06D8">
        <w:rPr>
          <w:rFonts w:ascii="Times New Roman" w:hAnsi="Times New Roman" w:cs="Times New Roman"/>
          <w:sz w:val="26"/>
          <w:szCs w:val="26"/>
        </w:rPr>
        <w:t>p dụng các biện pháp hạn chế hoạt động</w:t>
      </w:r>
      <w:r>
        <w:rPr>
          <w:rFonts w:ascii="Times New Roman" w:hAnsi="Times New Roman" w:cs="Times New Roman"/>
          <w:sz w:val="26"/>
          <w:szCs w:val="26"/>
        </w:rPr>
        <w:t xml:space="preserve"> và l</w:t>
      </w:r>
      <w:r w:rsidRPr="00BB06D8">
        <w:rPr>
          <w:rFonts w:ascii="Times New Roman" w:hAnsi="Times New Roman" w:cs="Times New Roman"/>
          <w:sz w:val="26"/>
          <w:szCs w:val="26"/>
        </w:rPr>
        <w:t xml:space="preserve">ưu giữ tàu (Detention). </w:t>
      </w:r>
    </w:p>
    <w:p w14:paraId="5CBC6FE3"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Ngoài ra, các khiếm khuyết này cũng có thể khiến tàu phải trải qua các cuộc kiểm tra chi tiết hơn và kéo theo các hoạt động đánh giá tiếp theo liên quan đến việc thực hiện ISM Code.</w:t>
      </w:r>
    </w:p>
    <w:p w14:paraId="441D35F3" w14:textId="0A20FA8D"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Các chuyên gia của DNV sẽ tổ chức một hội thảo trực tuyến (webinar) về Chiến dịch CIC năm nay đối với nội dung chằng buộc hàng hóa. Người quan tâm có thể đăng ký tham dự hội thảo</w:t>
      </w:r>
      <w:r>
        <w:rPr>
          <w:rFonts w:ascii="Times New Roman" w:hAnsi="Times New Roman" w:cs="Times New Roman"/>
          <w:sz w:val="26"/>
          <w:szCs w:val="26"/>
        </w:rPr>
        <w:t xml:space="preserve"> </w:t>
      </w:r>
      <w:hyperlink r:id="rId6" w:history="1">
        <w:r w:rsidRPr="00BB06D8">
          <w:rPr>
            <w:rStyle w:val="Hyperlink"/>
            <w:rFonts w:ascii="Times New Roman" w:hAnsi="Times New Roman" w:cs="Times New Roman"/>
            <w:sz w:val="28"/>
            <w:szCs w:val="28"/>
          </w:rPr>
          <w:t>ở đây</w:t>
        </w:r>
      </w:hyperlink>
      <w:r w:rsidRPr="00BB06D8">
        <w:rPr>
          <w:rFonts w:ascii="Times New Roman" w:hAnsi="Times New Roman" w:cs="Times New Roman"/>
          <w:sz w:val="28"/>
          <w:szCs w:val="28"/>
        </w:rPr>
        <w:t>.</w:t>
      </w:r>
      <w:r w:rsidRPr="00BB06D8">
        <w:rPr>
          <w:rFonts w:ascii="Times New Roman" w:hAnsi="Times New Roman" w:cs="Times New Roman"/>
          <w:sz w:val="26"/>
          <w:szCs w:val="26"/>
        </w:rPr>
        <w:t xml:space="preserve"> Sau khi kết thúc, bản ghi của hội thảo sẽ được đăng tải trên trang dịch vụ PSC của DNV.</w:t>
      </w:r>
    </w:p>
    <w:p w14:paraId="2FAB86FE"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Bên cạnh đó, bảng kiểm PSC Planner trên nền tảng DNV Veracity cũng sẽ được cập nhật bổ sung bảng câu hỏi CIC vào cuối tháng 8.</w:t>
      </w:r>
    </w:p>
    <w:p w14:paraId="62667E56" w14:textId="77777777" w:rsidR="00BB06D8" w:rsidRPr="00BB06D8" w:rsidRDefault="00BB06D8" w:rsidP="00BB06D8">
      <w:p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DNV cũng lưu ý rằng các chiến dịch kiểm tra bổ sung ở cấp địa phương có thể được triển khai với thời gian thông báo rất ngắn.</w:t>
      </w:r>
    </w:p>
    <w:p w14:paraId="11098EB3" w14:textId="77777777" w:rsidR="00BB06D8" w:rsidRPr="00BB06D8" w:rsidRDefault="00BB06D8" w:rsidP="00BB06D8">
      <w:pPr>
        <w:spacing w:before="120" w:after="120"/>
        <w:jc w:val="both"/>
        <w:rPr>
          <w:rFonts w:ascii="Times New Roman" w:hAnsi="Times New Roman" w:cs="Times New Roman"/>
          <w:b/>
          <w:bCs/>
          <w:sz w:val="26"/>
          <w:szCs w:val="26"/>
        </w:rPr>
      </w:pPr>
      <w:r w:rsidRPr="00BB06D8">
        <w:rPr>
          <w:rFonts w:ascii="Times New Roman" w:hAnsi="Times New Roman" w:cs="Times New Roman"/>
          <w:b/>
          <w:bCs/>
          <w:sz w:val="26"/>
          <w:szCs w:val="26"/>
        </w:rPr>
        <w:t>Khuyến nghị</w:t>
      </w:r>
    </w:p>
    <w:p w14:paraId="36B41A42"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color w:val="C00000"/>
          <w:sz w:val="26"/>
          <w:szCs w:val="26"/>
        </w:rPr>
        <w:t xml:space="preserve">Phổ biến cho Thuyền trưởng và các sĩ quan </w:t>
      </w:r>
      <w:r w:rsidRPr="00BB06D8">
        <w:rPr>
          <w:rFonts w:ascii="Times New Roman" w:hAnsi="Times New Roman" w:cs="Times New Roman"/>
          <w:sz w:val="26"/>
          <w:szCs w:val="26"/>
        </w:rPr>
        <w:t xml:space="preserve">về trách nhiệm của mình cũng như nội dung của bảng kiểm CIC bổ sung. </w:t>
      </w:r>
    </w:p>
    <w:p w14:paraId="3660166A"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Cập nhật </w:t>
      </w:r>
      <w:r w:rsidRPr="00BB06D8">
        <w:rPr>
          <w:rFonts w:ascii="Times New Roman" w:hAnsi="Times New Roman" w:cs="Times New Roman"/>
          <w:color w:val="C00000"/>
          <w:sz w:val="26"/>
          <w:szCs w:val="26"/>
        </w:rPr>
        <w:t xml:space="preserve">Sổ tay Chằng buộc Hàng hóa (Cargo Securing Manual - CSM) </w:t>
      </w:r>
      <w:r w:rsidRPr="00BB06D8">
        <w:rPr>
          <w:rFonts w:ascii="Times New Roman" w:hAnsi="Times New Roman" w:cs="Times New Roman"/>
          <w:sz w:val="26"/>
          <w:szCs w:val="26"/>
        </w:rPr>
        <w:t xml:space="preserve">để phản ánh đúng các loại hàng hóa hiện đang vận chuyển, phương án chằng buộc và trang thiết bị sử dụng. </w:t>
      </w:r>
    </w:p>
    <w:p w14:paraId="1F48C271"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Kiểm tra và bảo dưỡng toàn bộ thiết bị chằng buộc, cố định hàng hóa; thay thế ngay các thiết bị bị hư hỏng hoặc không còn đáp ứng yêu cầu. </w:t>
      </w:r>
    </w:p>
    <w:p w14:paraId="45582C09"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Huấn luyện thuyền viên về quy trình chằng buộc hàng hóa đúng cách và bảo đảm mọi người đều nắm vững nội dung của CSM, bao gồm: </w:t>
      </w:r>
    </w:p>
    <w:p w14:paraId="629E3DF1" w14:textId="77777777" w:rsidR="00BB06D8" w:rsidRPr="00BB06D8" w:rsidRDefault="00BB06D8" w:rsidP="00BB06D8">
      <w:pPr>
        <w:numPr>
          <w:ilvl w:val="1"/>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Quy trình chằng buộc trong điều kiện thời tiết xấu; </w:t>
      </w:r>
    </w:p>
    <w:p w14:paraId="6BBB3D3C" w14:textId="77777777" w:rsidR="00BB06D8" w:rsidRPr="00BB06D8" w:rsidRDefault="00BB06D8" w:rsidP="00BB06D8">
      <w:pPr>
        <w:numPr>
          <w:ilvl w:val="1"/>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 xml:space="preserve">Các yêu cầu về bảo đảm tầm nhìn từ buồng lái (bridge visibility). </w:t>
      </w:r>
    </w:p>
    <w:p w14:paraId="09291C37"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lastRenderedPageBreak/>
        <w:t xml:space="preserve">DNV khuyến nghị tham dự hội thảo trực tuyến về chủ đề này vào ngày 25 tháng 8. </w:t>
      </w:r>
    </w:p>
    <w:p w14:paraId="092C0F60" w14:textId="77777777" w:rsidR="00BB06D8" w:rsidRPr="00BB06D8" w:rsidRDefault="00BB06D8" w:rsidP="00BB06D8">
      <w:pPr>
        <w:numPr>
          <w:ilvl w:val="0"/>
          <w:numId w:val="6"/>
        </w:numPr>
        <w:spacing w:before="120" w:after="120"/>
        <w:jc w:val="both"/>
        <w:rPr>
          <w:rFonts w:ascii="Times New Roman" w:hAnsi="Times New Roman" w:cs="Times New Roman"/>
          <w:sz w:val="26"/>
          <w:szCs w:val="26"/>
        </w:rPr>
      </w:pPr>
      <w:r w:rsidRPr="00BB06D8">
        <w:rPr>
          <w:rFonts w:ascii="Times New Roman" w:hAnsi="Times New Roman" w:cs="Times New Roman"/>
          <w:sz w:val="26"/>
          <w:szCs w:val="26"/>
        </w:rPr>
        <w:t>Các chủ tàu và công ty quản lý tàu cũng nên cân nhắc sử dụng DNV PSC Planner để chuẩn bị tốt hơn cho các cuộc kiểm tra PSC sắp tới.</w:t>
      </w:r>
    </w:p>
    <w:p w14:paraId="4B4CAF84" w14:textId="3A332FDF" w:rsidR="009931CA" w:rsidRDefault="009931CA">
      <w:r w:rsidRPr="009931CA">
        <w:drawing>
          <wp:inline distT="0" distB="0" distL="0" distR="0" wp14:anchorId="58C06423" wp14:editId="0E8A2B12">
            <wp:extent cx="6127750" cy="7848600"/>
            <wp:effectExtent l="0" t="0" r="6350" b="0"/>
            <wp:docPr id="188014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46378" name=""/>
                    <pic:cNvPicPr/>
                  </pic:nvPicPr>
                  <pic:blipFill>
                    <a:blip r:embed="rId7"/>
                    <a:stretch>
                      <a:fillRect/>
                    </a:stretch>
                  </pic:blipFill>
                  <pic:spPr>
                    <a:xfrm>
                      <a:off x="0" y="0"/>
                      <a:ext cx="6137348" cy="7860894"/>
                    </a:xfrm>
                    <a:prstGeom prst="rect">
                      <a:avLst/>
                    </a:prstGeom>
                  </pic:spPr>
                </pic:pic>
              </a:graphicData>
            </a:graphic>
          </wp:inline>
        </w:drawing>
      </w:r>
    </w:p>
    <w:sectPr w:rsidR="009931CA" w:rsidSect="00BB06D8">
      <w:pgSz w:w="12240" w:h="15840"/>
      <w:pgMar w:top="90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51602"/>
    <w:multiLevelType w:val="multilevel"/>
    <w:tmpl w:val="1B12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77491"/>
    <w:multiLevelType w:val="multilevel"/>
    <w:tmpl w:val="53C0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8622F"/>
    <w:multiLevelType w:val="multilevel"/>
    <w:tmpl w:val="DB10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03962"/>
    <w:multiLevelType w:val="multilevel"/>
    <w:tmpl w:val="291C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9A7D2C"/>
    <w:multiLevelType w:val="multilevel"/>
    <w:tmpl w:val="CE7C2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5F004A"/>
    <w:multiLevelType w:val="multilevel"/>
    <w:tmpl w:val="8DF6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838053">
    <w:abstractNumId w:val="5"/>
  </w:num>
  <w:num w:numId="2" w16cid:durableId="1340426288">
    <w:abstractNumId w:val="0"/>
  </w:num>
  <w:num w:numId="3" w16cid:durableId="1449620064">
    <w:abstractNumId w:val="3"/>
  </w:num>
  <w:num w:numId="4" w16cid:durableId="1731685617">
    <w:abstractNumId w:val="1"/>
  </w:num>
  <w:num w:numId="5" w16cid:durableId="1673873337">
    <w:abstractNumId w:val="2"/>
  </w:num>
  <w:num w:numId="6" w16cid:durableId="969088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CA"/>
    <w:rsid w:val="000501D0"/>
    <w:rsid w:val="009931CA"/>
    <w:rsid w:val="00BB06D8"/>
    <w:rsid w:val="00C13E10"/>
    <w:rsid w:val="00F2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E040B"/>
  <w15:chartTrackingRefBased/>
  <w15:docId w15:val="{C786D5C0-A750-48BA-9C17-88DE96E5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1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1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1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1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1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1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1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1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1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1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1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1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1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1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1CA"/>
    <w:rPr>
      <w:rFonts w:eastAsiaTheme="majorEastAsia" w:cstheme="majorBidi"/>
      <w:color w:val="272727" w:themeColor="text1" w:themeTint="D8"/>
    </w:rPr>
  </w:style>
  <w:style w:type="paragraph" w:styleId="Title">
    <w:name w:val="Title"/>
    <w:basedOn w:val="Normal"/>
    <w:next w:val="Normal"/>
    <w:link w:val="TitleChar"/>
    <w:uiPriority w:val="10"/>
    <w:qFormat/>
    <w:rsid w:val="00993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1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1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1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1CA"/>
    <w:pPr>
      <w:spacing w:before="160"/>
      <w:jc w:val="center"/>
    </w:pPr>
    <w:rPr>
      <w:i/>
      <w:iCs/>
      <w:color w:val="404040" w:themeColor="text1" w:themeTint="BF"/>
    </w:rPr>
  </w:style>
  <w:style w:type="character" w:customStyle="1" w:styleId="QuoteChar">
    <w:name w:val="Quote Char"/>
    <w:basedOn w:val="DefaultParagraphFont"/>
    <w:link w:val="Quote"/>
    <w:uiPriority w:val="29"/>
    <w:rsid w:val="009931CA"/>
    <w:rPr>
      <w:i/>
      <w:iCs/>
      <w:color w:val="404040" w:themeColor="text1" w:themeTint="BF"/>
    </w:rPr>
  </w:style>
  <w:style w:type="paragraph" w:styleId="ListParagraph">
    <w:name w:val="List Paragraph"/>
    <w:basedOn w:val="Normal"/>
    <w:uiPriority w:val="34"/>
    <w:qFormat/>
    <w:rsid w:val="009931CA"/>
    <w:pPr>
      <w:ind w:left="720"/>
      <w:contextualSpacing/>
    </w:pPr>
  </w:style>
  <w:style w:type="character" w:styleId="IntenseEmphasis">
    <w:name w:val="Intense Emphasis"/>
    <w:basedOn w:val="DefaultParagraphFont"/>
    <w:uiPriority w:val="21"/>
    <w:qFormat/>
    <w:rsid w:val="009931CA"/>
    <w:rPr>
      <w:i/>
      <w:iCs/>
      <w:color w:val="0F4761" w:themeColor="accent1" w:themeShade="BF"/>
    </w:rPr>
  </w:style>
  <w:style w:type="paragraph" w:styleId="IntenseQuote">
    <w:name w:val="Intense Quote"/>
    <w:basedOn w:val="Normal"/>
    <w:next w:val="Normal"/>
    <w:link w:val="IntenseQuoteChar"/>
    <w:uiPriority w:val="30"/>
    <w:qFormat/>
    <w:rsid w:val="0099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1CA"/>
    <w:rPr>
      <w:i/>
      <w:iCs/>
      <w:color w:val="0F4761" w:themeColor="accent1" w:themeShade="BF"/>
    </w:rPr>
  </w:style>
  <w:style w:type="character" w:styleId="IntenseReference">
    <w:name w:val="Intense Reference"/>
    <w:basedOn w:val="DefaultParagraphFont"/>
    <w:uiPriority w:val="32"/>
    <w:qFormat/>
    <w:rsid w:val="009931CA"/>
    <w:rPr>
      <w:b/>
      <w:bCs/>
      <w:smallCaps/>
      <w:color w:val="0F4761" w:themeColor="accent1" w:themeShade="BF"/>
      <w:spacing w:val="5"/>
    </w:rPr>
  </w:style>
  <w:style w:type="character" w:styleId="Hyperlink">
    <w:name w:val="Hyperlink"/>
    <w:basedOn w:val="DefaultParagraphFont"/>
    <w:uiPriority w:val="99"/>
    <w:unhideWhenUsed/>
    <w:rsid w:val="009931CA"/>
    <w:rPr>
      <w:color w:val="467886" w:themeColor="hyperlink"/>
      <w:u w:val="single"/>
    </w:rPr>
  </w:style>
  <w:style w:type="character" w:styleId="UnresolvedMention">
    <w:name w:val="Unresolved Mention"/>
    <w:basedOn w:val="DefaultParagraphFont"/>
    <w:uiPriority w:val="99"/>
    <w:semiHidden/>
    <w:unhideWhenUsed/>
    <w:rsid w:val="00993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tendee.gotowebinar.com/rt/9197282181974730075?source=tr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2026-08-06T08:49:00Z</dcterms:created>
  <dcterms:modified xsi:type="dcterms:W3CDTF">2026-08-06T09:43:00Z</dcterms:modified>
</cp:coreProperties>
</file>