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DC2D" w14:textId="099AD491" w:rsidR="00313E35" w:rsidRPr="006A5257" w:rsidRDefault="00313E35" w:rsidP="00313E35">
      <w:pPr>
        <w:spacing w:line="240" w:lineRule="auto"/>
        <w:jc w:val="center"/>
        <w:rPr>
          <w:rFonts w:ascii="Times New Roman" w:hAnsi="Times New Roman" w:cs="Times New Roman"/>
          <w:b/>
          <w:bCs/>
          <w:color w:val="0070C0"/>
          <w:sz w:val="40"/>
          <w:szCs w:val="40"/>
        </w:rPr>
      </w:pPr>
      <w:r w:rsidRPr="006A5257">
        <w:rPr>
          <w:rFonts w:ascii="Times New Roman" w:hAnsi="Times New Roman" w:cs="Times New Roman"/>
          <w:b/>
          <w:bCs/>
          <w:color w:val="0070C0"/>
          <w:sz w:val="40"/>
          <w:szCs w:val="40"/>
        </w:rPr>
        <w:t xml:space="preserve">Hướng dẫn tạm thời của IMO về </w:t>
      </w:r>
      <w:r w:rsidRPr="006A5257">
        <w:rPr>
          <w:rFonts w:ascii="Times New Roman" w:hAnsi="Times New Roman" w:cs="Times New Roman"/>
          <w:b/>
          <w:bCs/>
          <w:color w:val="0070C0"/>
          <w:sz w:val="40"/>
          <w:szCs w:val="40"/>
        </w:rPr>
        <w:t>huấn luyện</w:t>
      </w:r>
      <w:r w:rsidRPr="006A5257">
        <w:rPr>
          <w:rFonts w:ascii="Times New Roman" w:hAnsi="Times New Roman" w:cs="Times New Roman"/>
          <w:b/>
          <w:bCs/>
          <w:color w:val="0070C0"/>
          <w:sz w:val="40"/>
          <w:szCs w:val="40"/>
        </w:rPr>
        <w:t xml:space="preserve"> thuyền viên làm việc trên tàu sử dụng nhiên liệu amoniac</w:t>
      </w:r>
    </w:p>
    <w:p w14:paraId="67D6F910" w14:textId="77777777" w:rsidR="00313E35" w:rsidRPr="00313E35" w:rsidRDefault="00313E35" w:rsidP="00313E35">
      <w:pPr>
        <w:jc w:val="right"/>
      </w:pPr>
      <w:r w:rsidRPr="00313E35">
        <w:t> </w:t>
      </w:r>
      <w:hyperlink r:id="rId5" w:history="1">
        <w:r w:rsidRPr="00313E35">
          <w:rPr>
            <w:rStyle w:val="Hyperlink"/>
            <w:b/>
            <w:bCs/>
          </w:rPr>
          <w:t>maritimecyprus</w:t>
        </w:r>
      </w:hyperlink>
    </w:p>
    <w:p w14:paraId="4A712229" w14:textId="3523F135" w:rsidR="00313E35" w:rsidRPr="00313E35" w:rsidRDefault="00313E35" w:rsidP="00313E35">
      <w:pPr>
        <w:jc w:val="center"/>
      </w:pPr>
      <w:r w:rsidRPr="00313E35">
        <w:drawing>
          <wp:inline distT="0" distB="0" distL="0" distR="0" wp14:anchorId="1D3A1351" wp14:editId="7D6C0C61">
            <wp:extent cx="5943600" cy="3347720"/>
            <wp:effectExtent l="0" t="0" r="0" b="5080"/>
            <wp:docPr id="18895227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2B81165C" w14:textId="5EBEF63B" w:rsidR="00313E35" w:rsidRPr="00313E35" w:rsidRDefault="00313E35" w:rsidP="00313E35">
      <w:pPr>
        <w:spacing w:after="120"/>
        <w:jc w:val="both"/>
        <w:rPr>
          <w:rFonts w:ascii="Times New Roman" w:hAnsi="Times New Roman" w:cs="Times New Roman"/>
          <w:sz w:val="26"/>
          <w:szCs w:val="26"/>
        </w:rPr>
      </w:pPr>
      <w:r w:rsidRPr="00313E35">
        <w:rPr>
          <w:rFonts w:ascii="Times New Roman" w:hAnsi="Times New Roman" w:cs="Times New Roman"/>
          <w:sz w:val="26"/>
          <w:szCs w:val="26"/>
        </w:rPr>
        <w:t xml:space="preserve">Hướng dẫn tạm thời mới của Tổ chức Hàng hải Quốc tế về </w:t>
      </w:r>
      <w:r>
        <w:rPr>
          <w:rFonts w:ascii="Times New Roman" w:hAnsi="Times New Roman" w:cs="Times New Roman"/>
          <w:sz w:val="26"/>
          <w:szCs w:val="26"/>
        </w:rPr>
        <w:t>huấn luyện</w:t>
      </w:r>
      <w:r w:rsidRPr="00313E35">
        <w:rPr>
          <w:rFonts w:ascii="Times New Roman" w:hAnsi="Times New Roman" w:cs="Times New Roman"/>
          <w:sz w:val="26"/>
          <w:szCs w:val="26"/>
        </w:rPr>
        <w:t xml:space="preserve"> thuyền viên làm việc trên các tàu sử dụng nhiên liệu amoniac được ban hành trước nhiều năm so với thời điểm phần lớn các tàu đóng mới cần đến chương trình </w:t>
      </w:r>
      <w:r>
        <w:rPr>
          <w:rFonts w:ascii="Times New Roman" w:hAnsi="Times New Roman" w:cs="Times New Roman"/>
          <w:sz w:val="26"/>
          <w:szCs w:val="26"/>
        </w:rPr>
        <w:t>huấn luyện</w:t>
      </w:r>
      <w:r w:rsidRPr="00313E35">
        <w:rPr>
          <w:rFonts w:ascii="Times New Roman" w:hAnsi="Times New Roman" w:cs="Times New Roman"/>
          <w:sz w:val="26"/>
          <w:szCs w:val="26"/>
        </w:rPr>
        <w:t xml:space="preserve"> này đi vào khai thác.</w:t>
      </w:r>
      <w:r>
        <w:rPr>
          <w:rFonts w:ascii="Times New Roman" w:hAnsi="Times New Roman" w:cs="Times New Roman"/>
          <w:sz w:val="26"/>
          <w:szCs w:val="26"/>
        </w:rPr>
        <w:t xml:space="preserve"> </w:t>
      </w:r>
      <w:r w:rsidRPr="00313E35">
        <w:rPr>
          <w:rFonts w:ascii="Times New Roman" w:hAnsi="Times New Roman" w:cs="Times New Roman"/>
          <w:sz w:val="26"/>
          <w:szCs w:val="26"/>
        </w:rPr>
        <w:t xml:space="preserve">Đó là một lợi thế lớn hơn nhiều so với những gì bề ngoài có thể thấy, nhưng chỉ khi các quốc gia </w:t>
      </w:r>
      <w:r>
        <w:rPr>
          <w:rFonts w:ascii="Times New Roman" w:hAnsi="Times New Roman" w:cs="Times New Roman"/>
          <w:sz w:val="26"/>
          <w:szCs w:val="26"/>
        </w:rPr>
        <w:t>đăng ký tàu</w:t>
      </w:r>
      <w:r w:rsidRPr="00313E35">
        <w:rPr>
          <w:rFonts w:ascii="Times New Roman" w:hAnsi="Times New Roman" w:cs="Times New Roman"/>
          <w:sz w:val="26"/>
          <w:szCs w:val="26"/>
        </w:rPr>
        <w:t xml:space="preserve">, các </w:t>
      </w:r>
      <w:r>
        <w:rPr>
          <w:rFonts w:ascii="Times New Roman" w:hAnsi="Times New Roman" w:cs="Times New Roman"/>
          <w:sz w:val="26"/>
          <w:szCs w:val="26"/>
        </w:rPr>
        <w:t xml:space="preserve">trường </w:t>
      </w:r>
      <w:r w:rsidRPr="00313E35">
        <w:rPr>
          <w:rFonts w:ascii="Times New Roman" w:hAnsi="Times New Roman" w:cs="Times New Roman"/>
          <w:sz w:val="26"/>
          <w:szCs w:val="26"/>
        </w:rPr>
        <w:t>hàng hải và các chủ tàu thực sự đưa các hướng dẫn này vào thực tiễn</w:t>
      </w:r>
      <w:r>
        <w:rPr>
          <w:rFonts w:ascii="Times New Roman" w:hAnsi="Times New Roman" w:cs="Times New Roman"/>
          <w:sz w:val="26"/>
          <w:szCs w:val="26"/>
        </w:rPr>
        <w:t xml:space="preserve"> huấn luyện</w:t>
      </w:r>
      <w:r w:rsidRPr="00313E35">
        <w:rPr>
          <w:rFonts w:ascii="Times New Roman" w:hAnsi="Times New Roman" w:cs="Times New Roman"/>
          <w:sz w:val="26"/>
          <w:szCs w:val="26"/>
        </w:rPr>
        <w:t>.</w:t>
      </w:r>
    </w:p>
    <w:p w14:paraId="47DED564" w14:textId="5B609197" w:rsidR="00313E35" w:rsidRPr="00313E35" w:rsidRDefault="00313E35" w:rsidP="00313E35">
      <w:pPr>
        <w:spacing w:after="120"/>
        <w:jc w:val="both"/>
        <w:rPr>
          <w:rFonts w:ascii="Times New Roman" w:hAnsi="Times New Roman" w:cs="Times New Roman"/>
          <w:sz w:val="26"/>
          <w:szCs w:val="26"/>
        </w:rPr>
      </w:pPr>
      <w:r w:rsidRPr="00313E35">
        <w:rPr>
          <w:rFonts w:ascii="Times New Roman" w:hAnsi="Times New Roman" w:cs="Times New Roman"/>
          <w:sz w:val="26"/>
          <w:szCs w:val="26"/>
        </w:rPr>
        <w:t xml:space="preserve">Ngành vận tải biển vốn hiếm khi đi trước các rủi ro của chính mình. Đối với nhiên liệu LNG, phải mất gần một thập kỷ kể từ khi hoạt động tiếp nhiên liệu LNG phát triển thì các yêu cầu </w:t>
      </w:r>
      <w:r>
        <w:rPr>
          <w:rFonts w:ascii="Times New Roman" w:hAnsi="Times New Roman" w:cs="Times New Roman"/>
          <w:sz w:val="26"/>
          <w:szCs w:val="26"/>
        </w:rPr>
        <w:t>về huấn luyện</w:t>
      </w:r>
      <w:r w:rsidRPr="00313E35">
        <w:rPr>
          <w:rFonts w:ascii="Times New Roman" w:hAnsi="Times New Roman" w:cs="Times New Roman"/>
          <w:sz w:val="26"/>
          <w:szCs w:val="26"/>
        </w:rPr>
        <w:t xml:space="preserve"> mới được chính thức đưa vào Bộ luật STCW. Thói quen của ngành </w:t>
      </w:r>
      <w:r>
        <w:rPr>
          <w:rFonts w:ascii="Times New Roman" w:hAnsi="Times New Roman" w:cs="Times New Roman"/>
          <w:sz w:val="26"/>
          <w:szCs w:val="26"/>
        </w:rPr>
        <w:t xml:space="preserve">này </w:t>
      </w:r>
      <w:r w:rsidRPr="00313E35">
        <w:rPr>
          <w:rFonts w:ascii="Times New Roman" w:hAnsi="Times New Roman" w:cs="Times New Roman"/>
          <w:sz w:val="26"/>
          <w:szCs w:val="26"/>
        </w:rPr>
        <w:t xml:space="preserve">là </w:t>
      </w:r>
      <w:r w:rsidRPr="00313E35">
        <w:rPr>
          <w:rFonts w:ascii="Times New Roman" w:hAnsi="Times New Roman" w:cs="Times New Roman"/>
          <w:color w:val="EE0000"/>
          <w:sz w:val="26"/>
          <w:szCs w:val="26"/>
        </w:rPr>
        <w:t xml:space="preserve">quản lý nhiên liệu mới sau khi đội tàu </w:t>
      </w:r>
      <w:r>
        <w:rPr>
          <w:rFonts w:ascii="Times New Roman" w:hAnsi="Times New Roman" w:cs="Times New Roman"/>
          <w:color w:val="EE0000"/>
          <w:sz w:val="26"/>
          <w:szCs w:val="26"/>
        </w:rPr>
        <w:t xml:space="preserve">sử dụng chúng </w:t>
      </w:r>
      <w:r w:rsidRPr="00313E35">
        <w:rPr>
          <w:rFonts w:ascii="Times New Roman" w:hAnsi="Times New Roman" w:cs="Times New Roman"/>
          <w:color w:val="EE0000"/>
          <w:sz w:val="26"/>
          <w:szCs w:val="26"/>
        </w:rPr>
        <w:t>đã hình thành, thậm chí đôi khi chỉ sau khi xảy ra sự cố.</w:t>
      </w:r>
      <w:r>
        <w:rPr>
          <w:rFonts w:ascii="Times New Roman" w:hAnsi="Times New Roman" w:cs="Times New Roman"/>
          <w:color w:val="EE0000"/>
          <w:sz w:val="26"/>
          <w:szCs w:val="26"/>
        </w:rPr>
        <w:t xml:space="preserve"> </w:t>
      </w:r>
      <w:r w:rsidRPr="00313E35">
        <w:rPr>
          <w:rFonts w:ascii="Times New Roman" w:hAnsi="Times New Roman" w:cs="Times New Roman"/>
          <w:sz w:val="26"/>
          <w:szCs w:val="26"/>
        </w:rPr>
        <w:t xml:space="preserve">Tuy nhiên, Hướng dẫn tạm thời về </w:t>
      </w:r>
      <w:r w:rsidRPr="00313E35">
        <w:rPr>
          <w:rFonts w:ascii="Times New Roman" w:hAnsi="Times New Roman" w:cs="Times New Roman"/>
          <w:sz w:val="26"/>
          <w:szCs w:val="26"/>
        </w:rPr>
        <w:t>huấn luyện</w:t>
      </w:r>
      <w:r w:rsidRPr="00313E35">
        <w:rPr>
          <w:rFonts w:ascii="Times New Roman" w:hAnsi="Times New Roman" w:cs="Times New Roman"/>
          <w:sz w:val="26"/>
          <w:szCs w:val="26"/>
        </w:rPr>
        <w:t xml:space="preserve"> thuyền viên trên tàu sử dụng nhiên liệu amoniac</w:t>
      </w:r>
      <w:r w:rsidRPr="00313E35">
        <w:rPr>
          <w:rFonts w:ascii="Times New Roman" w:hAnsi="Times New Roman" w:cs="Times New Roman"/>
          <w:b/>
          <w:bCs/>
          <w:sz w:val="26"/>
          <w:szCs w:val="26"/>
        </w:rPr>
        <w:t xml:space="preserve"> </w:t>
      </w:r>
      <w:r w:rsidRPr="00313E35">
        <w:rPr>
          <w:rFonts w:ascii="Times New Roman" w:hAnsi="Times New Roman" w:cs="Times New Roman"/>
          <w:sz w:val="26"/>
          <w:szCs w:val="26"/>
        </w:rPr>
        <w:t>(Interim Guidelines on Training for Seafarers on Ships Using Ammonia as Fuel), được Ban Thư ký IMO ban hành ngày 6/7, đã phần nào phá vỡ thông lệ đó.</w:t>
      </w:r>
    </w:p>
    <w:p w14:paraId="720D7F95" w14:textId="6A8E9B81" w:rsidR="00313E35" w:rsidRPr="00313E35" w:rsidRDefault="00313E35" w:rsidP="00313E35">
      <w:pPr>
        <w:spacing w:after="120"/>
        <w:jc w:val="both"/>
        <w:rPr>
          <w:rFonts w:ascii="Times New Roman" w:hAnsi="Times New Roman" w:cs="Times New Roman"/>
          <w:sz w:val="26"/>
          <w:szCs w:val="26"/>
        </w:rPr>
      </w:pPr>
      <w:r w:rsidRPr="00313E35">
        <w:rPr>
          <w:rFonts w:ascii="Times New Roman" w:hAnsi="Times New Roman" w:cs="Times New Roman"/>
          <w:sz w:val="26"/>
          <w:szCs w:val="26"/>
        </w:rPr>
        <w:t xml:space="preserve">Hiện nay, số lượng tàu sử dụng nhiên liệu amoniac trong sổ đặt đóng </w:t>
      </w:r>
      <w:r>
        <w:rPr>
          <w:rFonts w:ascii="Times New Roman" w:hAnsi="Times New Roman" w:cs="Times New Roman"/>
          <w:sz w:val="26"/>
          <w:szCs w:val="26"/>
        </w:rPr>
        <w:t xml:space="preserve">mới </w:t>
      </w:r>
      <w:r w:rsidRPr="00313E35">
        <w:rPr>
          <w:rFonts w:ascii="Times New Roman" w:hAnsi="Times New Roman" w:cs="Times New Roman"/>
          <w:sz w:val="26"/>
          <w:szCs w:val="26"/>
        </w:rPr>
        <w:t>vẫn còn rất hạn chế, cơ sở hạ tầng tiếp nhiên liệu tại phần lớn các cảng trên thế giới hầu như chưa được xây dựng, nhưng IMO đã sớm đưa ra định hướng cho các quốc gia thành viên về những kiến thức và năng lực mà một thuyền viên có năng lực phải có.</w:t>
      </w:r>
      <w:r>
        <w:rPr>
          <w:rFonts w:ascii="Times New Roman" w:hAnsi="Times New Roman" w:cs="Times New Roman"/>
          <w:sz w:val="26"/>
          <w:szCs w:val="26"/>
        </w:rPr>
        <w:t xml:space="preserve"> </w:t>
      </w:r>
      <w:r w:rsidRPr="00313E35">
        <w:rPr>
          <w:rFonts w:ascii="Times New Roman" w:hAnsi="Times New Roman" w:cs="Times New Roman"/>
          <w:sz w:val="26"/>
          <w:szCs w:val="26"/>
        </w:rPr>
        <w:t xml:space="preserve">Việc ban hành sớm như vậy có ý nghĩa đặc biệt quan trọng bởi </w:t>
      </w:r>
      <w:r w:rsidRPr="00313E35">
        <w:rPr>
          <w:rFonts w:ascii="Times New Roman" w:hAnsi="Times New Roman" w:cs="Times New Roman"/>
          <w:color w:val="EE0000"/>
          <w:sz w:val="26"/>
          <w:szCs w:val="26"/>
        </w:rPr>
        <w:t>amoniac không đơn thuần chỉ là "một loại nhiên liệu thay thế khác</w:t>
      </w:r>
      <w:r w:rsidRPr="00313E35">
        <w:rPr>
          <w:rFonts w:ascii="Times New Roman" w:hAnsi="Times New Roman" w:cs="Times New Roman"/>
          <w:b/>
          <w:bCs/>
          <w:sz w:val="26"/>
          <w:szCs w:val="26"/>
        </w:rPr>
        <w:t>"</w:t>
      </w:r>
      <w:r w:rsidRPr="00313E35">
        <w:rPr>
          <w:rFonts w:ascii="Times New Roman" w:hAnsi="Times New Roman" w:cs="Times New Roman"/>
          <w:sz w:val="26"/>
          <w:szCs w:val="26"/>
        </w:rPr>
        <w:t xml:space="preserve"> </w:t>
      </w:r>
      <w:r>
        <w:rPr>
          <w:rFonts w:ascii="Times New Roman" w:hAnsi="Times New Roman" w:cs="Times New Roman"/>
          <w:sz w:val="26"/>
          <w:szCs w:val="26"/>
        </w:rPr>
        <w:t xml:space="preserve">để </w:t>
      </w:r>
      <w:r w:rsidRPr="00313E35">
        <w:rPr>
          <w:rFonts w:ascii="Times New Roman" w:hAnsi="Times New Roman" w:cs="Times New Roman"/>
          <w:sz w:val="26"/>
          <w:szCs w:val="26"/>
        </w:rPr>
        <w:t xml:space="preserve">có thể </w:t>
      </w:r>
      <w:r>
        <w:rPr>
          <w:rFonts w:ascii="Times New Roman" w:hAnsi="Times New Roman" w:cs="Times New Roman"/>
          <w:sz w:val="26"/>
          <w:szCs w:val="26"/>
        </w:rPr>
        <w:t>được huấn luyện</w:t>
      </w:r>
      <w:r w:rsidRPr="00313E35">
        <w:rPr>
          <w:rFonts w:ascii="Times New Roman" w:hAnsi="Times New Roman" w:cs="Times New Roman"/>
          <w:sz w:val="26"/>
          <w:szCs w:val="26"/>
        </w:rPr>
        <w:t xml:space="preserve"> theo cách sao chép chương trình </w:t>
      </w:r>
      <w:r>
        <w:rPr>
          <w:rFonts w:ascii="Times New Roman" w:hAnsi="Times New Roman" w:cs="Times New Roman"/>
          <w:sz w:val="26"/>
          <w:szCs w:val="26"/>
        </w:rPr>
        <w:t xml:space="preserve">huấn luyện </w:t>
      </w:r>
      <w:r w:rsidRPr="00313E35">
        <w:rPr>
          <w:rFonts w:ascii="Times New Roman" w:hAnsi="Times New Roman" w:cs="Times New Roman"/>
          <w:sz w:val="26"/>
          <w:szCs w:val="26"/>
        </w:rPr>
        <w:t>dành cho LNG hoặc methanol.</w:t>
      </w:r>
    </w:p>
    <w:p w14:paraId="5748D6B1" w14:textId="77777777" w:rsidR="00313E35" w:rsidRDefault="00313E35" w:rsidP="00313E35">
      <w:pPr>
        <w:spacing w:after="0"/>
        <w:jc w:val="both"/>
        <w:rPr>
          <w:rFonts w:ascii="Times New Roman" w:hAnsi="Times New Roman" w:cs="Times New Roman"/>
          <w:b/>
          <w:bCs/>
          <w:sz w:val="26"/>
          <w:szCs w:val="26"/>
        </w:rPr>
      </w:pPr>
    </w:p>
    <w:p w14:paraId="5B4F454E" w14:textId="77777777" w:rsidR="0089472E" w:rsidRDefault="00313E35" w:rsidP="0089472E">
      <w:pPr>
        <w:spacing w:before="120" w:after="120"/>
        <w:jc w:val="both"/>
        <w:rPr>
          <w:rFonts w:ascii="Times New Roman" w:hAnsi="Times New Roman" w:cs="Times New Roman"/>
          <w:b/>
          <w:bCs/>
          <w:sz w:val="26"/>
          <w:szCs w:val="26"/>
        </w:rPr>
      </w:pPr>
      <w:r w:rsidRPr="00313E35">
        <w:drawing>
          <wp:inline distT="0" distB="0" distL="0" distR="0" wp14:anchorId="2FF2EE04" wp14:editId="15A1E15A">
            <wp:extent cx="5943600" cy="3394075"/>
            <wp:effectExtent l="0" t="0" r="0" b="0"/>
            <wp:docPr id="19541462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94075"/>
                    </a:xfrm>
                    <a:prstGeom prst="rect">
                      <a:avLst/>
                    </a:prstGeom>
                    <a:noFill/>
                    <a:ln>
                      <a:noFill/>
                    </a:ln>
                  </pic:spPr>
                </pic:pic>
              </a:graphicData>
            </a:graphic>
          </wp:inline>
        </w:drawing>
      </w:r>
    </w:p>
    <w:p w14:paraId="0AE479BC" w14:textId="6C574E95" w:rsidR="00313E35" w:rsidRPr="0089472E" w:rsidRDefault="00313E35" w:rsidP="0089472E">
      <w:pPr>
        <w:spacing w:before="240" w:after="120"/>
        <w:jc w:val="both"/>
        <w:rPr>
          <w:rFonts w:ascii="Times New Roman" w:hAnsi="Times New Roman" w:cs="Times New Roman"/>
          <w:b/>
          <w:bCs/>
          <w:color w:val="EE0000"/>
          <w:sz w:val="26"/>
          <w:szCs w:val="26"/>
        </w:rPr>
      </w:pPr>
      <w:r w:rsidRPr="0089472E">
        <w:rPr>
          <w:rFonts w:ascii="Times New Roman" w:hAnsi="Times New Roman" w:cs="Times New Roman"/>
          <w:b/>
          <w:bCs/>
          <w:color w:val="EE0000"/>
          <w:sz w:val="26"/>
          <w:szCs w:val="26"/>
        </w:rPr>
        <w:t xml:space="preserve">Mối nguy </w:t>
      </w:r>
      <w:r w:rsidR="0089472E" w:rsidRPr="0089472E">
        <w:rPr>
          <w:rFonts w:ascii="Times New Roman" w:hAnsi="Times New Roman" w:cs="Times New Roman"/>
          <w:b/>
          <w:bCs/>
          <w:color w:val="EE0000"/>
          <w:sz w:val="26"/>
          <w:szCs w:val="26"/>
        </w:rPr>
        <w:t xml:space="preserve">hiểm </w:t>
      </w:r>
      <w:r w:rsidRPr="0089472E">
        <w:rPr>
          <w:rFonts w:ascii="Times New Roman" w:hAnsi="Times New Roman" w:cs="Times New Roman"/>
          <w:b/>
          <w:bCs/>
          <w:color w:val="EE0000"/>
          <w:sz w:val="26"/>
          <w:szCs w:val="26"/>
        </w:rPr>
        <w:t>đặc trưng của amoniac là độc tính</w:t>
      </w:r>
      <w:r w:rsidR="0089472E" w:rsidRPr="0089472E">
        <w:rPr>
          <w:rFonts w:ascii="Times New Roman" w:hAnsi="Times New Roman" w:cs="Times New Roman"/>
          <w:b/>
          <w:bCs/>
          <w:color w:val="EE0000"/>
          <w:sz w:val="26"/>
          <w:szCs w:val="26"/>
        </w:rPr>
        <w:t xml:space="preserve"> chứ</w:t>
      </w:r>
      <w:r w:rsidRPr="0089472E">
        <w:rPr>
          <w:rFonts w:ascii="Times New Roman" w:hAnsi="Times New Roman" w:cs="Times New Roman"/>
          <w:b/>
          <w:bCs/>
          <w:color w:val="EE0000"/>
          <w:sz w:val="26"/>
          <w:szCs w:val="26"/>
        </w:rPr>
        <w:t xml:space="preserve"> không phải cháy</w:t>
      </w:r>
      <w:r w:rsidR="0089472E" w:rsidRPr="0089472E">
        <w:rPr>
          <w:rFonts w:ascii="Times New Roman" w:hAnsi="Times New Roman" w:cs="Times New Roman"/>
          <w:b/>
          <w:bCs/>
          <w:color w:val="EE0000"/>
          <w:sz w:val="26"/>
          <w:szCs w:val="26"/>
        </w:rPr>
        <w:t xml:space="preserve"> nổ</w:t>
      </w:r>
    </w:p>
    <w:p w14:paraId="714D3ECF" w14:textId="04561C05" w:rsidR="00313E35" w:rsidRDefault="00313E35" w:rsidP="0089472E">
      <w:pPr>
        <w:tabs>
          <w:tab w:val="num" w:pos="720"/>
        </w:tabs>
        <w:spacing w:after="120"/>
        <w:jc w:val="both"/>
        <w:rPr>
          <w:rFonts w:ascii="Times New Roman" w:hAnsi="Times New Roman" w:cs="Times New Roman"/>
          <w:color w:val="EE0000"/>
          <w:sz w:val="26"/>
          <w:szCs w:val="26"/>
        </w:rPr>
      </w:pPr>
      <w:r w:rsidRPr="00313E35">
        <w:rPr>
          <w:rFonts w:ascii="Times New Roman" w:hAnsi="Times New Roman" w:cs="Times New Roman"/>
          <w:sz w:val="26"/>
          <w:szCs w:val="26"/>
        </w:rPr>
        <w:t xml:space="preserve">Điểm khác biệt lớn nhất của amoniac là </w:t>
      </w:r>
      <w:r w:rsidRPr="0089472E">
        <w:rPr>
          <w:rFonts w:ascii="Times New Roman" w:hAnsi="Times New Roman" w:cs="Times New Roman"/>
          <w:sz w:val="26"/>
          <w:szCs w:val="26"/>
        </w:rPr>
        <w:t xml:space="preserve">mối nguy </w:t>
      </w:r>
      <w:r w:rsidR="0089472E" w:rsidRPr="0089472E">
        <w:rPr>
          <w:rFonts w:ascii="Times New Roman" w:hAnsi="Times New Roman" w:cs="Times New Roman"/>
          <w:sz w:val="26"/>
          <w:szCs w:val="26"/>
        </w:rPr>
        <w:t xml:space="preserve">hiểm </w:t>
      </w:r>
      <w:r w:rsidRPr="0089472E">
        <w:rPr>
          <w:rFonts w:ascii="Times New Roman" w:hAnsi="Times New Roman" w:cs="Times New Roman"/>
          <w:sz w:val="26"/>
          <w:szCs w:val="26"/>
        </w:rPr>
        <w:t>chính không phải khả năng cháy mà là độc tính cực cao.</w:t>
      </w:r>
      <w:r w:rsidR="0089472E">
        <w:rPr>
          <w:rFonts w:ascii="Times New Roman" w:hAnsi="Times New Roman" w:cs="Times New Roman"/>
          <w:sz w:val="26"/>
          <w:szCs w:val="26"/>
        </w:rPr>
        <w:t xml:space="preserve"> </w:t>
      </w:r>
      <w:r w:rsidRPr="00313E35">
        <w:rPr>
          <w:rFonts w:ascii="Times New Roman" w:hAnsi="Times New Roman" w:cs="Times New Roman"/>
          <w:sz w:val="26"/>
          <w:szCs w:val="26"/>
        </w:rPr>
        <w:t>Amoniac là</w:t>
      </w:r>
      <w:r w:rsidR="0089472E">
        <w:rPr>
          <w:rFonts w:ascii="Times New Roman" w:hAnsi="Times New Roman" w:cs="Times New Roman"/>
          <w:sz w:val="26"/>
          <w:szCs w:val="26"/>
        </w:rPr>
        <w:t xml:space="preserve"> loại k</w:t>
      </w:r>
      <w:r w:rsidRPr="00313E35">
        <w:rPr>
          <w:rFonts w:ascii="Times New Roman" w:hAnsi="Times New Roman" w:cs="Times New Roman"/>
          <w:sz w:val="26"/>
          <w:szCs w:val="26"/>
        </w:rPr>
        <w:t>hí không màu</w:t>
      </w:r>
      <w:r w:rsidR="0089472E">
        <w:rPr>
          <w:rFonts w:ascii="Times New Roman" w:hAnsi="Times New Roman" w:cs="Times New Roman"/>
          <w:sz w:val="26"/>
          <w:szCs w:val="26"/>
        </w:rPr>
        <w:t>, c</w:t>
      </w:r>
      <w:r w:rsidRPr="00313E35">
        <w:rPr>
          <w:rFonts w:ascii="Times New Roman" w:hAnsi="Times New Roman" w:cs="Times New Roman"/>
          <w:sz w:val="26"/>
          <w:szCs w:val="26"/>
        </w:rPr>
        <w:t>ó thể gây tử vong ở nồng độ thấp hơn rất nhiều so với ngưỡng mà con người có thể chịu được bằng khứu giác trong thời gian dài</w:t>
      </w:r>
      <w:r w:rsidR="0089472E">
        <w:rPr>
          <w:rFonts w:ascii="Times New Roman" w:hAnsi="Times New Roman" w:cs="Times New Roman"/>
          <w:sz w:val="26"/>
          <w:szCs w:val="26"/>
        </w:rPr>
        <w:t>, c</w:t>
      </w:r>
      <w:r w:rsidRPr="00313E35">
        <w:rPr>
          <w:rFonts w:ascii="Times New Roman" w:hAnsi="Times New Roman" w:cs="Times New Roman"/>
          <w:sz w:val="26"/>
          <w:szCs w:val="26"/>
        </w:rPr>
        <w:t>ó tính ăn mòn đối với mô cơ thể và một số hợp kim kim loại</w:t>
      </w:r>
      <w:r w:rsidR="0089472E">
        <w:rPr>
          <w:rFonts w:ascii="Times New Roman" w:hAnsi="Times New Roman" w:cs="Times New Roman"/>
          <w:sz w:val="26"/>
          <w:szCs w:val="26"/>
        </w:rPr>
        <w:t>, đ</w:t>
      </w:r>
      <w:r w:rsidRPr="00313E35">
        <w:rPr>
          <w:rFonts w:ascii="Times New Roman" w:hAnsi="Times New Roman" w:cs="Times New Roman"/>
          <w:sz w:val="26"/>
          <w:szCs w:val="26"/>
        </w:rPr>
        <w:t xml:space="preserve">ồng thời vẫn mang các </w:t>
      </w:r>
      <w:r w:rsidR="0089472E">
        <w:rPr>
          <w:rFonts w:ascii="Times New Roman" w:hAnsi="Times New Roman" w:cs="Times New Roman"/>
          <w:sz w:val="26"/>
          <w:szCs w:val="26"/>
        </w:rPr>
        <w:t xml:space="preserve">mối </w:t>
      </w:r>
      <w:r w:rsidRPr="00313E35">
        <w:rPr>
          <w:rFonts w:ascii="Times New Roman" w:hAnsi="Times New Roman" w:cs="Times New Roman"/>
          <w:sz w:val="26"/>
          <w:szCs w:val="26"/>
        </w:rPr>
        <w:t xml:space="preserve">nguy </w:t>
      </w:r>
      <w:r w:rsidR="0089472E">
        <w:rPr>
          <w:rFonts w:ascii="Times New Roman" w:hAnsi="Times New Roman" w:cs="Times New Roman"/>
          <w:sz w:val="26"/>
          <w:szCs w:val="26"/>
        </w:rPr>
        <w:t>hiểm</w:t>
      </w:r>
      <w:r w:rsidRPr="00313E35">
        <w:rPr>
          <w:rFonts w:ascii="Times New Roman" w:hAnsi="Times New Roman" w:cs="Times New Roman"/>
          <w:sz w:val="26"/>
          <w:szCs w:val="26"/>
        </w:rPr>
        <w:t xml:space="preserve"> về nhiệt độ cực thấp và áp suất cao giống như các loại khí hóa lỏng khác. Điều đó có nghĩa là </w:t>
      </w:r>
      <w:r w:rsidRPr="0089472E">
        <w:rPr>
          <w:rFonts w:ascii="Times New Roman" w:hAnsi="Times New Roman" w:cs="Times New Roman"/>
          <w:color w:val="EE0000"/>
          <w:sz w:val="26"/>
          <w:szCs w:val="26"/>
        </w:rPr>
        <w:t xml:space="preserve">một thuyền viên rất thành thạo trong việc xử lý </w:t>
      </w:r>
      <w:r w:rsidR="0089472E">
        <w:rPr>
          <w:rFonts w:ascii="Times New Roman" w:hAnsi="Times New Roman" w:cs="Times New Roman"/>
          <w:color w:val="EE0000"/>
          <w:sz w:val="26"/>
          <w:szCs w:val="26"/>
        </w:rPr>
        <w:t>rủi ro</w:t>
      </w:r>
      <w:r w:rsidRPr="0089472E">
        <w:rPr>
          <w:rFonts w:ascii="Times New Roman" w:hAnsi="Times New Roman" w:cs="Times New Roman"/>
          <w:color w:val="EE0000"/>
          <w:sz w:val="26"/>
          <w:szCs w:val="26"/>
        </w:rPr>
        <w:t xml:space="preserve"> cháy nổ của khí mê-tan (methane) vẫn có thể hoàn toàn không được chuẩn bị đầy đủ trước một đám mây hơi amoniac lan trên boong tàu.</w:t>
      </w:r>
    </w:p>
    <w:p w14:paraId="4E547AE6" w14:textId="2FCC9FF2" w:rsidR="0089472E" w:rsidRPr="0089472E" w:rsidRDefault="0089472E" w:rsidP="0089472E">
      <w:pPr>
        <w:tabs>
          <w:tab w:val="num" w:pos="720"/>
        </w:tabs>
        <w:spacing w:after="120"/>
        <w:jc w:val="center"/>
        <w:rPr>
          <w:rFonts w:ascii="Times New Roman" w:hAnsi="Times New Roman" w:cs="Times New Roman"/>
          <w:color w:val="EE0000"/>
          <w:sz w:val="26"/>
          <w:szCs w:val="26"/>
        </w:rPr>
      </w:pPr>
      <w:r w:rsidRPr="00313E35">
        <w:drawing>
          <wp:inline distT="0" distB="0" distL="0" distR="0" wp14:anchorId="5820E27A" wp14:editId="72758784">
            <wp:extent cx="5943600" cy="913765"/>
            <wp:effectExtent l="0" t="0" r="0" b="635"/>
            <wp:docPr id="17591010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1068" cy="914913"/>
                    </a:xfrm>
                    <a:prstGeom prst="rect">
                      <a:avLst/>
                    </a:prstGeom>
                    <a:noFill/>
                    <a:ln>
                      <a:noFill/>
                    </a:ln>
                  </pic:spPr>
                </pic:pic>
              </a:graphicData>
            </a:graphic>
          </wp:inline>
        </w:drawing>
      </w:r>
    </w:p>
    <w:p w14:paraId="3B6F7526" w14:textId="0E16E05D" w:rsidR="00313E35" w:rsidRPr="00313E35" w:rsidRDefault="00313E35" w:rsidP="0089472E">
      <w:pPr>
        <w:spacing w:after="120"/>
        <w:jc w:val="both"/>
        <w:rPr>
          <w:rFonts w:ascii="Times New Roman" w:hAnsi="Times New Roman" w:cs="Times New Roman"/>
          <w:b/>
          <w:bCs/>
          <w:sz w:val="26"/>
          <w:szCs w:val="26"/>
        </w:rPr>
      </w:pPr>
      <w:r w:rsidRPr="00313E35">
        <w:rPr>
          <w:rFonts w:ascii="Times New Roman" w:hAnsi="Times New Roman" w:cs="Times New Roman"/>
          <w:b/>
          <w:bCs/>
          <w:sz w:val="26"/>
          <w:szCs w:val="26"/>
        </w:rPr>
        <w:t xml:space="preserve">Một </w:t>
      </w:r>
      <w:r w:rsidR="0089472E">
        <w:rPr>
          <w:rFonts w:ascii="Times New Roman" w:hAnsi="Times New Roman" w:cs="Times New Roman"/>
          <w:b/>
          <w:bCs/>
          <w:sz w:val="26"/>
          <w:szCs w:val="26"/>
        </w:rPr>
        <w:t xml:space="preserve">hướng dẫn có </w:t>
      </w:r>
      <w:r w:rsidRPr="00313E35">
        <w:rPr>
          <w:rFonts w:ascii="Times New Roman" w:hAnsi="Times New Roman" w:cs="Times New Roman"/>
          <w:b/>
          <w:bCs/>
          <w:sz w:val="26"/>
          <w:szCs w:val="26"/>
        </w:rPr>
        <w:t>cấu trúc hợp lý và có chủ đích</w:t>
      </w:r>
    </w:p>
    <w:p w14:paraId="6F81F1F5" w14:textId="43950A40" w:rsidR="00313E35" w:rsidRPr="00313E35" w:rsidRDefault="00313E35" w:rsidP="00313E35">
      <w:pPr>
        <w:spacing w:after="0"/>
        <w:jc w:val="both"/>
        <w:rPr>
          <w:rFonts w:ascii="Times New Roman" w:hAnsi="Times New Roman" w:cs="Times New Roman"/>
          <w:sz w:val="26"/>
          <w:szCs w:val="26"/>
        </w:rPr>
      </w:pPr>
      <w:r w:rsidRPr="00313E35">
        <w:rPr>
          <w:rFonts w:ascii="Times New Roman" w:hAnsi="Times New Roman" w:cs="Times New Roman"/>
          <w:sz w:val="26"/>
          <w:szCs w:val="26"/>
        </w:rPr>
        <w:t>Điểm đáng ghi nhận là Hướng dẫn</w:t>
      </w:r>
      <w:r w:rsidR="0089472E">
        <w:rPr>
          <w:rFonts w:ascii="Times New Roman" w:hAnsi="Times New Roman" w:cs="Times New Roman"/>
          <w:sz w:val="26"/>
          <w:szCs w:val="26"/>
        </w:rPr>
        <w:t xml:space="preserve"> này</w:t>
      </w:r>
      <w:r w:rsidRPr="00313E35">
        <w:rPr>
          <w:rFonts w:ascii="Times New Roman" w:hAnsi="Times New Roman" w:cs="Times New Roman"/>
          <w:sz w:val="26"/>
          <w:szCs w:val="26"/>
        </w:rPr>
        <w:t xml:space="preserve"> </w:t>
      </w:r>
      <w:r w:rsidRPr="0089472E">
        <w:rPr>
          <w:rFonts w:ascii="Times New Roman" w:hAnsi="Times New Roman" w:cs="Times New Roman"/>
          <w:sz w:val="26"/>
          <w:szCs w:val="26"/>
        </w:rPr>
        <w:t>không cố gắng trở thành một bộ luật độc lập</w:t>
      </w:r>
      <w:r w:rsidRPr="00313E35">
        <w:rPr>
          <w:rFonts w:ascii="Times New Roman" w:hAnsi="Times New Roman" w:cs="Times New Roman"/>
          <w:sz w:val="26"/>
          <w:szCs w:val="26"/>
        </w:rPr>
        <w:t>.</w:t>
      </w:r>
      <w:r w:rsidR="0089472E">
        <w:rPr>
          <w:rFonts w:ascii="Times New Roman" w:hAnsi="Times New Roman" w:cs="Times New Roman"/>
          <w:sz w:val="26"/>
          <w:szCs w:val="26"/>
        </w:rPr>
        <w:t xml:space="preserve"> </w:t>
      </w:r>
      <w:r w:rsidRPr="00313E35">
        <w:rPr>
          <w:rFonts w:ascii="Times New Roman" w:hAnsi="Times New Roman" w:cs="Times New Roman"/>
          <w:sz w:val="26"/>
          <w:szCs w:val="26"/>
        </w:rPr>
        <w:t>Thay vào đó, Hướng dẫn được xây dựng dựa trên khuôn khổ chung đã được quy định trong:</w:t>
      </w:r>
    </w:p>
    <w:p w14:paraId="672C342B" w14:textId="3F5D76B0" w:rsidR="00313E35" w:rsidRPr="00313E35" w:rsidRDefault="00313E35" w:rsidP="00313E35">
      <w:pPr>
        <w:numPr>
          <w:ilvl w:val="0"/>
          <w:numId w:val="2"/>
        </w:numPr>
        <w:spacing w:after="0"/>
        <w:jc w:val="both"/>
        <w:rPr>
          <w:rFonts w:ascii="Times New Roman" w:hAnsi="Times New Roman" w:cs="Times New Roman"/>
          <w:sz w:val="26"/>
          <w:szCs w:val="26"/>
        </w:rPr>
      </w:pPr>
      <w:r w:rsidRPr="0089472E">
        <w:rPr>
          <w:rFonts w:ascii="Times New Roman" w:hAnsi="Times New Roman" w:cs="Times New Roman"/>
          <w:sz w:val="26"/>
          <w:szCs w:val="26"/>
        </w:rPr>
        <w:t>STCW.7/Circ.25</w:t>
      </w:r>
      <w:r w:rsidRPr="00313E35">
        <w:rPr>
          <w:rFonts w:ascii="Times New Roman" w:hAnsi="Times New Roman" w:cs="Times New Roman"/>
          <w:sz w:val="26"/>
          <w:szCs w:val="26"/>
        </w:rPr>
        <w:t xml:space="preserve"> về </w:t>
      </w:r>
      <w:r w:rsidR="0089472E">
        <w:rPr>
          <w:rFonts w:ascii="Times New Roman" w:hAnsi="Times New Roman" w:cs="Times New Roman"/>
          <w:sz w:val="26"/>
          <w:szCs w:val="26"/>
        </w:rPr>
        <w:t>huấn luyện thuyền viên sử dụng</w:t>
      </w:r>
      <w:r w:rsidRPr="00313E35">
        <w:rPr>
          <w:rFonts w:ascii="Times New Roman" w:hAnsi="Times New Roman" w:cs="Times New Roman"/>
          <w:sz w:val="26"/>
          <w:szCs w:val="26"/>
        </w:rPr>
        <w:t xml:space="preserve"> nhiên liệu thay thế; </w:t>
      </w:r>
    </w:p>
    <w:p w14:paraId="25DA52AE" w14:textId="14B2426A" w:rsidR="00313E35" w:rsidRPr="00313E35" w:rsidRDefault="00313E35" w:rsidP="0089472E">
      <w:pPr>
        <w:numPr>
          <w:ilvl w:val="0"/>
          <w:numId w:val="2"/>
        </w:numPr>
        <w:spacing w:after="120"/>
        <w:jc w:val="both"/>
        <w:rPr>
          <w:rFonts w:ascii="Times New Roman" w:hAnsi="Times New Roman" w:cs="Times New Roman"/>
          <w:sz w:val="26"/>
          <w:szCs w:val="26"/>
        </w:rPr>
      </w:pPr>
      <w:r w:rsidRPr="0089472E">
        <w:rPr>
          <w:rFonts w:ascii="Times New Roman" w:hAnsi="Times New Roman" w:cs="Times New Roman"/>
          <w:sz w:val="26"/>
          <w:szCs w:val="26"/>
        </w:rPr>
        <w:t>MSC.1/Circ.1687</w:t>
      </w:r>
      <w:r w:rsidRPr="00313E35">
        <w:rPr>
          <w:rFonts w:ascii="Times New Roman" w:hAnsi="Times New Roman" w:cs="Times New Roman"/>
          <w:sz w:val="26"/>
          <w:szCs w:val="26"/>
        </w:rPr>
        <w:t xml:space="preserve"> về các </w:t>
      </w:r>
      <w:r w:rsidR="0089472E">
        <w:rPr>
          <w:rFonts w:ascii="Times New Roman" w:hAnsi="Times New Roman" w:cs="Times New Roman"/>
          <w:sz w:val="26"/>
          <w:szCs w:val="26"/>
        </w:rPr>
        <w:t>quy định về</w:t>
      </w:r>
      <w:r w:rsidRPr="00313E35">
        <w:rPr>
          <w:rFonts w:ascii="Times New Roman" w:hAnsi="Times New Roman" w:cs="Times New Roman"/>
          <w:sz w:val="26"/>
          <w:szCs w:val="26"/>
        </w:rPr>
        <w:t xml:space="preserve"> an toàn đối với tàu sử dụng nhiên liệu amoniac. </w:t>
      </w:r>
    </w:p>
    <w:p w14:paraId="4F7E5722" w14:textId="01A63629" w:rsidR="00313E35" w:rsidRPr="00313E35" w:rsidRDefault="00313E35" w:rsidP="00313E35">
      <w:pPr>
        <w:spacing w:after="0"/>
        <w:jc w:val="both"/>
        <w:rPr>
          <w:rFonts w:ascii="Times New Roman" w:hAnsi="Times New Roman" w:cs="Times New Roman"/>
          <w:sz w:val="26"/>
          <w:szCs w:val="26"/>
        </w:rPr>
      </w:pPr>
      <w:r w:rsidRPr="00313E35">
        <w:rPr>
          <w:rFonts w:ascii="Times New Roman" w:hAnsi="Times New Roman" w:cs="Times New Roman"/>
          <w:sz w:val="26"/>
          <w:szCs w:val="26"/>
        </w:rPr>
        <w:t xml:space="preserve">Hướng dẫn </w:t>
      </w:r>
      <w:r w:rsidR="0089472E">
        <w:rPr>
          <w:rFonts w:ascii="Times New Roman" w:hAnsi="Times New Roman" w:cs="Times New Roman"/>
          <w:sz w:val="26"/>
          <w:szCs w:val="26"/>
        </w:rPr>
        <w:t xml:space="preserve">này </w:t>
      </w:r>
      <w:r w:rsidRPr="00313E35">
        <w:rPr>
          <w:rFonts w:ascii="Times New Roman" w:hAnsi="Times New Roman" w:cs="Times New Roman"/>
          <w:sz w:val="26"/>
          <w:szCs w:val="26"/>
        </w:rPr>
        <w:t xml:space="preserve">chỉ bổ sung </w:t>
      </w:r>
      <w:r w:rsidRPr="0089472E">
        <w:rPr>
          <w:rFonts w:ascii="Times New Roman" w:hAnsi="Times New Roman" w:cs="Times New Roman"/>
          <w:sz w:val="26"/>
          <w:szCs w:val="26"/>
        </w:rPr>
        <w:t>những kiến thức, hiểu biết và năng lực đặc thù của amoniac</w:t>
      </w:r>
      <w:r w:rsidRPr="00313E35">
        <w:rPr>
          <w:rFonts w:ascii="Times New Roman" w:hAnsi="Times New Roman" w:cs="Times New Roman"/>
          <w:sz w:val="26"/>
          <w:szCs w:val="26"/>
        </w:rPr>
        <w:t>.</w:t>
      </w:r>
      <w:r w:rsidR="0089472E">
        <w:rPr>
          <w:rFonts w:ascii="Times New Roman" w:hAnsi="Times New Roman" w:cs="Times New Roman"/>
          <w:sz w:val="26"/>
          <w:szCs w:val="26"/>
        </w:rPr>
        <w:t xml:space="preserve"> </w:t>
      </w:r>
      <w:r w:rsidRPr="00313E35">
        <w:rPr>
          <w:rFonts w:ascii="Times New Roman" w:hAnsi="Times New Roman" w:cs="Times New Roman"/>
          <w:sz w:val="26"/>
          <w:szCs w:val="26"/>
        </w:rPr>
        <w:t xml:space="preserve">Cấu trúc </w:t>
      </w:r>
      <w:r w:rsidR="0089472E">
        <w:rPr>
          <w:rFonts w:ascii="Times New Roman" w:hAnsi="Times New Roman" w:cs="Times New Roman"/>
          <w:sz w:val="26"/>
          <w:szCs w:val="26"/>
        </w:rPr>
        <w:t>huấn luyện</w:t>
      </w:r>
      <w:r w:rsidRPr="00313E35">
        <w:rPr>
          <w:rFonts w:ascii="Times New Roman" w:hAnsi="Times New Roman" w:cs="Times New Roman"/>
          <w:sz w:val="26"/>
          <w:szCs w:val="26"/>
        </w:rPr>
        <w:t xml:space="preserve"> gồm </w:t>
      </w:r>
      <w:r w:rsidRPr="0089472E">
        <w:rPr>
          <w:rFonts w:ascii="Times New Roman" w:hAnsi="Times New Roman" w:cs="Times New Roman"/>
          <w:sz w:val="26"/>
          <w:szCs w:val="26"/>
        </w:rPr>
        <w:t>hai cấp độ</w:t>
      </w:r>
      <w:r w:rsidRPr="00313E35">
        <w:rPr>
          <w:rFonts w:ascii="Times New Roman" w:hAnsi="Times New Roman" w:cs="Times New Roman"/>
          <w:sz w:val="26"/>
          <w:szCs w:val="26"/>
        </w:rPr>
        <w:t xml:space="preserve"> cũng được đánh giá là hợp lý:</w:t>
      </w:r>
    </w:p>
    <w:p w14:paraId="3CE19835" w14:textId="71FDC89C" w:rsidR="00313E35" w:rsidRPr="00313E35" w:rsidRDefault="0089472E" w:rsidP="00313E35">
      <w:pPr>
        <w:spacing w:after="0"/>
        <w:jc w:val="both"/>
        <w:rPr>
          <w:rFonts w:ascii="Times New Roman" w:hAnsi="Times New Roman" w:cs="Times New Roman"/>
          <w:b/>
          <w:bCs/>
          <w:sz w:val="26"/>
          <w:szCs w:val="26"/>
        </w:rPr>
      </w:pPr>
      <w:r>
        <w:rPr>
          <w:rFonts w:ascii="Times New Roman" w:hAnsi="Times New Roman" w:cs="Times New Roman"/>
          <w:b/>
          <w:bCs/>
          <w:sz w:val="26"/>
          <w:szCs w:val="26"/>
        </w:rPr>
        <w:lastRenderedPageBreak/>
        <w:t>Huấn luyện</w:t>
      </w:r>
      <w:r w:rsidR="00313E35" w:rsidRPr="00313E35">
        <w:rPr>
          <w:rFonts w:ascii="Times New Roman" w:hAnsi="Times New Roman" w:cs="Times New Roman"/>
          <w:b/>
          <w:bCs/>
          <w:sz w:val="26"/>
          <w:szCs w:val="26"/>
        </w:rPr>
        <w:t xml:space="preserve"> cơ bản</w:t>
      </w:r>
    </w:p>
    <w:p w14:paraId="47276346" w14:textId="00D5081B" w:rsidR="00313E35" w:rsidRPr="00313E35" w:rsidRDefault="00313E35" w:rsidP="00313E35">
      <w:pPr>
        <w:spacing w:after="0"/>
        <w:jc w:val="both"/>
        <w:rPr>
          <w:rFonts w:ascii="Times New Roman" w:hAnsi="Times New Roman" w:cs="Times New Roman"/>
          <w:sz w:val="26"/>
          <w:szCs w:val="26"/>
        </w:rPr>
      </w:pPr>
      <w:r w:rsidRPr="00313E35">
        <w:rPr>
          <w:rFonts w:ascii="Times New Roman" w:hAnsi="Times New Roman" w:cs="Times New Roman"/>
          <w:sz w:val="26"/>
          <w:szCs w:val="26"/>
        </w:rPr>
        <w:t>Áp dụng đối với mọi thuyền viên được giao nhiệm vụ liên quan đến an toàn của hệ thống nhiên liệu.</w:t>
      </w:r>
      <w:r w:rsidR="0089472E">
        <w:rPr>
          <w:rFonts w:ascii="Times New Roman" w:hAnsi="Times New Roman" w:cs="Times New Roman"/>
          <w:sz w:val="26"/>
          <w:szCs w:val="26"/>
        </w:rPr>
        <w:t xml:space="preserve"> </w:t>
      </w:r>
      <w:r w:rsidRPr="00313E35">
        <w:rPr>
          <w:rFonts w:ascii="Times New Roman" w:hAnsi="Times New Roman" w:cs="Times New Roman"/>
          <w:sz w:val="26"/>
          <w:szCs w:val="26"/>
        </w:rPr>
        <w:t>Nội dung</w:t>
      </w:r>
      <w:r w:rsidR="0089472E">
        <w:rPr>
          <w:rFonts w:ascii="Times New Roman" w:hAnsi="Times New Roman" w:cs="Times New Roman"/>
          <w:sz w:val="26"/>
          <w:szCs w:val="26"/>
        </w:rPr>
        <w:t>của khóa huấn luyện này</w:t>
      </w:r>
      <w:r w:rsidRPr="00313E35">
        <w:rPr>
          <w:rFonts w:ascii="Times New Roman" w:hAnsi="Times New Roman" w:cs="Times New Roman"/>
          <w:sz w:val="26"/>
          <w:szCs w:val="26"/>
        </w:rPr>
        <w:t xml:space="preserve"> tập trung vào:</w:t>
      </w:r>
    </w:p>
    <w:p w14:paraId="4D18535D" w14:textId="0C9174A8" w:rsidR="00313E35" w:rsidRPr="00313E35" w:rsidRDefault="00313E35" w:rsidP="00313E35">
      <w:pPr>
        <w:numPr>
          <w:ilvl w:val="0"/>
          <w:numId w:val="3"/>
        </w:numPr>
        <w:spacing w:after="0"/>
        <w:jc w:val="both"/>
        <w:rPr>
          <w:rFonts w:ascii="Times New Roman" w:hAnsi="Times New Roman" w:cs="Times New Roman"/>
          <w:sz w:val="26"/>
          <w:szCs w:val="26"/>
        </w:rPr>
      </w:pPr>
      <w:r w:rsidRPr="00313E35">
        <w:rPr>
          <w:rFonts w:ascii="Times New Roman" w:hAnsi="Times New Roman" w:cs="Times New Roman"/>
          <w:sz w:val="26"/>
          <w:szCs w:val="26"/>
        </w:rPr>
        <w:t>Nhận diện mối nguy</w:t>
      </w:r>
      <w:r w:rsidR="0089472E">
        <w:rPr>
          <w:rFonts w:ascii="Times New Roman" w:hAnsi="Times New Roman" w:cs="Times New Roman"/>
          <w:sz w:val="26"/>
          <w:szCs w:val="26"/>
        </w:rPr>
        <w:t xml:space="preserve"> hiểm</w:t>
      </w:r>
      <w:r w:rsidRPr="00313E35">
        <w:rPr>
          <w:rFonts w:ascii="Times New Roman" w:hAnsi="Times New Roman" w:cs="Times New Roman"/>
          <w:sz w:val="26"/>
          <w:szCs w:val="26"/>
        </w:rPr>
        <w:t xml:space="preserve">; </w:t>
      </w:r>
    </w:p>
    <w:p w14:paraId="3942F5F2" w14:textId="1AACA1E7" w:rsidR="00313E35" w:rsidRPr="00313E35" w:rsidRDefault="00313E35" w:rsidP="00313E35">
      <w:pPr>
        <w:numPr>
          <w:ilvl w:val="0"/>
          <w:numId w:val="3"/>
        </w:numPr>
        <w:spacing w:after="0"/>
        <w:jc w:val="both"/>
        <w:rPr>
          <w:rFonts w:ascii="Times New Roman" w:hAnsi="Times New Roman" w:cs="Times New Roman"/>
          <w:sz w:val="26"/>
          <w:szCs w:val="26"/>
        </w:rPr>
      </w:pPr>
      <w:r w:rsidRPr="00313E35">
        <w:rPr>
          <w:rFonts w:ascii="Times New Roman" w:hAnsi="Times New Roman" w:cs="Times New Roman"/>
          <w:sz w:val="26"/>
          <w:szCs w:val="26"/>
        </w:rPr>
        <w:t xml:space="preserve">Sử dụng </w:t>
      </w:r>
      <w:r w:rsidR="0089472E">
        <w:rPr>
          <w:rFonts w:ascii="Times New Roman" w:hAnsi="Times New Roman" w:cs="Times New Roman"/>
          <w:sz w:val="26"/>
          <w:szCs w:val="26"/>
        </w:rPr>
        <w:t xml:space="preserve">các </w:t>
      </w:r>
      <w:r w:rsidRPr="00313E35">
        <w:rPr>
          <w:rFonts w:ascii="Times New Roman" w:hAnsi="Times New Roman" w:cs="Times New Roman"/>
          <w:sz w:val="26"/>
          <w:szCs w:val="26"/>
        </w:rPr>
        <w:t xml:space="preserve">phương tiện bảo vệ cá nhân (PPE); </w:t>
      </w:r>
    </w:p>
    <w:p w14:paraId="58E2129D" w14:textId="77777777" w:rsidR="00313E35" w:rsidRPr="00313E35" w:rsidRDefault="00313E35" w:rsidP="00313E35">
      <w:pPr>
        <w:numPr>
          <w:ilvl w:val="0"/>
          <w:numId w:val="3"/>
        </w:numPr>
        <w:spacing w:after="0"/>
        <w:jc w:val="both"/>
        <w:rPr>
          <w:rFonts w:ascii="Times New Roman" w:hAnsi="Times New Roman" w:cs="Times New Roman"/>
          <w:sz w:val="26"/>
          <w:szCs w:val="26"/>
        </w:rPr>
      </w:pPr>
      <w:r w:rsidRPr="00313E35">
        <w:rPr>
          <w:rFonts w:ascii="Times New Roman" w:hAnsi="Times New Roman" w:cs="Times New Roman"/>
          <w:sz w:val="26"/>
          <w:szCs w:val="26"/>
        </w:rPr>
        <w:t xml:space="preserve">Sơ cứu; </w:t>
      </w:r>
    </w:p>
    <w:p w14:paraId="73F0F8BC" w14:textId="76F57639" w:rsidR="00313E35" w:rsidRPr="00313E35" w:rsidRDefault="00313E35" w:rsidP="00313E35">
      <w:pPr>
        <w:numPr>
          <w:ilvl w:val="0"/>
          <w:numId w:val="3"/>
        </w:numPr>
        <w:spacing w:after="0"/>
        <w:jc w:val="both"/>
        <w:rPr>
          <w:rFonts w:ascii="Times New Roman" w:hAnsi="Times New Roman" w:cs="Times New Roman"/>
          <w:sz w:val="26"/>
          <w:szCs w:val="26"/>
        </w:rPr>
      </w:pPr>
      <w:r w:rsidRPr="00313E35">
        <w:rPr>
          <w:rFonts w:ascii="Times New Roman" w:hAnsi="Times New Roman" w:cs="Times New Roman"/>
          <w:sz w:val="26"/>
          <w:szCs w:val="26"/>
        </w:rPr>
        <w:t xml:space="preserve">Quy trình tập trung </w:t>
      </w:r>
      <w:r w:rsidR="0089472E">
        <w:rPr>
          <w:rFonts w:ascii="Times New Roman" w:hAnsi="Times New Roman" w:cs="Times New Roman"/>
          <w:sz w:val="26"/>
          <w:szCs w:val="26"/>
        </w:rPr>
        <w:t>trong tình huống</w:t>
      </w:r>
      <w:r w:rsidRPr="00313E35">
        <w:rPr>
          <w:rFonts w:ascii="Times New Roman" w:hAnsi="Times New Roman" w:cs="Times New Roman"/>
          <w:sz w:val="26"/>
          <w:szCs w:val="26"/>
        </w:rPr>
        <w:t xml:space="preserve"> khẩn cấp (muster procedures); </w:t>
      </w:r>
    </w:p>
    <w:p w14:paraId="7E832D1E" w14:textId="77777777" w:rsidR="00313E35" w:rsidRPr="00313E35" w:rsidRDefault="00313E35" w:rsidP="0089472E">
      <w:pPr>
        <w:numPr>
          <w:ilvl w:val="0"/>
          <w:numId w:val="3"/>
        </w:numPr>
        <w:spacing w:after="120"/>
        <w:jc w:val="both"/>
        <w:rPr>
          <w:rFonts w:ascii="Times New Roman" w:hAnsi="Times New Roman" w:cs="Times New Roman"/>
          <w:sz w:val="26"/>
          <w:szCs w:val="26"/>
        </w:rPr>
      </w:pPr>
      <w:r w:rsidRPr="00313E35">
        <w:rPr>
          <w:rFonts w:ascii="Times New Roman" w:hAnsi="Times New Roman" w:cs="Times New Roman"/>
          <w:sz w:val="26"/>
          <w:szCs w:val="26"/>
        </w:rPr>
        <w:t xml:space="preserve">Các biện pháp ứng phó ban đầu. </w:t>
      </w:r>
    </w:p>
    <w:p w14:paraId="0966DC9A" w14:textId="344F5162" w:rsidR="00313E35" w:rsidRPr="00313E35" w:rsidRDefault="0089472E" w:rsidP="00313E35">
      <w:pPr>
        <w:spacing w:after="0"/>
        <w:jc w:val="both"/>
        <w:rPr>
          <w:rFonts w:ascii="Times New Roman" w:hAnsi="Times New Roman" w:cs="Times New Roman"/>
          <w:b/>
          <w:bCs/>
          <w:sz w:val="26"/>
          <w:szCs w:val="26"/>
        </w:rPr>
      </w:pPr>
      <w:r>
        <w:rPr>
          <w:rFonts w:ascii="Times New Roman" w:hAnsi="Times New Roman" w:cs="Times New Roman"/>
          <w:b/>
          <w:bCs/>
          <w:sz w:val="26"/>
          <w:szCs w:val="26"/>
        </w:rPr>
        <w:t>Huấn luyện</w:t>
      </w:r>
      <w:r w:rsidR="00313E35" w:rsidRPr="00313E35">
        <w:rPr>
          <w:rFonts w:ascii="Times New Roman" w:hAnsi="Times New Roman" w:cs="Times New Roman"/>
          <w:b/>
          <w:bCs/>
          <w:sz w:val="26"/>
          <w:szCs w:val="26"/>
        </w:rPr>
        <w:t xml:space="preserve"> nâng cao</w:t>
      </w:r>
    </w:p>
    <w:p w14:paraId="1289A2D5" w14:textId="11217F4E" w:rsidR="00313E35" w:rsidRPr="00313E35" w:rsidRDefault="00313E35" w:rsidP="0089472E">
      <w:pPr>
        <w:tabs>
          <w:tab w:val="num" w:pos="720"/>
        </w:tabs>
        <w:spacing w:after="0"/>
        <w:jc w:val="both"/>
        <w:rPr>
          <w:rFonts w:ascii="Times New Roman" w:hAnsi="Times New Roman" w:cs="Times New Roman"/>
          <w:sz w:val="26"/>
          <w:szCs w:val="26"/>
        </w:rPr>
      </w:pPr>
      <w:r w:rsidRPr="00313E35">
        <w:rPr>
          <w:rFonts w:ascii="Times New Roman" w:hAnsi="Times New Roman" w:cs="Times New Roman"/>
          <w:sz w:val="26"/>
          <w:szCs w:val="26"/>
        </w:rPr>
        <w:t>Dành cho</w:t>
      </w:r>
      <w:r w:rsidR="0089472E">
        <w:rPr>
          <w:rFonts w:ascii="Times New Roman" w:hAnsi="Times New Roman" w:cs="Times New Roman"/>
          <w:sz w:val="26"/>
          <w:szCs w:val="26"/>
        </w:rPr>
        <w:t xml:space="preserve"> </w:t>
      </w:r>
      <w:r w:rsidRPr="00313E35">
        <w:rPr>
          <w:rFonts w:ascii="Times New Roman" w:hAnsi="Times New Roman" w:cs="Times New Roman"/>
          <w:sz w:val="26"/>
          <w:szCs w:val="26"/>
        </w:rPr>
        <w:t>Thuyền trưởng</w:t>
      </w:r>
      <w:r w:rsidR="0089472E">
        <w:rPr>
          <w:rFonts w:ascii="Times New Roman" w:hAnsi="Times New Roman" w:cs="Times New Roman"/>
          <w:sz w:val="26"/>
          <w:szCs w:val="26"/>
        </w:rPr>
        <w:t xml:space="preserve">, </w:t>
      </w:r>
      <w:r w:rsidRPr="00313E35">
        <w:rPr>
          <w:rFonts w:ascii="Times New Roman" w:hAnsi="Times New Roman" w:cs="Times New Roman"/>
          <w:sz w:val="26"/>
          <w:szCs w:val="26"/>
        </w:rPr>
        <w:t>Sĩ quan máy</w:t>
      </w:r>
      <w:r w:rsidR="0089472E">
        <w:rPr>
          <w:rFonts w:ascii="Times New Roman" w:hAnsi="Times New Roman" w:cs="Times New Roman"/>
          <w:sz w:val="26"/>
          <w:szCs w:val="26"/>
        </w:rPr>
        <w:t xml:space="preserve"> và n</w:t>
      </w:r>
      <w:r w:rsidRPr="00313E35">
        <w:rPr>
          <w:rFonts w:ascii="Times New Roman" w:hAnsi="Times New Roman" w:cs="Times New Roman"/>
          <w:sz w:val="26"/>
          <w:szCs w:val="26"/>
        </w:rPr>
        <w:t>hững người chịu trách nhiệm trực tiếp đối với hệ thống nhiên liệu. Chương trình đi sâu vào các nội dung kỹ thuật như:</w:t>
      </w:r>
    </w:p>
    <w:p w14:paraId="45388EF5" w14:textId="6FD3E9AF" w:rsidR="00313E35" w:rsidRPr="00313E35" w:rsidRDefault="00313E35" w:rsidP="00313E35">
      <w:pPr>
        <w:numPr>
          <w:ilvl w:val="0"/>
          <w:numId w:val="5"/>
        </w:numPr>
        <w:spacing w:after="0"/>
        <w:jc w:val="both"/>
        <w:rPr>
          <w:rFonts w:ascii="Times New Roman" w:hAnsi="Times New Roman" w:cs="Times New Roman"/>
          <w:sz w:val="26"/>
          <w:szCs w:val="26"/>
        </w:rPr>
      </w:pPr>
      <w:r w:rsidRPr="00313E35">
        <w:rPr>
          <w:rFonts w:ascii="Times New Roman" w:hAnsi="Times New Roman" w:cs="Times New Roman"/>
          <w:sz w:val="26"/>
          <w:szCs w:val="26"/>
        </w:rPr>
        <w:t xml:space="preserve">Tính toán </w:t>
      </w:r>
      <w:r w:rsidR="0089472E">
        <w:rPr>
          <w:rFonts w:ascii="Times New Roman" w:hAnsi="Times New Roman" w:cs="Times New Roman"/>
          <w:sz w:val="26"/>
          <w:szCs w:val="26"/>
        </w:rPr>
        <w:t>việc</w:t>
      </w:r>
      <w:r w:rsidRPr="00313E35">
        <w:rPr>
          <w:rFonts w:ascii="Times New Roman" w:hAnsi="Times New Roman" w:cs="Times New Roman"/>
          <w:sz w:val="26"/>
          <w:szCs w:val="26"/>
        </w:rPr>
        <w:t xml:space="preserve"> tiếp nhiên liệu; </w:t>
      </w:r>
    </w:p>
    <w:p w14:paraId="25D13515" w14:textId="5E47F814" w:rsidR="00313E35" w:rsidRPr="00313E35" w:rsidRDefault="00313E35" w:rsidP="00313E35">
      <w:pPr>
        <w:numPr>
          <w:ilvl w:val="0"/>
          <w:numId w:val="5"/>
        </w:numPr>
        <w:spacing w:after="0"/>
        <w:jc w:val="both"/>
        <w:rPr>
          <w:rFonts w:ascii="Times New Roman" w:hAnsi="Times New Roman" w:cs="Times New Roman"/>
          <w:sz w:val="26"/>
          <w:szCs w:val="26"/>
        </w:rPr>
      </w:pPr>
      <w:r w:rsidRPr="00313E35">
        <w:rPr>
          <w:rFonts w:ascii="Times New Roman" w:hAnsi="Times New Roman" w:cs="Times New Roman"/>
          <w:sz w:val="26"/>
          <w:szCs w:val="26"/>
        </w:rPr>
        <w:t xml:space="preserve">Quản lý khí bay hơi; </w:t>
      </w:r>
    </w:p>
    <w:p w14:paraId="65EE2591" w14:textId="712DB043" w:rsidR="00313E35" w:rsidRPr="00313E35" w:rsidRDefault="00313E35" w:rsidP="00313E35">
      <w:pPr>
        <w:numPr>
          <w:ilvl w:val="0"/>
          <w:numId w:val="5"/>
        </w:numPr>
        <w:spacing w:after="0"/>
        <w:jc w:val="both"/>
        <w:rPr>
          <w:rFonts w:ascii="Times New Roman" w:hAnsi="Times New Roman" w:cs="Times New Roman"/>
          <w:sz w:val="26"/>
          <w:szCs w:val="26"/>
        </w:rPr>
      </w:pPr>
      <w:r w:rsidRPr="00313E35">
        <w:rPr>
          <w:rFonts w:ascii="Times New Roman" w:hAnsi="Times New Roman" w:cs="Times New Roman"/>
          <w:sz w:val="26"/>
          <w:szCs w:val="26"/>
        </w:rPr>
        <w:t xml:space="preserve">Vận hành </w:t>
      </w:r>
      <w:r w:rsidR="0089472E">
        <w:rPr>
          <w:rFonts w:ascii="Times New Roman" w:hAnsi="Times New Roman" w:cs="Times New Roman"/>
          <w:sz w:val="26"/>
          <w:szCs w:val="26"/>
        </w:rPr>
        <w:t>các h</w:t>
      </w:r>
      <w:r w:rsidRPr="0089472E">
        <w:rPr>
          <w:rFonts w:ascii="Times New Roman" w:hAnsi="Times New Roman" w:cs="Times New Roman"/>
          <w:sz w:val="26"/>
          <w:szCs w:val="26"/>
        </w:rPr>
        <w:t>ệ thống giảm thiểu phát tán amoniac (Ammonia Release Mitigation Systems);</w:t>
      </w:r>
      <w:r w:rsidRPr="00313E35">
        <w:rPr>
          <w:rFonts w:ascii="Times New Roman" w:hAnsi="Times New Roman" w:cs="Times New Roman"/>
          <w:sz w:val="26"/>
          <w:szCs w:val="26"/>
        </w:rPr>
        <w:t xml:space="preserve"> </w:t>
      </w:r>
    </w:p>
    <w:p w14:paraId="7C241BB1" w14:textId="1C524970" w:rsidR="00313E35" w:rsidRPr="00313E35" w:rsidRDefault="00313E35" w:rsidP="00313E35">
      <w:pPr>
        <w:numPr>
          <w:ilvl w:val="0"/>
          <w:numId w:val="5"/>
        </w:numPr>
        <w:spacing w:after="0"/>
        <w:jc w:val="both"/>
        <w:rPr>
          <w:rFonts w:ascii="Times New Roman" w:hAnsi="Times New Roman" w:cs="Times New Roman"/>
          <w:sz w:val="26"/>
          <w:szCs w:val="26"/>
        </w:rPr>
      </w:pPr>
      <w:r w:rsidRPr="00313E35">
        <w:rPr>
          <w:rFonts w:ascii="Times New Roman" w:hAnsi="Times New Roman" w:cs="Times New Roman"/>
          <w:sz w:val="26"/>
          <w:szCs w:val="26"/>
        </w:rPr>
        <w:t xml:space="preserve">Hệ thống đường ống hai </w:t>
      </w:r>
      <w:r w:rsidR="0089472E">
        <w:rPr>
          <w:rFonts w:ascii="Times New Roman" w:hAnsi="Times New Roman" w:cs="Times New Roman"/>
          <w:sz w:val="26"/>
          <w:szCs w:val="26"/>
        </w:rPr>
        <w:t>vách</w:t>
      </w:r>
      <w:r w:rsidRPr="00313E35">
        <w:rPr>
          <w:rFonts w:ascii="Times New Roman" w:hAnsi="Times New Roman" w:cs="Times New Roman"/>
          <w:sz w:val="26"/>
          <w:szCs w:val="26"/>
        </w:rPr>
        <w:t xml:space="preserve"> (double-walled piping); </w:t>
      </w:r>
    </w:p>
    <w:p w14:paraId="10474459" w14:textId="77777777" w:rsidR="00313E35" w:rsidRPr="00313E35" w:rsidRDefault="00313E35" w:rsidP="00313E35">
      <w:pPr>
        <w:numPr>
          <w:ilvl w:val="0"/>
          <w:numId w:val="5"/>
        </w:numPr>
        <w:spacing w:after="0"/>
        <w:jc w:val="both"/>
        <w:rPr>
          <w:rFonts w:ascii="Times New Roman" w:hAnsi="Times New Roman" w:cs="Times New Roman"/>
          <w:sz w:val="26"/>
          <w:szCs w:val="26"/>
        </w:rPr>
      </w:pPr>
      <w:r w:rsidRPr="00313E35">
        <w:rPr>
          <w:rFonts w:ascii="Times New Roman" w:hAnsi="Times New Roman" w:cs="Times New Roman"/>
          <w:sz w:val="26"/>
          <w:szCs w:val="26"/>
        </w:rPr>
        <w:t xml:space="preserve">Các nguyên lý nhiệt động học giải thích đặc tính của amoniac dưới điều kiện nhiệt độ thấp và áp suất cao. </w:t>
      </w:r>
    </w:p>
    <w:p w14:paraId="3F4FFCFF" w14:textId="611C6389" w:rsidR="00313E35" w:rsidRDefault="00313E35" w:rsidP="007B045D">
      <w:pPr>
        <w:spacing w:after="120"/>
        <w:jc w:val="both"/>
        <w:rPr>
          <w:rFonts w:ascii="Times New Roman" w:hAnsi="Times New Roman" w:cs="Times New Roman"/>
          <w:sz w:val="26"/>
          <w:szCs w:val="26"/>
        </w:rPr>
      </w:pPr>
      <w:r w:rsidRPr="00313E35">
        <w:rPr>
          <w:rFonts w:ascii="Times New Roman" w:hAnsi="Times New Roman" w:cs="Times New Roman"/>
          <w:sz w:val="26"/>
          <w:szCs w:val="26"/>
        </w:rPr>
        <w:t xml:space="preserve">Nói cách khác, đây là </w:t>
      </w:r>
      <w:r w:rsidRPr="0089472E">
        <w:rPr>
          <w:rFonts w:ascii="Times New Roman" w:hAnsi="Times New Roman" w:cs="Times New Roman"/>
          <w:sz w:val="26"/>
          <w:szCs w:val="26"/>
        </w:rPr>
        <w:t>một cách tiếp cận dựa trên năng lực</w:t>
      </w:r>
      <w:r w:rsidRPr="00313E35">
        <w:rPr>
          <w:rFonts w:ascii="Times New Roman" w:hAnsi="Times New Roman" w:cs="Times New Roman"/>
          <w:sz w:val="26"/>
          <w:szCs w:val="26"/>
        </w:rPr>
        <w:t xml:space="preserve"> chứ không phải </w:t>
      </w:r>
      <w:r w:rsidRPr="0089472E">
        <w:rPr>
          <w:rFonts w:ascii="Times New Roman" w:hAnsi="Times New Roman" w:cs="Times New Roman"/>
          <w:sz w:val="26"/>
          <w:szCs w:val="26"/>
        </w:rPr>
        <w:t>dựa trên chương trình học cố định (course-based).</w:t>
      </w:r>
      <w:r w:rsidR="0089472E">
        <w:rPr>
          <w:rFonts w:ascii="Times New Roman" w:hAnsi="Times New Roman" w:cs="Times New Roman"/>
          <w:sz w:val="26"/>
          <w:szCs w:val="26"/>
        </w:rPr>
        <w:t xml:space="preserve"> </w:t>
      </w:r>
      <w:r w:rsidRPr="0089472E">
        <w:rPr>
          <w:rFonts w:ascii="Times New Roman" w:hAnsi="Times New Roman" w:cs="Times New Roman"/>
          <w:color w:val="EE0000"/>
          <w:sz w:val="26"/>
          <w:szCs w:val="26"/>
        </w:rPr>
        <w:t xml:space="preserve">Hướng dẫn chỉ quy định kết quả đầu ra cần đạt, còn việc triển khai như thế nào được giao cho các quốc gia thành viên và các cơ sở </w:t>
      </w:r>
      <w:r w:rsidR="0089472E" w:rsidRPr="0089472E">
        <w:rPr>
          <w:rFonts w:ascii="Times New Roman" w:hAnsi="Times New Roman" w:cs="Times New Roman"/>
          <w:color w:val="EE0000"/>
          <w:sz w:val="26"/>
          <w:szCs w:val="26"/>
        </w:rPr>
        <w:t>huấn luyện</w:t>
      </w:r>
      <w:r w:rsidRPr="00313E35">
        <w:rPr>
          <w:rFonts w:ascii="Times New Roman" w:hAnsi="Times New Roman" w:cs="Times New Roman"/>
          <w:sz w:val="26"/>
          <w:szCs w:val="26"/>
        </w:rPr>
        <w:t>.</w:t>
      </w:r>
      <w:r w:rsidR="0089472E">
        <w:rPr>
          <w:rFonts w:ascii="Times New Roman" w:hAnsi="Times New Roman" w:cs="Times New Roman"/>
          <w:sz w:val="26"/>
          <w:szCs w:val="26"/>
        </w:rPr>
        <w:t xml:space="preserve"> </w:t>
      </w:r>
      <w:r w:rsidRPr="00313E35">
        <w:rPr>
          <w:rFonts w:ascii="Times New Roman" w:hAnsi="Times New Roman" w:cs="Times New Roman"/>
          <w:sz w:val="26"/>
          <w:szCs w:val="26"/>
        </w:rPr>
        <w:t xml:space="preserve">Đây vốn là phương pháp quen thuộc của STCW, nhưng cũng chính là </w:t>
      </w:r>
      <w:r w:rsidRPr="0089472E">
        <w:rPr>
          <w:rFonts w:ascii="Times New Roman" w:hAnsi="Times New Roman" w:cs="Times New Roman"/>
          <w:color w:val="EE0000"/>
          <w:sz w:val="26"/>
          <w:szCs w:val="26"/>
        </w:rPr>
        <w:t xml:space="preserve">điểm dễ bị tổn thương nhất </w:t>
      </w:r>
      <w:r w:rsidRPr="00313E35">
        <w:rPr>
          <w:rFonts w:ascii="Times New Roman" w:hAnsi="Times New Roman" w:cs="Times New Roman"/>
          <w:sz w:val="26"/>
          <w:szCs w:val="26"/>
        </w:rPr>
        <w:t>của tài liệu này.</w:t>
      </w:r>
      <w:r w:rsidR="007B045D">
        <w:rPr>
          <w:rFonts w:ascii="Times New Roman" w:hAnsi="Times New Roman" w:cs="Times New Roman"/>
          <w:sz w:val="26"/>
          <w:szCs w:val="26"/>
        </w:rPr>
        <w:t xml:space="preserve"> </w:t>
      </w:r>
      <w:r w:rsidRPr="00313E35">
        <w:rPr>
          <w:rFonts w:ascii="Times New Roman" w:hAnsi="Times New Roman" w:cs="Times New Roman"/>
          <w:sz w:val="26"/>
          <w:szCs w:val="26"/>
        </w:rPr>
        <w:t xml:space="preserve">Một hướng dẫn quy định rằng chương trình </w:t>
      </w:r>
      <w:r w:rsidR="007B045D">
        <w:rPr>
          <w:rFonts w:ascii="Times New Roman" w:hAnsi="Times New Roman" w:cs="Times New Roman"/>
          <w:sz w:val="26"/>
          <w:szCs w:val="26"/>
        </w:rPr>
        <w:t>huấn luyện</w:t>
      </w:r>
      <w:r w:rsidRPr="00313E35">
        <w:rPr>
          <w:rFonts w:ascii="Times New Roman" w:hAnsi="Times New Roman" w:cs="Times New Roman"/>
          <w:sz w:val="26"/>
          <w:szCs w:val="26"/>
        </w:rPr>
        <w:t xml:space="preserve"> sẽ được thực hiện </w:t>
      </w:r>
      <w:r w:rsidRPr="007B045D">
        <w:rPr>
          <w:rFonts w:ascii="Times New Roman" w:hAnsi="Times New Roman" w:cs="Times New Roman"/>
          <w:color w:val="EE0000"/>
          <w:sz w:val="26"/>
          <w:szCs w:val="26"/>
        </w:rPr>
        <w:t>"theo quyết định của Chính quyền hàng hải"</w:t>
      </w:r>
      <w:r w:rsidRPr="00313E35">
        <w:rPr>
          <w:rFonts w:ascii="Times New Roman" w:hAnsi="Times New Roman" w:cs="Times New Roman"/>
          <w:sz w:val="26"/>
          <w:szCs w:val="26"/>
        </w:rPr>
        <w:t xml:space="preserve"> chỉ mạnh bằng </w:t>
      </w:r>
      <w:r w:rsidR="007B045D">
        <w:rPr>
          <w:rFonts w:ascii="Times New Roman" w:hAnsi="Times New Roman" w:cs="Times New Roman"/>
          <w:sz w:val="26"/>
          <w:szCs w:val="26"/>
        </w:rPr>
        <w:t xml:space="preserve">mức tuân thủ của </w:t>
      </w:r>
      <w:r w:rsidRPr="007B045D">
        <w:rPr>
          <w:rFonts w:ascii="Times New Roman" w:hAnsi="Times New Roman" w:cs="Times New Roman"/>
          <w:sz w:val="26"/>
          <w:szCs w:val="26"/>
        </w:rPr>
        <w:t>quốc gia áp dụng yếu nhất</w:t>
      </w:r>
      <w:r w:rsidRPr="00313E35">
        <w:rPr>
          <w:rFonts w:ascii="Times New Roman" w:hAnsi="Times New Roman" w:cs="Times New Roman"/>
          <w:sz w:val="26"/>
          <w:szCs w:val="26"/>
        </w:rPr>
        <w:t>.</w:t>
      </w:r>
    </w:p>
    <w:p w14:paraId="28F38507" w14:textId="5AADE54C" w:rsidR="007B045D" w:rsidRPr="00313E35" w:rsidRDefault="007B045D" w:rsidP="007B045D">
      <w:pPr>
        <w:spacing w:after="120"/>
        <w:jc w:val="center"/>
        <w:rPr>
          <w:rFonts w:ascii="Times New Roman" w:hAnsi="Times New Roman" w:cs="Times New Roman"/>
          <w:sz w:val="26"/>
          <w:szCs w:val="26"/>
        </w:rPr>
      </w:pPr>
      <w:r w:rsidRPr="00313E35">
        <w:drawing>
          <wp:inline distT="0" distB="0" distL="0" distR="0" wp14:anchorId="5C42738B" wp14:editId="7F80748E">
            <wp:extent cx="5943600" cy="2872740"/>
            <wp:effectExtent l="0" t="0" r="0" b="3810"/>
            <wp:docPr id="2286956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872740"/>
                    </a:xfrm>
                    <a:prstGeom prst="rect">
                      <a:avLst/>
                    </a:prstGeom>
                    <a:noFill/>
                    <a:ln>
                      <a:noFill/>
                    </a:ln>
                  </pic:spPr>
                </pic:pic>
              </a:graphicData>
            </a:graphic>
          </wp:inline>
        </w:drawing>
      </w:r>
    </w:p>
    <w:p w14:paraId="7AA98E76" w14:textId="77777777" w:rsidR="00313E35" w:rsidRPr="00313E35" w:rsidRDefault="00313E35" w:rsidP="00313E35">
      <w:pPr>
        <w:spacing w:after="0"/>
        <w:jc w:val="both"/>
        <w:rPr>
          <w:rFonts w:ascii="Times New Roman" w:hAnsi="Times New Roman" w:cs="Times New Roman"/>
          <w:b/>
          <w:bCs/>
          <w:sz w:val="26"/>
          <w:szCs w:val="26"/>
        </w:rPr>
      </w:pPr>
      <w:r w:rsidRPr="00313E35">
        <w:rPr>
          <w:rFonts w:ascii="Times New Roman" w:hAnsi="Times New Roman" w:cs="Times New Roman"/>
          <w:b/>
          <w:bCs/>
          <w:sz w:val="26"/>
          <w:szCs w:val="26"/>
        </w:rPr>
        <w:lastRenderedPageBreak/>
        <w:t>Khoảng cách giữa "hướng dẫn tạm thời" và quy định bắt buộc</w:t>
      </w:r>
    </w:p>
    <w:p w14:paraId="55CB3E2D" w14:textId="310A02ED" w:rsidR="00313E35" w:rsidRPr="00313E35" w:rsidRDefault="00313E35" w:rsidP="00313E35">
      <w:pPr>
        <w:spacing w:after="0"/>
        <w:jc w:val="both"/>
        <w:rPr>
          <w:rFonts w:ascii="Times New Roman" w:hAnsi="Times New Roman" w:cs="Times New Roman"/>
          <w:sz w:val="26"/>
          <w:szCs w:val="26"/>
        </w:rPr>
      </w:pPr>
      <w:r w:rsidRPr="00313E35">
        <w:rPr>
          <w:rFonts w:ascii="Times New Roman" w:hAnsi="Times New Roman" w:cs="Times New Roman"/>
          <w:sz w:val="26"/>
          <w:szCs w:val="26"/>
        </w:rPr>
        <w:t xml:space="preserve">Đọc kỹ tài liệu </w:t>
      </w:r>
      <w:r w:rsidR="007B045D">
        <w:rPr>
          <w:rFonts w:ascii="Times New Roman" w:hAnsi="Times New Roman" w:cs="Times New Roman"/>
          <w:sz w:val="26"/>
          <w:szCs w:val="26"/>
        </w:rPr>
        <w:t xml:space="preserve">này </w:t>
      </w:r>
      <w:r w:rsidRPr="00313E35">
        <w:rPr>
          <w:rFonts w:ascii="Times New Roman" w:hAnsi="Times New Roman" w:cs="Times New Roman"/>
          <w:sz w:val="26"/>
          <w:szCs w:val="26"/>
        </w:rPr>
        <w:t>sẽ thấy IMO khá thẳng thắn về những giới hạn của chính Hướng dẫn này.</w:t>
      </w:r>
    </w:p>
    <w:p w14:paraId="55CB3C56" w14:textId="63C197B6" w:rsidR="00313E35" w:rsidRPr="00313E35" w:rsidRDefault="00313E35" w:rsidP="00313E35">
      <w:pPr>
        <w:spacing w:after="0"/>
        <w:jc w:val="both"/>
        <w:rPr>
          <w:rFonts w:ascii="Times New Roman" w:hAnsi="Times New Roman" w:cs="Times New Roman"/>
          <w:sz w:val="26"/>
          <w:szCs w:val="26"/>
        </w:rPr>
      </w:pPr>
      <w:r w:rsidRPr="00313E35">
        <w:rPr>
          <w:rFonts w:ascii="Times New Roman" w:hAnsi="Times New Roman" w:cs="Times New Roman"/>
          <w:sz w:val="26"/>
          <w:szCs w:val="26"/>
        </w:rPr>
        <w:t xml:space="preserve">Đây chỉ là </w:t>
      </w:r>
      <w:r w:rsidRPr="007B045D">
        <w:rPr>
          <w:rFonts w:ascii="Times New Roman" w:hAnsi="Times New Roman" w:cs="Times New Roman"/>
          <w:color w:val="EE0000"/>
          <w:sz w:val="26"/>
          <w:szCs w:val="26"/>
        </w:rPr>
        <w:t>hướng dẫn tạm thời (interim)</w:t>
      </w:r>
      <w:r w:rsidRPr="00313E35">
        <w:rPr>
          <w:rFonts w:ascii="Times New Roman" w:hAnsi="Times New Roman" w:cs="Times New Roman"/>
          <w:sz w:val="26"/>
          <w:szCs w:val="26"/>
        </w:rPr>
        <w:t xml:space="preserve"> và sẽ </w:t>
      </w:r>
      <w:r w:rsidRPr="007B045D">
        <w:rPr>
          <w:rFonts w:ascii="Times New Roman" w:hAnsi="Times New Roman" w:cs="Times New Roman"/>
          <w:color w:val="EE0000"/>
          <w:sz w:val="26"/>
          <w:szCs w:val="26"/>
        </w:rPr>
        <w:t xml:space="preserve">được xem xét, cập nhật thường xuyên </w:t>
      </w:r>
      <w:r w:rsidRPr="00313E35">
        <w:rPr>
          <w:rFonts w:ascii="Times New Roman" w:hAnsi="Times New Roman" w:cs="Times New Roman"/>
          <w:sz w:val="26"/>
          <w:szCs w:val="26"/>
        </w:rPr>
        <w:t>khi kinh nghiệm khai thác thực tế được tích lũy.</w:t>
      </w:r>
      <w:r w:rsidR="007B045D">
        <w:rPr>
          <w:rFonts w:ascii="Times New Roman" w:hAnsi="Times New Roman" w:cs="Times New Roman"/>
          <w:sz w:val="26"/>
          <w:szCs w:val="26"/>
        </w:rPr>
        <w:t xml:space="preserve"> </w:t>
      </w:r>
      <w:r w:rsidRPr="00313E35">
        <w:rPr>
          <w:rFonts w:ascii="Times New Roman" w:hAnsi="Times New Roman" w:cs="Times New Roman"/>
          <w:sz w:val="26"/>
          <w:szCs w:val="26"/>
        </w:rPr>
        <w:t>Điều này là hợp lý đối với một loại nhiên liệu gần như chưa có lịch sử khai thác thương mại.</w:t>
      </w:r>
      <w:r w:rsidR="007B045D">
        <w:rPr>
          <w:rFonts w:ascii="Times New Roman" w:hAnsi="Times New Roman" w:cs="Times New Roman"/>
          <w:sz w:val="26"/>
          <w:szCs w:val="26"/>
        </w:rPr>
        <w:t xml:space="preserve"> </w:t>
      </w:r>
      <w:r w:rsidRPr="00313E35">
        <w:rPr>
          <w:rFonts w:ascii="Times New Roman" w:hAnsi="Times New Roman" w:cs="Times New Roman"/>
          <w:sz w:val="26"/>
          <w:szCs w:val="26"/>
        </w:rPr>
        <w:t>Tuy nhiên, điều đó cũng đồng nghĩa rằng:</w:t>
      </w:r>
    </w:p>
    <w:p w14:paraId="70D69A63" w14:textId="77777777" w:rsidR="00313E35" w:rsidRPr="00313E35" w:rsidRDefault="00313E35" w:rsidP="00313E35">
      <w:pPr>
        <w:numPr>
          <w:ilvl w:val="0"/>
          <w:numId w:val="6"/>
        </w:numPr>
        <w:spacing w:after="0"/>
        <w:jc w:val="both"/>
        <w:rPr>
          <w:rFonts w:ascii="Times New Roman" w:hAnsi="Times New Roman" w:cs="Times New Roman"/>
          <w:sz w:val="26"/>
          <w:szCs w:val="26"/>
        </w:rPr>
      </w:pPr>
      <w:r w:rsidRPr="00313E35">
        <w:rPr>
          <w:rFonts w:ascii="Times New Roman" w:hAnsi="Times New Roman" w:cs="Times New Roman"/>
          <w:sz w:val="26"/>
          <w:szCs w:val="26"/>
        </w:rPr>
        <w:t xml:space="preserve">Chưa có sửa đổi bắt buộc đối với Bộ luật STCW. </w:t>
      </w:r>
    </w:p>
    <w:p w14:paraId="73EDBE6C" w14:textId="77777777" w:rsidR="00313E35" w:rsidRPr="00313E35" w:rsidRDefault="00313E35" w:rsidP="00313E35">
      <w:pPr>
        <w:numPr>
          <w:ilvl w:val="0"/>
          <w:numId w:val="6"/>
        </w:numPr>
        <w:spacing w:after="0"/>
        <w:jc w:val="both"/>
        <w:rPr>
          <w:rFonts w:ascii="Times New Roman" w:hAnsi="Times New Roman" w:cs="Times New Roman"/>
          <w:sz w:val="26"/>
          <w:szCs w:val="26"/>
        </w:rPr>
      </w:pPr>
      <w:r w:rsidRPr="00313E35">
        <w:rPr>
          <w:rFonts w:ascii="Times New Roman" w:hAnsi="Times New Roman" w:cs="Times New Roman"/>
          <w:sz w:val="26"/>
          <w:szCs w:val="26"/>
        </w:rPr>
        <w:t xml:space="preserve">Chưa có tiêu chuẩn thi và đánh giá thống nhất trên toàn cầu. </w:t>
      </w:r>
    </w:p>
    <w:p w14:paraId="02AF3C2F" w14:textId="4D75B0EB" w:rsidR="00313E35" w:rsidRPr="00313E35" w:rsidRDefault="00313E35" w:rsidP="00313E35">
      <w:pPr>
        <w:numPr>
          <w:ilvl w:val="0"/>
          <w:numId w:val="6"/>
        </w:numPr>
        <w:spacing w:after="0"/>
        <w:jc w:val="both"/>
        <w:rPr>
          <w:rFonts w:ascii="Times New Roman" w:hAnsi="Times New Roman" w:cs="Times New Roman"/>
          <w:sz w:val="26"/>
          <w:szCs w:val="26"/>
        </w:rPr>
      </w:pPr>
      <w:r w:rsidRPr="00313E35">
        <w:rPr>
          <w:rFonts w:ascii="Times New Roman" w:hAnsi="Times New Roman" w:cs="Times New Roman"/>
          <w:sz w:val="26"/>
          <w:szCs w:val="26"/>
        </w:rPr>
        <w:t xml:space="preserve">Chưa có một cơ quan kiểm định chung bảo đảm rằng </w:t>
      </w:r>
      <w:r w:rsidRPr="007B045D">
        <w:rPr>
          <w:rFonts w:ascii="Times New Roman" w:hAnsi="Times New Roman" w:cs="Times New Roman"/>
          <w:sz w:val="26"/>
          <w:szCs w:val="26"/>
        </w:rPr>
        <w:t xml:space="preserve">chứng chỉ </w:t>
      </w:r>
      <w:r w:rsidR="007B045D">
        <w:rPr>
          <w:rFonts w:ascii="Times New Roman" w:hAnsi="Times New Roman" w:cs="Times New Roman"/>
          <w:sz w:val="26"/>
          <w:szCs w:val="26"/>
        </w:rPr>
        <w:t>huấn luyện</w:t>
      </w:r>
      <w:r w:rsidRPr="007B045D">
        <w:rPr>
          <w:rFonts w:ascii="Times New Roman" w:hAnsi="Times New Roman" w:cs="Times New Roman"/>
          <w:sz w:val="26"/>
          <w:szCs w:val="26"/>
        </w:rPr>
        <w:t xml:space="preserve"> cơ bản</w:t>
      </w:r>
      <w:r w:rsidRPr="00313E35">
        <w:rPr>
          <w:rFonts w:ascii="Times New Roman" w:hAnsi="Times New Roman" w:cs="Times New Roman"/>
          <w:sz w:val="26"/>
          <w:szCs w:val="26"/>
        </w:rPr>
        <w:t xml:space="preserve"> do một quốc gia cấp có giá trị và chất lượng tương đương với chứng chỉ do quốc gia khác cấp. </w:t>
      </w:r>
    </w:p>
    <w:p w14:paraId="17A48FCC" w14:textId="77777777" w:rsidR="00313E35" w:rsidRPr="00313E35" w:rsidRDefault="00313E35" w:rsidP="007B045D">
      <w:pPr>
        <w:spacing w:after="120"/>
        <w:jc w:val="both"/>
        <w:rPr>
          <w:rFonts w:ascii="Times New Roman" w:hAnsi="Times New Roman" w:cs="Times New Roman"/>
          <w:sz w:val="26"/>
          <w:szCs w:val="26"/>
        </w:rPr>
      </w:pPr>
      <w:r w:rsidRPr="00313E35">
        <w:rPr>
          <w:rFonts w:ascii="Times New Roman" w:hAnsi="Times New Roman" w:cs="Times New Roman"/>
          <w:sz w:val="26"/>
          <w:szCs w:val="26"/>
        </w:rPr>
        <w:t xml:space="preserve">Ngoài ra, Hướng dẫn còn cho phép các quốc gia thành viên </w:t>
      </w:r>
      <w:r w:rsidRPr="007B045D">
        <w:rPr>
          <w:rFonts w:ascii="Times New Roman" w:hAnsi="Times New Roman" w:cs="Times New Roman"/>
          <w:sz w:val="26"/>
          <w:szCs w:val="26"/>
        </w:rPr>
        <w:t>miễn áp dụng đầy đủ các yêu cầu đối với một số tàu nhỏ,</w:t>
      </w:r>
      <w:r w:rsidRPr="00313E35">
        <w:rPr>
          <w:rFonts w:ascii="Times New Roman" w:hAnsi="Times New Roman" w:cs="Times New Roman"/>
          <w:sz w:val="26"/>
          <w:szCs w:val="26"/>
        </w:rPr>
        <w:t xml:space="preserve"> tùy theo quyết định của từng quốc gia.</w:t>
      </w:r>
    </w:p>
    <w:p w14:paraId="4FC03F3D" w14:textId="4554B90E" w:rsidR="00313E35" w:rsidRPr="00313E35" w:rsidRDefault="00313E35" w:rsidP="007B045D">
      <w:pPr>
        <w:tabs>
          <w:tab w:val="num" w:pos="720"/>
        </w:tabs>
        <w:spacing w:after="120"/>
        <w:jc w:val="both"/>
        <w:rPr>
          <w:rFonts w:ascii="Times New Roman" w:hAnsi="Times New Roman" w:cs="Times New Roman"/>
          <w:sz w:val="26"/>
          <w:szCs w:val="26"/>
        </w:rPr>
      </w:pPr>
      <w:r w:rsidRPr="00313E35">
        <w:rPr>
          <w:rFonts w:ascii="Times New Roman" w:hAnsi="Times New Roman" w:cs="Times New Roman"/>
          <w:sz w:val="26"/>
          <w:szCs w:val="26"/>
        </w:rPr>
        <w:t>Đối với một loại nhiên liệu mà</w:t>
      </w:r>
      <w:r w:rsidR="007B045D">
        <w:rPr>
          <w:rFonts w:ascii="Times New Roman" w:hAnsi="Times New Roman" w:cs="Times New Roman"/>
          <w:sz w:val="26"/>
          <w:szCs w:val="26"/>
        </w:rPr>
        <w:t xml:space="preserve"> m</w:t>
      </w:r>
      <w:r w:rsidRPr="00313E35">
        <w:rPr>
          <w:rFonts w:ascii="Times New Roman" w:hAnsi="Times New Roman" w:cs="Times New Roman"/>
          <w:sz w:val="26"/>
          <w:szCs w:val="26"/>
        </w:rPr>
        <w:t xml:space="preserve">ối nguy </w:t>
      </w:r>
      <w:r w:rsidR="007B045D">
        <w:rPr>
          <w:rFonts w:ascii="Times New Roman" w:hAnsi="Times New Roman" w:cs="Times New Roman"/>
          <w:sz w:val="26"/>
          <w:szCs w:val="26"/>
        </w:rPr>
        <w:t xml:space="preserve">hiểm </w:t>
      </w:r>
      <w:r w:rsidRPr="00313E35">
        <w:rPr>
          <w:rFonts w:ascii="Times New Roman" w:hAnsi="Times New Roman" w:cs="Times New Roman"/>
          <w:sz w:val="26"/>
          <w:szCs w:val="26"/>
        </w:rPr>
        <w:t xml:space="preserve">chính gần như </w:t>
      </w:r>
      <w:r w:rsidRPr="007B045D">
        <w:rPr>
          <w:rFonts w:ascii="Times New Roman" w:hAnsi="Times New Roman" w:cs="Times New Roman"/>
          <w:sz w:val="26"/>
          <w:szCs w:val="26"/>
        </w:rPr>
        <w:t>không thể nhìn thấy</w:t>
      </w:r>
      <w:r w:rsidR="007B045D">
        <w:rPr>
          <w:rFonts w:ascii="Times New Roman" w:hAnsi="Times New Roman" w:cs="Times New Roman"/>
          <w:sz w:val="26"/>
          <w:szCs w:val="26"/>
        </w:rPr>
        <w:t xml:space="preserve"> được:</w:t>
      </w:r>
      <w:r w:rsidRPr="00313E35">
        <w:rPr>
          <w:rFonts w:ascii="Times New Roman" w:hAnsi="Times New Roman" w:cs="Times New Roman"/>
          <w:sz w:val="26"/>
          <w:szCs w:val="26"/>
        </w:rPr>
        <w:t xml:space="preserve"> Mùi </w:t>
      </w:r>
      <w:r w:rsidR="007B045D">
        <w:rPr>
          <w:rFonts w:ascii="Times New Roman" w:hAnsi="Times New Roman" w:cs="Times New Roman"/>
          <w:sz w:val="26"/>
          <w:szCs w:val="26"/>
        </w:rPr>
        <w:t xml:space="preserve">của nó </w:t>
      </w:r>
      <w:r w:rsidRPr="00313E35">
        <w:rPr>
          <w:rFonts w:ascii="Times New Roman" w:hAnsi="Times New Roman" w:cs="Times New Roman"/>
          <w:sz w:val="26"/>
          <w:szCs w:val="26"/>
        </w:rPr>
        <w:t xml:space="preserve">chỉ nhận biết </w:t>
      </w:r>
      <w:r w:rsidR="007B045D" w:rsidRPr="00313E35">
        <w:rPr>
          <w:rFonts w:ascii="Times New Roman" w:hAnsi="Times New Roman" w:cs="Times New Roman"/>
          <w:sz w:val="26"/>
          <w:szCs w:val="26"/>
        </w:rPr>
        <w:t xml:space="preserve">được </w:t>
      </w:r>
      <w:r w:rsidRPr="00313E35">
        <w:rPr>
          <w:rFonts w:ascii="Times New Roman" w:hAnsi="Times New Roman" w:cs="Times New Roman"/>
          <w:sz w:val="26"/>
          <w:szCs w:val="26"/>
        </w:rPr>
        <w:t xml:space="preserve">khi nồng độ đã </w:t>
      </w:r>
      <w:r w:rsidR="007B045D">
        <w:rPr>
          <w:rFonts w:ascii="Times New Roman" w:hAnsi="Times New Roman" w:cs="Times New Roman"/>
          <w:sz w:val="26"/>
          <w:szCs w:val="26"/>
        </w:rPr>
        <w:t xml:space="preserve">ở </w:t>
      </w:r>
      <w:r w:rsidRPr="00313E35">
        <w:rPr>
          <w:rFonts w:ascii="Times New Roman" w:hAnsi="Times New Roman" w:cs="Times New Roman"/>
          <w:sz w:val="26"/>
          <w:szCs w:val="26"/>
        </w:rPr>
        <w:t xml:space="preserve">gần ngưỡng độc hại; </w:t>
      </w:r>
      <w:r w:rsidR="007B045D">
        <w:rPr>
          <w:rFonts w:ascii="Times New Roman" w:hAnsi="Times New Roman" w:cs="Times New Roman"/>
          <w:sz w:val="26"/>
          <w:szCs w:val="26"/>
        </w:rPr>
        <w:t>c</w:t>
      </w:r>
      <w:r w:rsidRPr="00313E35">
        <w:rPr>
          <w:rFonts w:ascii="Times New Roman" w:hAnsi="Times New Roman" w:cs="Times New Roman"/>
          <w:sz w:val="26"/>
          <w:szCs w:val="26"/>
        </w:rPr>
        <w:t>ó thể gây tử vong trước khi con người cảm thấy thực sự khó chịu</w:t>
      </w:r>
      <w:r w:rsidR="007B045D">
        <w:rPr>
          <w:rFonts w:ascii="Times New Roman" w:hAnsi="Times New Roman" w:cs="Times New Roman"/>
          <w:sz w:val="26"/>
          <w:szCs w:val="26"/>
        </w:rPr>
        <w:t xml:space="preserve"> </w:t>
      </w:r>
      <w:r w:rsidRPr="00313E35">
        <w:rPr>
          <w:rFonts w:ascii="Times New Roman" w:hAnsi="Times New Roman" w:cs="Times New Roman"/>
          <w:sz w:val="26"/>
          <w:szCs w:val="26"/>
        </w:rPr>
        <w:t xml:space="preserve">thì </w:t>
      </w:r>
      <w:r w:rsidRPr="007B045D">
        <w:rPr>
          <w:rFonts w:ascii="Times New Roman" w:hAnsi="Times New Roman" w:cs="Times New Roman"/>
          <w:color w:val="EE0000"/>
          <w:sz w:val="26"/>
          <w:szCs w:val="26"/>
        </w:rPr>
        <w:t xml:space="preserve">sự thiếu thống nhất trong chất lượng </w:t>
      </w:r>
      <w:r w:rsidR="007B045D" w:rsidRPr="007B045D">
        <w:rPr>
          <w:rFonts w:ascii="Times New Roman" w:hAnsi="Times New Roman" w:cs="Times New Roman"/>
          <w:color w:val="EE0000"/>
          <w:sz w:val="26"/>
          <w:szCs w:val="26"/>
        </w:rPr>
        <w:t>huấn luyện</w:t>
      </w:r>
      <w:r w:rsidRPr="007B045D">
        <w:rPr>
          <w:rFonts w:ascii="Times New Roman" w:hAnsi="Times New Roman" w:cs="Times New Roman"/>
          <w:color w:val="EE0000"/>
          <w:sz w:val="26"/>
          <w:szCs w:val="26"/>
        </w:rPr>
        <w:t xml:space="preserve"> không chỉ là vấn đề thủ tục hành chính mà là một vấn đề an toàn nghiêm trọng</w:t>
      </w:r>
      <w:r w:rsidRPr="00313E35">
        <w:rPr>
          <w:rFonts w:ascii="Times New Roman" w:hAnsi="Times New Roman" w:cs="Times New Roman"/>
          <w:sz w:val="26"/>
          <w:szCs w:val="26"/>
        </w:rPr>
        <w:t>.</w:t>
      </w:r>
    </w:p>
    <w:p w14:paraId="1D46F130" w14:textId="77777777" w:rsidR="00313E35" w:rsidRPr="00313E35" w:rsidRDefault="00313E35" w:rsidP="00313E35">
      <w:pPr>
        <w:spacing w:after="0"/>
        <w:jc w:val="both"/>
        <w:rPr>
          <w:rFonts w:ascii="Times New Roman" w:hAnsi="Times New Roman" w:cs="Times New Roman"/>
          <w:b/>
          <w:bCs/>
          <w:sz w:val="26"/>
          <w:szCs w:val="26"/>
        </w:rPr>
      </w:pPr>
      <w:r w:rsidRPr="00313E35">
        <w:rPr>
          <w:rFonts w:ascii="Times New Roman" w:hAnsi="Times New Roman" w:cs="Times New Roman"/>
          <w:b/>
          <w:bCs/>
          <w:sz w:val="26"/>
          <w:szCs w:val="26"/>
        </w:rPr>
        <w:t>Vì sao lợi thế "đi trước" vẫn rất quan trọng?</w:t>
      </w:r>
    </w:p>
    <w:p w14:paraId="519E8D1C" w14:textId="47E40C53" w:rsidR="00313E35" w:rsidRPr="00313E35" w:rsidRDefault="00313E35" w:rsidP="007B045D">
      <w:pPr>
        <w:tabs>
          <w:tab w:val="num" w:pos="720"/>
        </w:tabs>
        <w:spacing w:after="120"/>
        <w:jc w:val="both"/>
        <w:rPr>
          <w:rFonts w:ascii="Times New Roman" w:hAnsi="Times New Roman" w:cs="Times New Roman"/>
          <w:sz w:val="26"/>
          <w:szCs w:val="26"/>
        </w:rPr>
      </w:pPr>
      <w:r w:rsidRPr="00313E35">
        <w:rPr>
          <w:rFonts w:ascii="Times New Roman" w:hAnsi="Times New Roman" w:cs="Times New Roman"/>
          <w:sz w:val="26"/>
          <w:szCs w:val="26"/>
        </w:rPr>
        <w:t xml:space="preserve">Tuy vậy, những hạn chế nêu trên </w:t>
      </w:r>
      <w:r w:rsidRPr="007B045D">
        <w:rPr>
          <w:rFonts w:ascii="Times New Roman" w:hAnsi="Times New Roman" w:cs="Times New Roman"/>
          <w:sz w:val="26"/>
          <w:szCs w:val="26"/>
        </w:rPr>
        <w:t>không phải là lý do để phủ nhận giá trị của Hướng dẫn</w:t>
      </w:r>
      <w:r w:rsidR="007B045D">
        <w:rPr>
          <w:rFonts w:ascii="Times New Roman" w:hAnsi="Times New Roman" w:cs="Times New Roman"/>
          <w:sz w:val="26"/>
          <w:szCs w:val="26"/>
        </w:rPr>
        <w:t xml:space="preserve"> này</w:t>
      </w:r>
      <w:r w:rsidRPr="00313E35">
        <w:rPr>
          <w:rFonts w:ascii="Times New Roman" w:hAnsi="Times New Roman" w:cs="Times New Roman"/>
          <w:sz w:val="26"/>
          <w:szCs w:val="26"/>
        </w:rPr>
        <w:t>, mà ngược lại, càng cho thấy cần tận dụng khoảng thời gian chuẩn bị mà IMO đã tạo ra.</w:t>
      </w:r>
      <w:r w:rsidR="007B045D">
        <w:rPr>
          <w:rFonts w:ascii="Times New Roman" w:hAnsi="Times New Roman" w:cs="Times New Roman"/>
          <w:sz w:val="26"/>
          <w:szCs w:val="26"/>
        </w:rPr>
        <w:t xml:space="preserve"> </w:t>
      </w:r>
      <w:r w:rsidRPr="00313E35">
        <w:rPr>
          <w:rFonts w:ascii="Times New Roman" w:hAnsi="Times New Roman" w:cs="Times New Roman"/>
          <w:sz w:val="26"/>
          <w:szCs w:val="26"/>
        </w:rPr>
        <w:t>Hiện nay</w:t>
      </w:r>
      <w:r w:rsidR="007B045D">
        <w:rPr>
          <w:rFonts w:ascii="Times New Roman" w:hAnsi="Times New Roman" w:cs="Times New Roman"/>
          <w:sz w:val="26"/>
          <w:szCs w:val="26"/>
        </w:rPr>
        <w:t>, c</w:t>
      </w:r>
      <w:r w:rsidRPr="00313E35">
        <w:rPr>
          <w:rFonts w:ascii="Times New Roman" w:hAnsi="Times New Roman" w:cs="Times New Roman"/>
          <w:sz w:val="26"/>
          <w:szCs w:val="26"/>
        </w:rPr>
        <w:t>ác tàu sử dụng nhiên liệu amoniac mới chỉ chiếm một tỷ lệ rất nhỏ trong tổng số tàu đặt đóng</w:t>
      </w:r>
      <w:r w:rsidR="007B045D">
        <w:rPr>
          <w:rFonts w:ascii="Times New Roman" w:hAnsi="Times New Roman" w:cs="Times New Roman"/>
          <w:sz w:val="26"/>
          <w:szCs w:val="26"/>
        </w:rPr>
        <w:t xml:space="preserve"> và g</w:t>
      </w:r>
      <w:r w:rsidRPr="00313E35">
        <w:rPr>
          <w:rFonts w:ascii="Times New Roman" w:hAnsi="Times New Roman" w:cs="Times New Roman"/>
          <w:sz w:val="26"/>
          <w:szCs w:val="26"/>
        </w:rPr>
        <w:t xml:space="preserve">ần như chưa có tàu nào chính thức </w:t>
      </w:r>
      <w:r w:rsidR="007B045D">
        <w:rPr>
          <w:rFonts w:ascii="Times New Roman" w:hAnsi="Times New Roman" w:cs="Times New Roman"/>
          <w:sz w:val="26"/>
          <w:szCs w:val="26"/>
        </w:rPr>
        <w:t xml:space="preserve">được đưa vào </w:t>
      </w:r>
      <w:r w:rsidRPr="00313E35">
        <w:rPr>
          <w:rFonts w:ascii="Times New Roman" w:hAnsi="Times New Roman" w:cs="Times New Roman"/>
          <w:sz w:val="26"/>
          <w:szCs w:val="26"/>
        </w:rPr>
        <w:t xml:space="preserve">khai thác thương mại. Điều đó tạo ra một </w:t>
      </w:r>
      <w:r w:rsidRPr="00313E35">
        <w:rPr>
          <w:rFonts w:ascii="Times New Roman" w:hAnsi="Times New Roman" w:cs="Times New Roman"/>
          <w:b/>
          <w:bCs/>
          <w:sz w:val="26"/>
          <w:szCs w:val="26"/>
        </w:rPr>
        <w:t>"</w:t>
      </w:r>
      <w:r w:rsidRPr="007B045D">
        <w:rPr>
          <w:rFonts w:ascii="Times New Roman" w:hAnsi="Times New Roman" w:cs="Times New Roman"/>
          <w:sz w:val="26"/>
          <w:szCs w:val="26"/>
        </w:rPr>
        <w:t>khoảng thời gian vàng"</w:t>
      </w:r>
      <w:r w:rsidRPr="00313E35">
        <w:rPr>
          <w:rFonts w:ascii="Times New Roman" w:hAnsi="Times New Roman" w:cs="Times New Roman"/>
          <w:sz w:val="26"/>
          <w:szCs w:val="26"/>
        </w:rPr>
        <w:t xml:space="preserve"> để</w:t>
      </w:r>
      <w:r w:rsidR="007B045D">
        <w:rPr>
          <w:rFonts w:ascii="Times New Roman" w:hAnsi="Times New Roman" w:cs="Times New Roman"/>
          <w:sz w:val="26"/>
          <w:szCs w:val="26"/>
        </w:rPr>
        <w:t xml:space="preserve"> c</w:t>
      </w:r>
      <w:r w:rsidRPr="00313E35">
        <w:rPr>
          <w:rFonts w:ascii="Times New Roman" w:hAnsi="Times New Roman" w:cs="Times New Roman"/>
          <w:sz w:val="26"/>
          <w:szCs w:val="26"/>
        </w:rPr>
        <w:t xml:space="preserve">ác </w:t>
      </w:r>
      <w:r w:rsidR="007B045D">
        <w:rPr>
          <w:rFonts w:ascii="Times New Roman" w:hAnsi="Times New Roman" w:cs="Times New Roman"/>
          <w:sz w:val="26"/>
          <w:szCs w:val="26"/>
        </w:rPr>
        <w:t>trường</w:t>
      </w:r>
      <w:r w:rsidRPr="00313E35">
        <w:rPr>
          <w:rFonts w:ascii="Times New Roman" w:hAnsi="Times New Roman" w:cs="Times New Roman"/>
          <w:sz w:val="26"/>
          <w:szCs w:val="26"/>
        </w:rPr>
        <w:t xml:space="preserve"> hàng hải xây dựng giáo trình</w:t>
      </w:r>
      <w:r w:rsidR="007B045D">
        <w:rPr>
          <w:rFonts w:ascii="Times New Roman" w:hAnsi="Times New Roman" w:cs="Times New Roman"/>
          <w:sz w:val="26"/>
          <w:szCs w:val="26"/>
        </w:rPr>
        <w:t>, c</w:t>
      </w:r>
      <w:r w:rsidRPr="00313E35">
        <w:rPr>
          <w:rFonts w:ascii="Times New Roman" w:hAnsi="Times New Roman" w:cs="Times New Roman"/>
          <w:sz w:val="26"/>
          <w:szCs w:val="26"/>
        </w:rPr>
        <w:t>ác tổ chức phân cấp hoàn thiện tiêu chuẩn</w:t>
      </w:r>
      <w:r w:rsidR="007B045D">
        <w:rPr>
          <w:rFonts w:ascii="Times New Roman" w:hAnsi="Times New Roman" w:cs="Times New Roman"/>
          <w:sz w:val="26"/>
          <w:szCs w:val="26"/>
        </w:rPr>
        <w:t>, c</w:t>
      </w:r>
      <w:r w:rsidRPr="00313E35">
        <w:rPr>
          <w:rFonts w:ascii="Times New Roman" w:hAnsi="Times New Roman" w:cs="Times New Roman"/>
          <w:sz w:val="26"/>
          <w:szCs w:val="26"/>
        </w:rPr>
        <w:t xml:space="preserve">ác cơ sở </w:t>
      </w:r>
      <w:r w:rsidR="007B045D">
        <w:rPr>
          <w:rFonts w:ascii="Times New Roman" w:hAnsi="Times New Roman" w:cs="Times New Roman"/>
          <w:sz w:val="26"/>
          <w:szCs w:val="26"/>
        </w:rPr>
        <w:t>huấn luyện</w:t>
      </w:r>
      <w:r w:rsidRPr="00313E35">
        <w:rPr>
          <w:rFonts w:ascii="Times New Roman" w:hAnsi="Times New Roman" w:cs="Times New Roman"/>
          <w:sz w:val="26"/>
          <w:szCs w:val="26"/>
        </w:rPr>
        <w:t xml:space="preserve"> chuẩn bị đội ngũ giảng viên</w:t>
      </w:r>
      <w:r w:rsidR="007B045D">
        <w:rPr>
          <w:rFonts w:ascii="Times New Roman" w:hAnsi="Times New Roman" w:cs="Times New Roman"/>
          <w:sz w:val="26"/>
          <w:szCs w:val="26"/>
        </w:rPr>
        <w:t>, t</w:t>
      </w:r>
      <w:r w:rsidRPr="00313E35">
        <w:rPr>
          <w:rFonts w:ascii="Times New Roman" w:hAnsi="Times New Roman" w:cs="Times New Roman"/>
          <w:sz w:val="26"/>
          <w:szCs w:val="26"/>
        </w:rPr>
        <w:t>hử nghiệm các bài diễn tập ứng phó với rò rỉ khí độc</w:t>
      </w:r>
      <w:r w:rsidR="007B045D">
        <w:rPr>
          <w:rFonts w:ascii="Times New Roman" w:hAnsi="Times New Roman" w:cs="Times New Roman"/>
          <w:sz w:val="26"/>
          <w:szCs w:val="26"/>
        </w:rPr>
        <w:t xml:space="preserve"> </w:t>
      </w:r>
      <w:r w:rsidRPr="007B045D">
        <w:rPr>
          <w:rFonts w:ascii="Times New Roman" w:hAnsi="Times New Roman" w:cs="Times New Roman"/>
          <w:sz w:val="26"/>
          <w:szCs w:val="26"/>
        </w:rPr>
        <w:t>trước khi</w:t>
      </w:r>
      <w:r w:rsidRPr="00313E35">
        <w:rPr>
          <w:rFonts w:ascii="Times New Roman" w:hAnsi="Times New Roman" w:cs="Times New Roman"/>
          <w:sz w:val="26"/>
          <w:szCs w:val="26"/>
        </w:rPr>
        <w:t xml:space="preserve"> thuyền viên thực sự phải làm việc trên các tàu sử dụng nhiên liệu amoniac.</w:t>
      </w:r>
    </w:p>
    <w:p w14:paraId="4131CA86" w14:textId="30C39C55" w:rsidR="00313E35" w:rsidRPr="00313E35" w:rsidRDefault="00313E35" w:rsidP="007B045D">
      <w:pPr>
        <w:spacing w:after="120"/>
        <w:jc w:val="both"/>
        <w:rPr>
          <w:rFonts w:ascii="Times New Roman" w:hAnsi="Times New Roman" w:cs="Times New Roman"/>
          <w:sz w:val="26"/>
          <w:szCs w:val="26"/>
        </w:rPr>
      </w:pPr>
      <w:r w:rsidRPr="00313E35">
        <w:rPr>
          <w:rFonts w:ascii="Times New Roman" w:hAnsi="Times New Roman" w:cs="Times New Roman"/>
          <w:sz w:val="26"/>
          <w:szCs w:val="26"/>
        </w:rPr>
        <w:t>Trong lịch sử, trình tự này thường diễn ra theo chiều ngược lại.</w:t>
      </w:r>
      <w:r w:rsidR="007B045D">
        <w:rPr>
          <w:rFonts w:ascii="Times New Roman" w:hAnsi="Times New Roman" w:cs="Times New Roman"/>
          <w:sz w:val="26"/>
          <w:szCs w:val="26"/>
        </w:rPr>
        <w:t xml:space="preserve"> </w:t>
      </w:r>
      <w:r w:rsidRPr="00313E35">
        <w:rPr>
          <w:rFonts w:ascii="Times New Roman" w:hAnsi="Times New Roman" w:cs="Times New Roman"/>
          <w:sz w:val="26"/>
          <w:szCs w:val="26"/>
        </w:rPr>
        <w:t xml:space="preserve">Các tiêu chuẩn </w:t>
      </w:r>
      <w:r w:rsidR="007B045D">
        <w:rPr>
          <w:rFonts w:ascii="Times New Roman" w:hAnsi="Times New Roman" w:cs="Times New Roman"/>
          <w:sz w:val="26"/>
          <w:szCs w:val="26"/>
        </w:rPr>
        <w:t>huấn luyện</w:t>
      </w:r>
      <w:r w:rsidRPr="00313E35">
        <w:rPr>
          <w:rFonts w:ascii="Times New Roman" w:hAnsi="Times New Roman" w:cs="Times New Roman"/>
          <w:sz w:val="26"/>
          <w:szCs w:val="26"/>
        </w:rPr>
        <w:t xml:space="preserve"> đối với LNG chỉ được hoàn thiện </w:t>
      </w:r>
      <w:r w:rsidRPr="007B045D">
        <w:rPr>
          <w:rFonts w:ascii="Times New Roman" w:hAnsi="Times New Roman" w:cs="Times New Roman"/>
          <w:sz w:val="26"/>
          <w:szCs w:val="26"/>
        </w:rPr>
        <w:t>sau khi</w:t>
      </w:r>
      <w:r w:rsidRPr="00313E35">
        <w:rPr>
          <w:rFonts w:ascii="Times New Roman" w:hAnsi="Times New Roman" w:cs="Times New Roman"/>
          <w:sz w:val="26"/>
          <w:szCs w:val="26"/>
        </w:rPr>
        <w:t xml:space="preserve"> nhiều tàu </w:t>
      </w:r>
      <w:r w:rsidR="007B045D">
        <w:rPr>
          <w:rFonts w:ascii="Times New Roman" w:hAnsi="Times New Roman" w:cs="Times New Roman"/>
          <w:sz w:val="26"/>
          <w:szCs w:val="26"/>
        </w:rPr>
        <w:t xml:space="preserve">chở </w:t>
      </w:r>
      <w:r w:rsidRPr="00313E35">
        <w:rPr>
          <w:rFonts w:ascii="Times New Roman" w:hAnsi="Times New Roman" w:cs="Times New Roman"/>
          <w:sz w:val="26"/>
          <w:szCs w:val="26"/>
        </w:rPr>
        <w:t>LNG đã đi vào hoạt động.</w:t>
      </w:r>
      <w:r w:rsidR="007B045D">
        <w:rPr>
          <w:rFonts w:ascii="Times New Roman" w:hAnsi="Times New Roman" w:cs="Times New Roman"/>
          <w:sz w:val="26"/>
          <w:szCs w:val="26"/>
        </w:rPr>
        <w:t xml:space="preserve"> </w:t>
      </w:r>
      <w:r w:rsidRPr="00313E35">
        <w:rPr>
          <w:rFonts w:ascii="Times New Roman" w:hAnsi="Times New Roman" w:cs="Times New Roman"/>
          <w:sz w:val="26"/>
          <w:szCs w:val="26"/>
        </w:rPr>
        <w:t xml:space="preserve">Vì vậy, việc có thể </w:t>
      </w:r>
      <w:r w:rsidRPr="007B045D">
        <w:rPr>
          <w:rFonts w:ascii="Times New Roman" w:hAnsi="Times New Roman" w:cs="Times New Roman"/>
          <w:sz w:val="26"/>
          <w:szCs w:val="26"/>
        </w:rPr>
        <w:t>đi trước đội tàu</w:t>
      </w:r>
      <w:r w:rsidRPr="00313E35">
        <w:rPr>
          <w:rFonts w:ascii="Times New Roman" w:hAnsi="Times New Roman" w:cs="Times New Roman"/>
          <w:sz w:val="26"/>
          <w:szCs w:val="26"/>
        </w:rPr>
        <w:t>, dù mới chỉ bằng một hướng dẫn thay vì một chương bắt buộc trong Bộ luật, là một cơ hội hiếm có và đáng hoan nghênh đối với ngành hàng hải.</w:t>
      </w:r>
    </w:p>
    <w:p w14:paraId="00E158C9" w14:textId="36F18296" w:rsidR="00313E35" w:rsidRPr="00313E35" w:rsidRDefault="00313E35" w:rsidP="007B045D">
      <w:pPr>
        <w:spacing w:after="120"/>
        <w:jc w:val="both"/>
        <w:rPr>
          <w:rFonts w:ascii="Times New Roman" w:hAnsi="Times New Roman" w:cs="Times New Roman"/>
          <w:sz w:val="26"/>
          <w:szCs w:val="26"/>
        </w:rPr>
      </w:pPr>
      <w:r w:rsidRPr="00313E35">
        <w:rPr>
          <w:rFonts w:ascii="Times New Roman" w:hAnsi="Times New Roman" w:cs="Times New Roman"/>
          <w:sz w:val="26"/>
          <w:szCs w:val="26"/>
        </w:rPr>
        <w:t xml:space="preserve">Ủy ban của IMO cũng đã có một quyết định đúng đắn khi lựa chọn </w:t>
      </w:r>
      <w:r w:rsidRPr="007B045D">
        <w:rPr>
          <w:rFonts w:ascii="Times New Roman" w:hAnsi="Times New Roman" w:cs="Times New Roman"/>
          <w:sz w:val="26"/>
          <w:szCs w:val="26"/>
        </w:rPr>
        <w:t>liên tục rà soát và cập nhật Hướng dẫn</w:t>
      </w:r>
      <w:r w:rsidR="007B045D">
        <w:rPr>
          <w:rFonts w:ascii="Times New Roman" w:hAnsi="Times New Roman" w:cs="Times New Roman"/>
          <w:sz w:val="26"/>
          <w:szCs w:val="26"/>
        </w:rPr>
        <w:t xml:space="preserve"> này</w:t>
      </w:r>
      <w:r w:rsidRPr="00313E35">
        <w:rPr>
          <w:rFonts w:ascii="Times New Roman" w:hAnsi="Times New Roman" w:cs="Times New Roman"/>
          <w:sz w:val="26"/>
          <w:szCs w:val="26"/>
        </w:rPr>
        <w:t>, thay vì "đóng băng" nội dung ngay từ đầu.</w:t>
      </w:r>
      <w:r w:rsidR="007B045D">
        <w:rPr>
          <w:rFonts w:ascii="Times New Roman" w:hAnsi="Times New Roman" w:cs="Times New Roman"/>
          <w:sz w:val="26"/>
          <w:szCs w:val="26"/>
        </w:rPr>
        <w:t xml:space="preserve"> </w:t>
      </w:r>
      <w:r w:rsidRPr="00313E35">
        <w:rPr>
          <w:rFonts w:ascii="Times New Roman" w:hAnsi="Times New Roman" w:cs="Times New Roman"/>
          <w:sz w:val="26"/>
          <w:szCs w:val="26"/>
        </w:rPr>
        <w:t xml:space="preserve">Tuy nhiên, cụm từ </w:t>
      </w:r>
      <w:r w:rsidRPr="007B045D">
        <w:rPr>
          <w:rFonts w:ascii="Times New Roman" w:hAnsi="Times New Roman" w:cs="Times New Roman"/>
          <w:color w:val="EE0000"/>
          <w:sz w:val="26"/>
          <w:szCs w:val="26"/>
        </w:rPr>
        <w:t>"đang được xem xét" (under review) không nên bị hiểu là "có thể trì hoãn việc triển khai".</w:t>
      </w:r>
    </w:p>
    <w:p w14:paraId="6017D5BC" w14:textId="02590125" w:rsidR="00313E35" w:rsidRPr="00313E35" w:rsidRDefault="00313E35" w:rsidP="007B045D">
      <w:pPr>
        <w:spacing w:after="120"/>
        <w:jc w:val="both"/>
        <w:rPr>
          <w:rFonts w:ascii="Times New Roman" w:hAnsi="Times New Roman" w:cs="Times New Roman"/>
          <w:sz w:val="26"/>
          <w:szCs w:val="26"/>
        </w:rPr>
      </w:pPr>
      <w:r w:rsidRPr="00313E35">
        <w:rPr>
          <w:rFonts w:ascii="Times New Roman" w:hAnsi="Times New Roman" w:cs="Times New Roman"/>
          <w:sz w:val="26"/>
          <w:szCs w:val="26"/>
        </w:rPr>
        <w:t xml:space="preserve">Các quốc gia </w:t>
      </w:r>
      <w:r w:rsidR="007B045D">
        <w:rPr>
          <w:rFonts w:ascii="Times New Roman" w:hAnsi="Times New Roman" w:cs="Times New Roman"/>
          <w:sz w:val="26"/>
          <w:szCs w:val="26"/>
        </w:rPr>
        <w:t>đăng ký tàu</w:t>
      </w:r>
      <w:r w:rsidRPr="00313E35">
        <w:rPr>
          <w:rFonts w:ascii="Times New Roman" w:hAnsi="Times New Roman" w:cs="Times New Roman"/>
          <w:sz w:val="26"/>
          <w:szCs w:val="26"/>
        </w:rPr>
        <w:t xml:space="preserve">, các </w:t>
      </w:r>
      <w:r w:rsidRPr="007B045D">
        <w:rPr>
          <w:rFonts w:ascii="Times New Roman" w:hAnsi="Times New Roman" w:cs="Times New Roman"/>
          <w:sz w:val="26"/>
          <w:szCs w:val="26"/>
        </w:rPr>
        <w:t>Hội P&amp;I</w:t>
      </w:r>
      <w:r w:rsidRPr="00313E35">
        <w:rPr>
          <w:rFonts w:ascii="Times New Roman" w:hAnsi="Times New Roman" w:cs="Times New Roman"/>
          <w:sz w:val="26"/>
          <w:szCs w:val="26"/>
        </w:rPr>
        <w:t xml:space="preserve">, cũng như các chủ tàu đang đặt đóng các tàu </w:t>
      </w:r>
      <w:r w:rsidR="007B045D">
        <w:rPr>
          <w:rFonts w:ascii="Times New Roman" w:hAnsi="Times New Roman" w:cs="Times New Roman"/>
          <w:sz w:val="26"/>
          <w:szCs w:val="26"/>
        </w:rPr>
        <w:t xml:space="preserve">sẵn sàng chạy bằng </w:t>
      </w:r>
      <w:r w:rsidRPr="007B045D">
        <w:rPr>
          <w:rFonts w:ascii="Times New Roman" w:hAnsi="Times New Roman" w:cs="Times New Roman"/>
          <w:sz w:val="26"/>
          <w:szCs w:val="26"/>
        </w:rPr>
        <w:t>ammonia</w:t>
      </w:r>
      <w:r w:rsidRPr="00313E35">
        <w:rPr>
          <w:rFonts w:ascii="Times New Roman" w:hAnsi="Times New Roman" w:cs="Times New Roman"/>
          <w:sz w:val="26"/>
          <w:szCs w:val="26"/>
        </w:rPr>
        <w:t xml:space="preserve"> có đầy đủ lý do để xem </w:t>
      </w:r>
      <w:r w:rsidRPr="007B045D">
        <w:rPr>
          <w:rFonts w:ascii="Times New Roman" w:hAnsi="Times New Roman" w:cs="Times New Roman"/>
          <w:sz w:val="26"/>
          <w:szCs w:val="26"/>
        </w:rPr>
        <w:t>STCW.7/Circ.27</w:t>
      </w:r>
      <w:r w:rsidRPr="00313E35">
        <w:rPr>
          <w:rFonts w:ascii="Times New Roman" w:hAnsi="Times New Roman" w:cs="Times New Roman"/>
          <w:sz w:val="26"/>
          <w:szCs w:val="26"/>
        </w:rPr>
        <w:t xml:space="preserve"> là </w:t>
      </w:r>
      <w:r w:rsidRPr="007B045D">
        <w:rPr>
          <w:rFonts w:ascii="Times New Roman" w:hAnsi="Times New Roman" w:cs="Times New Roman"/>
          <w:sz w:val="26"/>
          <w:szCs w:val="26"/>
        </w:rPr>
        <w:t>mức yêu cầu tối thiểu và ngay từ bây giờ</w:t>
      </w:r>
      <w:r w:rsidRPr="00313E35">
        <w:rPr>
          <w:rFonts w:ascii="Times New Roman" w:hAnsi="Times New Roman" w:cs="Times New Roman"/>
          <w:sz w:val="26"/>
          <w:szCs w:val="26"/>
        </w:rPr>
        <w:t xml:space="preserve"> xây dựng các chương trình đào tạo nghiêm túc, thay vì chờ đến khi tài liệu này trở thành quy định bắt buộc.</w:t>
      </w:r>
    </w:p>
    <w:p w14:paraId="060564A8" w14:textId="2E62D5D0" w:rsidR="00313E35" w:rsidRPr="007B045D" w:rsidRDefault="00313E35" w:rsidP="007B045D">
      <w:pPr>
        <w:spacing w:after="120"/>
        <w:jc w:val="both"/>
        <w:rPr>
          <w:rFonts w:ascii="Times New Roman" w:hAnsi="Times New Roman" w:cs="Times New Roman"/>
          <w:color w:val="EE0000"/>
          <w:sz w:val="26"/>
          <w:szCs w:val="26"/>
        </w:rPr>
      </w:pPr>
      <w:r w:rsidRPr="00313E35">
        <w:rPr>
          <w:rFonts w:ascii="Times New Roman" w:hAnsi="Times New Roman" w:cs="Times New Roman"/>
          <w:sz w:val="26"/>
          <w:szCs w:val="26"/>
        </w:rPr>
        <w:t xml:space="preserve">Ngành hàng hải rất hiếm khi có cơ hội </w:t>
      </w:r>
      <w:r w:rsidRPr="007B045D">
        <w:rPr>
          <w:rFonts w:ascii="Times New Roman" w:hAnsi="Times New Roman" w:cs="Times New Roman"/>
          <w:sz w:val="26"/>
          <w:szCs w:val="26"/>
        </w:rPr>
        <w:t xml:space="preserve">xây dựng </w:t>
      </w:r>
      <w:r w:rsidR="007B045D">
        <w:rPr>
          <w:rFonts w:ascii="Times New Roman" w:hAnsi="Times New Roman" w:cs="Times New Roman"/>
          <w:sz w:val="26"/>
          <w:szCs w:val="26"/>
        </w:rPr>
        <w:t xml:space="preserve">được </w:t>
      </w:r>
      <w:r w:rsidRPr="007B045D">
        <w:rPr>
          <w:rFonts w:ascii="Times New Roman" w:hAnsi="Times New Roman" w:cs="Times New Roman"/>
          <w:sz w:val="26"/>
          <w:szCs w:val="26"/>
        </w:rPr>
        <w:t>quy định trước khi rủi ro thực sự xảy ra</w:t>
      </w:r>
      <w:r w:rsidR="007B045D">
        <w:rPr>
          <w:rFonts w:ascii="Times New Roman" w:hAnsi="Times New Roman" w:cs="Times New Roman"/>
          <w:sz w:val="26"/>
          <w:szCs w:val="26"/>
        </w:rPr>
        <w:t xml:space="preserve"> nên </w:t>
      </w:r>
      <w:r w:rsidRPr="007B045D">
        <w:rPr>
          <w:rFonts w:ascii="Times New Roman" w:hAnsi="Times New Roman" w:cs="Times New Roman"/>
          <w:color w:val="EE0000"/>
          <w:sz w:val="26"/>
          <w:szCs w:val="26"/>
        </w:rPr>
        <w:t>không nên lãng phí lợi thế khởi đầu quý giá mà IMO vừa tạo ra.</w:t>
      </w:r>
    </w:p>
    <w:p w14:paraId="17F332B6" w14:textId="357BCFA2" w:rsidR="00313E35" w:rsidRPr="00313E35" w:rsidRDefault="00313E35" w:rsidP="00313E35">
      <w:pPr>
        <w:spacing w:after="0"/>
        <w:jc w:val="both"/>
        <w:rPr>
          <w:rFonts w:ascii="Times New Roman" w:hAnsi="Times New Roman" w:cs="Times New Roman"/>
          <w:sz w:val="26"/>
          <w:szCs w:val="26"/>
        </w:rPr>
      </w:pPr>
      <w:r w:rsidRPr="00313E35">
        <w:rPr>
          <w:rFonts w:ascii="Times New Roman" w:hAnsi="Times New Roman" w:cs="Times New Roman"/>
          <w:sz w:val="26"/>
          <w:szCs w:val="26"/>
        </w:rPr>
        <w:lastRenderedPageBreak/>
        <w:t xml:space="preserve">Để biết thêm chi tiết, có thể tải </w:t>
      </w:r>
      <w:r w:rsidR="006A5257">
        <w:rPr>
          <w:rFonts w:ascii="Times New Roman" w:hAnsi="Times New Roman" w:cs="Times New Roman"/>
          <w:sz w:val="26"/>
          <w:szCs w:val="26"/>
        </w:rPr>
        <w:t xml:space="preserve">bản gốc của </w:t>
      </w:r>
      <w:r w:rsidRPr="006A5257">
        <w:rPr>
          <w:rFonts w:ascii="Times New Roman" w:hAnsi="Times New Roman" w:cs="Times New Roman"/>
          <w:b/>
          <w:bCs/>
          <w:sz w:val="26"/>
          <w:szCs w:val="26"/>
        </w:rPr>
        <w:t xml:space="preserve">Hướng dẫn tạm thời của IMO về </w:t>
      </w:r>
      <w:r w:rsidR="006A5257" w:rsidRPr="006A5257">
        <w:rPr>
          <w:rFonts w:ascii="Times New Roman" w:hAnsi="Times New Roman" w:cs="Times New Roman"/>
          <w:b/>
          <w:bCs/>
          <w:sz w:val="26"/>
          <w:szCs w:val="26"/>
        </w:rPr>
        <w:t>huấn luyện</w:t>
      </w:r>
      <w:r w:rsidRPr="006A5257">
        <w:rPr>
          <w:rFonts w:ascii="Times New Roman" w:hAnsi="Times New Roman" w:cs="Times New Roman"/>
          <w:b/>
          <w:bCs/>
          <w:sz w:val="26"/>
          <w:szCs w:val="26"/>
        </w:rPr>
        <w:t xml:space="preserve"> thuyền viên trên tàu sử dụng nhiên liệu amoniac</w:t>
      </w:r>
      <w:r w:rsidRPr="00313E35">
        <w:rPr>
          <w:rFonts w:ascii="Times New Roman" w:hAnsi="Times New Roman" w:cs="Times New Roman"/>
          <w:sz w:val="26"/>
          <w:szCs w:val="26"/>
        </w:rPr>
        <w:t xml:space="preserve"> </w:t>
      </w:r>
      <w:r w:rsidR="007B045D">
        <w:rPr>
          <w:rFonts w:ascii="Times New Roman" w:hAnsi="Times New Roman" w:cs="Times New Roman"/>
          <w:sz w:val="26"/>
          <w:szCs w:val="26"/>
        </w:rPr>
        <w:t>từ liên kết dưới đây</w:t>
      </w:r>
      <w:r w:rsidRPr="00313E35">
        <w:rPr>
          <w:rFonts w:ascii="Times New Roman" w:hAnsi="Times New Roman" w:cs="Times New Roman"/>
          <w:sz w:val="26"/>
          <w:szCs w:val="26"/>
        </w:rPr>
        <w:t>.</w:t>
      </w:r>
    </w:p>
    <w:p w14:paraId="33F47A4F" w14:textId="6EA35EF1" w:rsidR="00C13E10" w:rsidRDefault="00313E35">
      <w:hyperlink r:id="rId10" w:history="1">
        <w:r w:rsidRPr="00FE0D03">
          <w:rPr>
            <w:rStyle w:val="Hyperlink"/>
          </w:rPr>
          <w:t>https://maritimecyprus.com/wp-content/uploads/2026/07/STCW.7-Circ.27-Interim-Guidelines-On-Training-For-SeafarersOn-Ships-Using-Ammonia-As-Fuel.pdf</w:t>
        </w:r>
      </w:hyperlink>
    </w:p>
    <w:p w14:paraId="3CD20581" w14:textId="66B2941A" w:rsidR="00313E35" w:rsidRDefault="00313E35" w:rsidP="00313E35">
      <w:pPr>
        <w:jc w:val="center"/>
      </w:pPr>
      <w:r>
        <w:t>---------------------------------------------</w:t>
      </w:r>
    </w:p>
    <w:sectPr w:rsidR="00313E35" w:rsidSect="00313E35">
      <w:pgSz w:w="12240" w:h="15840"/>
      <w:pgMar w:top="99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0BF6"/>
    <w:multiLevelType w:val="multilevel"/>
    <w:tmpl w:val="3132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866EB"/>
    <w:multiLevelType w:val="multilevel"/>
    <w:tmpl w:val="1F08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937AF"/>
    <w:multiLevelType w:val="multilevel"/>
    <w:tmpl w:val="FC9C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D6B16"/>
    <w:multiLevelType w:val="multilevel"/>
    <w:tmpl w:val="E994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F55AD0"/>
    <w:multiLevelType w:val="multilevel"/>
    <w:tmpl w:val="37C6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93ED3"/>
    <w:multiLevelType w:val="multilevel"/>
    <w:tmpl w:val="EC38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2C3CD8"/>
    <w:multiLevelType w:val="multilevel"/>
    <w:tmpl w:val="EF4A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717FA9"/>
    <w:multiLevelType w:val="multilevel"/>
    <w:tmpl w:val="7266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17288D"/>
    <w:multiLevelType w:val="multilevel"/>
    <w:tmpl w:val="D72E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793837">
    <w:abstractNumId w:val="7"/>
  </w:num>
  <w:num w:numId="2" w16cid:durableId="2005010347">
    <w:abstractNumId w:val="6"/>
  </w:num>
  <w:num w:numId="3" w16cid:durableId="18284761">
    <w:abstractNumId w:val="8"/>
  </w:num>
  <w:num w:numId="4" w16cid:durableId="433522964">
    <w:abstractNumId w:val="3"/>
  </w:num>
  <w:num w:numId="5" w16cid:durableId="384451289">
    <w:abstractNumId w:val="0"/>
  </w:num>
  <w:num w:numId="6" w16cid:durableId="708728537">
    <w:abstractNumId w:val="5"/>
  </w:num>
  <w:num w:numId="7" w16cid:durableId="327680503">
    <w:abstractNumId w:val="1"/>
  </w:num>
  <w:num w:numId="8" w16cid:durableId="1879660587">
    <w:abstractNumId w:val="2"/>
  </w:num>
  <w:num w:numId="9" w16cid:durableId="1412196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35"/>
    <w:rsid w:val="000501D0"/>
    <w:rsid w:val="00313E35"/>
    <w:rsid w:val="00522E23"/>
    <w:rsid w:val="006A5257"/>
    <w:rsid w:val="007B045D"/>
    <w:rsid w:val="0089472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E7A2"/>
  <w15:chartTrackingRefBased/>
  <w15:docId w15:val="{BC3DDCA4-FE9F-4F73-B8D2-340021B8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E35"/>
    <w:rPr>
      <w:rFonts w:eastAsiaTheme="majorEastAsia" w:cstheme="majorBidi"/>
      <w:color w:val="272727" w:themeColor="text1" w:themeTint="D8"/>
    </w:rPr>
  </w:style>
  <w:style w:type="paragraph" w:styleId="Title">
    <w:name w:val="Title"/>
    <w:basedOn w:val="Normal"/>
    <w:next w:val="Normal"/>
    <w:link w:val="TitleChar"/>
    <w:uiPriority w:val="10"/>
    <w:qFormat/>
    <w:rsid w:val="00313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E35"/>
    <w:pPr>
      <w:spacing w:before="160"/>
      <w:jc w:val="center"/>
    </w:pPr>
    <w:rPr>
      <w:i/>
      <w:iCs/>
      <w:color w:val="404040" w:themeColor="text1" w:themeTint="BF"/>
    </w:rPr>
  </w:style>
  <w:style w:type="character" w:customStyle="1" w:styleId="QuoteChar">
    <w:name w:val="Quote Char"/>
    <w:basedOn w:val="DefaultParagraphFont"/>
    <w:link w:val="Quote"/>
    <w:uiPriority w:val="29"/>
    <w:rsid w:val="00313E35"/>
    <w:rPr>
      <w:i/>
      <w:iCs/>
      <w:color w:val="404040" w:themeColor="text1" w:themeTint="BF"/>
    </w:rPr>
  </w:style>
  <w:style w:type="paragraph" w:styleId="ListParagraph">
    <w:name w:val="List Paragraph"/>
    <w:basedOn w:val="Normal"/>
    <w:uiPriority w:val="34"/>
    <w:qFormat/>
    <w:rsid w:val="00313E35"/>
    <w:pPr>
      <w:ind w:left="720"/>
      <w:contextualSpacing/>
    </w:pPr>
  </w:style>
  <w:style w:type="character" w:styleId="IntenseEmphasis">
    <w:name w:val="Intense Emphasis"/>
    <w:basedOn w:val="DefaultParagraphFont"/>
    <w:uiPriority w:val="21"/>
    <w:qFormat/>
    <w:rsid w:val="00313E35"/>
    <w:rPr>
      <w:i/>
      <w:iCs/>
      <w:color w:val="0F4761" w:themeColor="accent1" w:themeShade="BF"/>
    </w:rPr>
  </w:style>
  <w:style w:type="paragraph" w:styleId="IntenseQuote">
    <w:name w:val="Intense Quote"/>
    <w:basedOn w:val="Normal"/>
    <w:next w:val="Normal"/>
    <w:link w:val="IntenseQuoteChar"/>
    <w:uiPriority w:val="30"/>
    <w:qFormat/>
    <w:rsid w:val="00313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E35"/>
    <w:rPr>
      <w:i/>
      <w:iCs/>
      <w:color w:val="0F4761" w:themeColor="accent1" w:themeShade="BF"/>
    </w:rPr>
  </w:style>
  <w:style w:type="character" w:styleId="IntenseReference">
    <w:name w:val="Intense Reference"/>
    <w:basedOn w:val="DefaultParagraphFont"/>
    <w:uiPriority w:val="32"/>
    <w:qFormat/>
    <w:rsid w:val="00313E35"/>
    <w:rPr>
      <w:b/>
      <w:bCs/>
      <w:smallCaps/>
      <w:color w:val="0F4761" w:themeColor="accent1" w:themeShade="BF"/>
      <w:spacing w:val="5"/>
    </w:rPr>
  </w:style>
  <w:style w:type="character" w:styleId="Hyperlink">
    <w:name w:val="Hyperlink"/>
    <w:basedOn w:val="DefaultParagraphFont"/>
    <w:uiPriority w:val="99"/>
    <w:unhideWhenUsed/>
    <w:rsid w:val="00313E35"/>
    <w:rPr>
      <w:color w:val="467886" w:themeColor="hyperlink"/>
      <w:u w:val="single"/>
    </w:rPr>
  </w:style>
  <w:style w:type="character" w:styleId="UnresolvedMention">
    <w:name w:val="Unresolved Mention"/>
    <w:basedOn w:val="DefaultParagraphFont"/>
    <w:uiPriority w:val="99"/>
    <w:semiHidden/>
    <w:unhideWhenUsed/>
    <w:rsid w:val="00313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maritimecyprus.com/author/maritimecyprus/" TargetMode="External"/><Relationship Id="rId10" Type="http://schemas.openxmlformats.org/officeDocument/2006/relationships/hyperlink" Target="https://maritimecyprus.com/wp-content/uploads/2026/07/STCW.7-Circ.27-Interim-Guidelines-On-Training-For-SeafarersOn-Ships-Using-Ammonia-As-Fuel.pdf"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2026-07-24T06:21:00Z</dcterms:created>
  <dcterms:modified xsi:type="dcterms:W3CDTF">2026-07-24T06:53:00Z</dcterms:modified>
</cp:coreProperties>
</file>