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234BD" w14:textId="16EAFA58" w:rsidR="00C726CF" w:rsidRPr="00C726CF" w:rsidRDefault="00C726CF" w:rsidP="00C726CF">
      <w:pPr>
        <w:spacing w:line="240" w:lineRule="auto"/>
        <w:jc w:val="center"/>
        <w:rPr>
          <w:rFonts w:ascii="Times New Roman" w:hAnsi="Times New Roman" w:cs="Times New Roman"/>
          <w:b/>
          <w:bCs/>
          <w:sz w:val="40"/>
          <w:szCs w:val="40"/>
        </w:rPr>
      </w:pPr>
      <w:r>
        <w:rPr>
          <w:rFonts w:ascii="Times New Roman" w:hAnsi="Times New Roman" w:cs="Times New Roman"/>
          <w:b/>
          <w:bCs/>
          <w:sz w:val="40"/>
          <w:szCs w:val="40"/>
        </w:rPr>
        <w:t xml:space="preserve">Chương trình loại bỏ khí thải </w:t>
      </w:r>
      <w:r w:rsidRPr="00C726CF">
        <w:rPr>
          <w:rFonts w:ascii="Times New Roman" w:hAnsi="Times New Roman" w:cs="Times New Roman"/>
          <w:b/>
          <w:bCs/>
          <w:sz w:val="40"/>
          <w:szCs w:val="40"/>
        </w:rPr>
        <w:t>carbon của EU: Đánh giá chiến lược về các sửa đổi đối với EU ETS và EU MRV</w:t>
      </w:r>
    </w:p>
    <w:p w14:paraId="02DBC3F3" w14:textId="77777777" w:rsidR="00C726CF" w:rsidRPr="00C726CF" w:rsidRDefault="00C726CF" w:rsidP="00C726CF">
      <w:pPr>
        <w:jc w:val="right"/>
      </w:pPr>
      <w:r w:rsidRPr="00C726CF">
        <w:t> </w:t>
      </w:r>
      <w:hyperlink r:id="rId5" w:history="1">
        <w:r w:rsidRPr="00C726CF">
          <w:rPr>
            <w:rStyle w:val="Hyperlink"/>
            <w:b/>
            <w:bCs/>
          </w:rPr>
          <w:t>maritimecyprus</w:t>
        </w:r>
      </w:hyperlink>
    </w:p>
    <w:p w14:paraId="52E4BF37" w14:textId="3FE5FEA9" w:rsidR="00C726CF" w:rsidRPr="00C726CF" w:rsidRDefault="00C726CF" w:rsidP="00C726CF">
      <w:r w:rsidRPr="00C726CF">
        <w:drawing>
          <wp:inline distT="0" distB="0" distL="0" distR="0" wp14:anchorId="67FCC08A" wp14:editId="13084905">
            <wp:extent cx="5943600" cy="3347720"/>
            <wp:effectExtent l="0" t="0" r="0" b="5080"/>
            <wp:docPr id="3792397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347720"/>
                    </a:xfrm>
                    <a:prstGeom prst="rect">
                      <a:avLst/>
                    </a:prstGeom>
                    <a:noFill/>
                    <a:ln>
                      <a:noFill/>
                    </a:ln>
                  </pic:spPr>
                </pic:pic>
              </a:graphicData>
            </a:graphic>
          </wp:inline>
        </w:drawing>
      </w:r>
    </w:p>
    <w:p w14:paraId="6B8EF088" w14:textId="0912DB77" w:rsidR="00C726CF" w:rsidRPr="00C726CF" w:rsidRDefault="00C726CF" w:rsidP="00C726CF">
      <w:pPr>
        <w:spacing w:before="120" w:after="120"/>
        <w:jc w:val="both"/>
        <w:rPr>
          <w:rFonts w:ascii="Times New Roman" w:hAnsi="Times New Roman" w:cs="Times New Roman"/>
          <w:sz w:val="26"/>
          <w:szCs w:val="26"/>
        </w:rPr>
      </w:pPr>
      <w:r w:rsidRPr="00C726CF">
        <w:rPr>
          <w:rFonts w:ascii="Times New Roman" w:hAnsi="Times New Roman" w:cs="Times New Roman"/>
          <w:sz w:val="26"/>
          <w:szCs w:val="26"/>
        </w:rPr>
        <w:t xml:space="preserve">Đề xuất của Ủy ban Châu Âu về việc </w:t>
      </w:r>
      <w:r w:rsidRPr="00C726CF">
        <w:rPr>
          <w:rFonts w:ascii="Times New Roman" w:hAnsi="Times New Roman" w:cs="Times New Roman"/>
          <w:color w:val="EE0000"/>
          <w:sz w:val="26"/>
          <w:szCs w:val="26"/>
        </w:rPr>
        <w:t xml:space="preserve">sửa đổi Chỉ thị Hệ thống Mua bán Phát thải của Liên minh Châu Âu (EU ETS) </w:t>
      </w:r>
      <w:r w:rsidRPr="00C726CF">
        <w:rPr>
          <w:rFonts w:ascii="Times New Roman" w:hAnsi="Times New Roman" w:cs="Times New Roman"/>
          <w:sz w:val="26"/>
          <w:szCs w:val="26"/>
        </w:rPr>
        <w:t xml:space="preserve">và Quy định </w:t>
      </w:r>
      <w:r w:rsidRPr="00C726CF">
        <w:rPr>
          <w:rFonts w:ascii="Times New Roman" w:hAnsi="Times New Roman" w:cs="Times New Roman"/>
          <w:sz w:val="26"/>
          <w:szCs w:val="26"/>
        </w:rPr>
        <w:t xml:space="preserve">về </w:t>
      </w:r>
      <w:r w:rsidRPr="00C726CF">
        <w:rPr>
          <w:rFonts w:ascii="Times New Roman" w:hAnsi="Times New Roman" w:cs="Times New Roman"/>
          <w:sz w:val="26"/>
          <w:szCs w:val="26"/>
        </w:rPr>
        <w:t>Giám sát, Báo cáo và Thẩm tra</w:t>
      </w:r>
      <w:r w:rsidRPr="00C726CF">
        <w:rPr>
          <w:rFonts w:ascii="Times New Roman" w:hAnsi="Times New Roman" w:cs="Times New Roman"/>
          <w:b/>
          <w:bCs/>
          <w:sz w:val="26"/>
          <w:szCs w:val="26"/>
        </w:rPr>
        <w:t xml:space="preserve"> (</w:t>
      </w:r>
      <w:r w:rsidRPr="00C726CF">
        <w:rPr>
          <w:rFonts w:ascii="Times New Roman" w:hAnsi="Times New Roman" w:cs="Times New Roman"/>
          <w:sz w:val="26"/>
          <w:szCs w:val="26"/>
        </w:rPr>
        <w:t>EU MRV</w:t>
      </w:r>
      <w:r w:rsidRPr="00C726CF">
        <w:rPr>
          <w:rFonts w:ascii="Times New Roman" w:hAnsi="Times New Roman" w:cs="Times New Roman"/>
          <w:b/>
          <w:bCs/>
          <w:sz w:val="26"/>
          <w:szCs w:val="26"/>
        </w:rPr>
        <w:t>)</w:t>
      </w:r>
      <w:r w:rsidRPr="00C726CF">
        <w:rPr>
          <w:rFonts w:ascii="Times New Roman" w:hAnsi="Times New Roman" w:cs="Times New Roman"/>
          <w:sz w:val="26"/>
          <w:szCs w:val="26"/>
        </w:rPr>
        <w:t>, được trình vào ngày 17 tháng 7 năm 2026, đánh dấu một bước ngoặt quan trọng trong chính sách khí hậu và công nghiệp của Châu Âu. Tiếp nối Thỏa thuận Công nghiệp Sạch và La bàn Năng lực Cạnh tranh, các đề xuất này nhằm dung hòa ba mục tiêu chiến lược: duy trì tham vọng môi trường để đạt mục tiêu giảm phát thải ròng 90% vào năm 2040, bảo vệ năng lực cạnh tranh của ngành công nghiệp và thúc đẩy sự độc lập về năng lượng.</w:t>
      </w:r>
    </w:p>
    <w:p w14:paraId="65AE7057" w14:textId="77777777" w:rsidR="00C726CF" w:rsidRPr="00C726CF" w:rsidRDefault="00C726CF" w:rsidP="00C726CF">
      <w:pPr>
        <w:spacing w:before="120" w:after="120"/>
        <w:jc w:val="both"/>
        <w:rPr>
          <w:rFonts w:ascii="Times New Roman" w:hAnsi="Times New Roman" w:cs="Times New Roman"/>
          <w:sz w:val="26"/>
          <w:szCs w:val="26"/>
        </w:rPr>
      </w:pPr>
      <w:r w:rsidRPr="00C726CF">
        <w:rPr>
          <w:rFonts w:ascii="Times New Roman" w:hAnsi="Times New Roman" w:cs="Times New Roman"/>
          <w:sz w:val="26"/>
          <w:szCs w:val="26"/>
        </w:rPr>
        <w:t xml:space="preserve">Với mục tiêu của Nghị viện Châu Âu, Hội đồng Châu Âu và Ủy ban Châu Âu là thông qua các sửa đổi này trước cuối Quý I năm 2027 theo lộ trình </w:t>
      </w:r>
      <w:r w:rsidRPr="00C726CF">
        <w:rPr>
          <w:rFonts w:ascii="Times New Roman" w:hAnsi="Times New Roman" w:cs="Times New Roman"/>
          <w:b/>
          <w:bCs/>
          <w:sz w:val="26"/>
          <w:szCs w:val="26"/>
        </w:rPr>
        <w:t>"</w:t>
      </w:r>
      <w:r w:rsidRPr="00C726CF">
        <w:rPr>
          <w:rFonts w:ascii="Times New Roman" w:hAnsi="Times New Roman" w:cs="Times New Roman"/>
          <w:sz w:val="26"/>
          <w:szCs w:val="26"/>
        </w:rPr>
        <w:t>One Europe, One Market" (Một Châu Âu, Một Thị trường), các ngành hàng hải và công nghiệp nặng đang đứng trước ngưỡng cửa của một thị trường carbon được đơn giản hóa hơn nhưng cũng được thiết kế lại một cách đáng kể.</w:t>
      </w:r>
    </w:p>
    <w:p w14:paraId="701898D6" w14:textId="77777777" w:rsidR="00C726CF" w:rsidRPr="00C726CF" w:rsidRDefault="00C726CF" w:rsidP="00C726CF">
      <w:pPr>
        <w:spacing w:before="120" w:after="120"/>
        <w:jc w:val="both"/>
        <w:rPr>
          <w:rFonts w:ascii="Times New Roman" w:hAnsi="Times New Roman" w:cs="Times New Roman"/>
          <w:b/>
          <w:bCs/>
          <w:sz w:val="26"/>
          <w:szCs w:val="26"/>
        </w:rPr>
      </w:pPr>
      <w:r w:rsidRPr="00C726CF">
        <w:rPr>
          <w:rFonts w:ascii="Times New Roman" w:hAnsi="Times New Roman" w:cs="Times New Roman"/>
          <w:b/>
          <w:bCs/>
          <w:sz w:val="26"/>
          <w:szCs w:val="26"/>
        </w:rPr>
        <w:t>Lộ trình giảm phát thải linh hoạt hơn và tái đầu tư nguồn thu</w:t>
      </w:r>
    </w:p>
    <w:p w14:paraId="7AAC44C5" w14:textId="77777777" w:rsidR="00C726CF" w:rsidRPr="00C726CF" w:rsidRDefault="00C726CF" w:rsidP="00C726CF">
      <w:pPr>
        <w:spacing w:before="120" w:after="120"/>
        <w:jc w:val="both"/>
        <w:rPr>
          <w:rFonts w:ascii="Times New Roman" w:hAnsi="Times New Roman" w:cs="Times New Roman"/>
          <w:sz w:val="26"/>
          <w:szCs w:val="26"/>
        </w:rPr>
      </w:pPr>
      <w:r w:rsidRPr="00C726CF">
        <w:rPr>
          <w:rFonts w:ascii="Times New Roman" w:hAnsi="Times New Roman" w:cs="Times New Roman"/>
          <w:sz w:val="26"/>
          <w:szCs w:val="26"/>
        </w:rPr>
        <w:t xml:space="preserve">Một trong những điểm nổi bật của đề xuất là chuyển sang lộ trình giảm hạn ngạch phát thải (cap) dần dần và dễ thích ứng hơn. Thay vì cắt giảm mạnh theo kiểu "vách đá" (cliff-edge), </w:t>
      </w:r>
      <w:r w:rsidRPr="00C726CF">
        <w:rPr>
          <w:rFonts w:ascii="Times New Roman" w:hAnsi="Times New Roman" w:cs="Times New Roman"/>
          <w:color w:val="EE0000"/>
          <w:sz w:val="26"/>
          <w:szCs w:val="26"/>
        </w:rPr>
        <w:t>Hệ số Giảm tuyến tính</w:t>
      </w:r>
      <w:r w:rsidRPr="00C726CF">
        <w:rPr>
          <w:rFonts w:ascii="Times New Roman" w:hAnsi="Times New Roman" w:cs="Times New Roman"/>
          <w:b/>
          <w:bCs/>
          <w:color w:val="EE0000"/>
          <w:sz w:val="26"/>
          <w:szCs w:val="26"/>
        </w:rPr>
        <w:t xml:space="preserve"> </w:t>
      </w:r>
      <w:r w:rsidRPr="00C726CF">
        <w:rPr>
          <w:rFonts w:ascii="Times New Roman" w:hAnsi="Times New Roman" w:cs="Times New Roman"/>
          <w:color w:val="EE0000"/>
          <w:sz w:val="26"/>
          <w:szCs w:val="26"/>
        </w:rPr>
        <w:t xml:space="preserve">(Linear Reduction Factor – LRF) </w:t>
      </w:r>
      <w:r w:rsidRPr="00C726CF">
        <w:rPr>
          <w:rFonts w:ascii="Times New Roman" w:hAnsi="Times New Roman" w:cs="Times New Roman"/>
          <w:sz w:val="26"/>
          <w:szCs w:val="26"/>
        </w:rPr>
        <w:t>sẽ được điều chỉnh xuống còn 3,7% mỗi năm trong giai đoạn 2031–2035 và 1,7% mỗi năm từ năm 2036 trở đi, cho phép việc đấu giá hạn ngạch phát thải tiếp tục kéo dài đến tận những năm 2040.</w:t>
      </w:r>
    </w:p>
    <w:p w14:paraId="3DD743A9" w14:textId="77777777" w:rsidR="00C726CF" w:rsidRPr="00C726CF" w:rsidRDefault="00C726CF" w:rsidP="00C726CF">
      <w:pPr>
        <w:spacing w:before="120" w:after="120"/>
        <w:jc w:val="both"/>
        <w:rPr>
          <w:rFonts w:ascii="Times New Roman" w:hAnsi="Times New Roman" w:cs="Times New Roman"/>
          <w:sz w:val="26"/>
          <w:szCs w:val="26"/>
        </w:rPr>
      </w:pPr>
      <w:r w:rsidRPr="00C726CF">
        <w:rPr>
          <w:rFonts w:ascii="Times New Roman" w:hAnsi="Times New Roman" w:cs="Times New Roman"/>
          <w:sz w:val="26"/>
          <w:szCs w:val="26"/>
        </w:rPr>
        <w:lastRenderedPageBreak/>
        <w:t>Một nội dung quan trọng không kém là cải cách cơ chế sử dụng nguồn thu từ đấu giá hạn ngạch phát thải:</w:t>
      </w:r>
    </w:p>
    <w:p w14:paraId="064B7B3F" w14:textId="2587DB05" w:rsidR="00C726CF" w:rsidRPr="00C726CF" w:rsidRDefault="00C726CF" w:rsidP="00C726CF">
      <w:pPr>
        <w:numPr>
          <w:ilvl w:val="0"/>
          <w:numId w:val="4"/>
        </w:numPr>
        <w:spacing w:before="120" w:after="120"/>
        <w:jc w:val="both"/>
        <w:rPr>
          <w:rFonts w:ascii="Times New Roman" w:hAnsi="Times New Roman" w:cs="Times New Roman"/>
          <w:sz w:val="26"/>
          <w:szCs w:val="26"/>
        </w:rPr>
      </w:pPr>
      <w:r w:rsidRPr="00C726CF">
        <w:rPr>
          <w:rFonts w:ascii="Times New Roman" w:hAnsi="Times New Roman" w:cs="Times New Roman"/>
          <w:color w:val="EE0000"/>
          <w:sz w:val="26"/>
          <w:szCs w:val="26"/>
        </w:rPr>
        <w:t xml:space="preserve">Nguyên tắc "Doanh thu được hoàn trả trở lại": </w:t>
      </w:r>
      <w:r w:rsidRPr="00C726CF">
        <w:rPr>
          <w:rFonts w:ascii="Times New Roman" w:hAnsi="Times New Roman" w:cs="Times New Roman"/>
          <w:sz w:val="26"/>
          <w:szCs w:val="26"/>
        </w:rPr>
        <w:t xml:space="preserve">Các quốc gia thành viên sẽ có nghĩa vụ phân bổ ít nhất 50% nguồn thu từ đấu giá hạn ngạch phát thải để đầu tư trực tiếp cho quá trình </w:t>
      </w:r>
      <w:r>
        <w:rPr>
          <w:rFonts w:ascii="Times New Roman" w:hAnsi="Times New Roman" w:cs="Times New Roman"/>
          <w:sz w:val="26"/>
          <w:szCs w:val="26"/>
        </w:rPr>
        <w:t>loại bỏ khí thải</w:t>
      </w:r>
      <w:r w:rsidRPr="00C726CF">
        <w:rPr>
          <w:rFonts w:ascii="Times New Roman" w:hAnsi="Times New Roman" w:cs="Times New Roman"/>
          <w:sz w:val="26"/>
          <w:szCs w:val="26"/>
        </w:rPr>
        <w:t xml:space="preserve"> carbon của các ngành phải chi trả trong hệ thống ETS, bao gồm </w:t>
      </w:r>
      <w:r w:rsidRPr="00C726CF">
        <w:rPr>
          <w:rFonts w:ascii="Times New Roman" w:hAnsi="Times New Roman" w:cs="Times New Roman"/>
          <w:color w:val="EE0000"/>
          <w:sz w:val="26"/>
          <w:szCs w:val="26"/>
        </w:rPr>
        <w:t xml:space="preserve">hàng hải, hàng không, điện lực và công nghiệp chế tạo. </w:t>
      </w:r>
    </w:p>
    <w:p w14:paraId="18C3D2FE" w14:textId="45F8B253" w:rsidR="00C726CF" w:rsidRPr="00C726CF" w:rsidRDefault="00C726CF" w:rsidP="00C726CF">
      <w:pPr>
        <w:numPr>
          <w:ilvl w:val="0"/>
          <w:numId w:val="4"/>
        </w:numPr>
        <w:spacing w:before="120" w:after="120"/>
        <w:jc w:val="both"/>
        <w:rPr>
          <w:rFonts w:ascii="Times New Roman" w:hAnsi="Times New Roman" w:cs="Times New Roman"/>
          <w:sz w:val="26"/>
          <w:szCs w:val="26"/>
        </w:rPr>
      </w:pPr>
      <w:r w:rsidRPr="00C726CF">
        <w:rPr>
          <w:rFonts w:ascii="Times New Roman" w:hAnsi="Times New Roman" w:cs="Times New Roman"/>
          <w:sz w:val="26"/>
          <w:szCs w:val="26"/>
        </w:rPr>
        <w:t xml:space="preserve">Ngân hàng </w:t>
      </w:r>
      <w:r w:rsidRPr="00C726CF">
        <w:rPr>
          <w:rFonts w:ascii="Times New Roman" w:hAnsi="Times New Roman" w:cs="Times New Roman"/>
          <w:sz w:val="26"/>
          <w:szCs w:val="26"/>
        </w:rPr>
        <w:t>loại bỏ khí thải</w:t>
      </w:r>
      <w:r w:rsidRPr="00C726CF">
        <w:rPr>
          <w:rFonts w:ascii="Times New Roman" w:hAnsi="Times New Roman" w:cs="Times New Roman"/>
          <w:sz w:val="26"/>
          <w:szCs w:val="26"/>
        </w:rPr>
        <w:t xml:space="preserve"> carbon Công nghiệp (IDB): Được thiết kế để cung cấp 100 tỷ euro tài trợ thông qua hai giai đoạn: </w:t>
      </w:r>
    </w:p>
    <w:p w14:paraId="2B82091B" w14:textId="77777777" w:rsidR="00C726CF" w:rsidRPr="00C726CF" w:rsidRDefault="00C726CF" w:rsidP="00C726CF">
      <w:pPr>
        <w:numPr>
          <w:ilvl w:val="1"/>
          <w:numId w:val="4"/>
        </w:numPr>
        <w:spacing w:before="120" w:after="120"/>
        <w:jc w:val="both"/>
        <w:rPr>
          <w:rFonts w:ascii="Times New Roman" w:hAnsi="Times New Roman" w:cs="Times New Roman"/>
          <w:sz w:val="26"/>
          <w:szCs w:val="26"/>
        </w:rPr>
      </w:pPr>
      <w:r w:rsidRPr="00C726CF">
        <w:rPr>
          <w:rFonts w:ascii="Times New Roman" w:hAnsi="Times New Roman" w:cs="Times New Roman"/>
          <w:color w:val="EE0000"/>
          <w:sz w:val="26"/>
          <w:szCs w:val="26"/>
        </w:rPr>
        <w:t xml:space="preserve">Giai đoạn 1 – Investment Booster (2028–2030): </w:t>
      </w:r>
      <w:r w:rsidRPr="00C726CF">
        <w:rPr>
          <w:rFonts w:ascii="Times New Roman" w:hAnsi="Times New Roman" w:cs="Times New Roman"/>
          <w:sz w:val="26"/>
          <w:szCs w:val="26"/>
        </w:rPr>
        <w:t xml:space="preserve">Dành riêng 400 triệu hạn ngạch phát thải để hỗ trợ nhanh các dự án thông qua cơ chế trợ cấp carbon cố định (fixed carbon premia). </w:t>
      </w:r>
    </w:p>
    <w:p w14:paraId="36A41871" w14:textId="70DDE8D3" w:rsidR="00C726CF" w:rsidRPr="00C726CF" w:rsidRDefault="00C726CF" w:rsidP="00C726CF">
      <w:pPr>
        <w:numPr>
          <w:ilvl w:val="1"/>
          <w:numId w:val="4"/>
        </w:numPr>
        <w:spacing w:before="120" w:after="120"/>
        <w:jc w:val="both"/>
        <w:rPr>
          <w:rFonts w:ascii="Times New Roman" w:hAnsi="Times New Roman" w:cs="Times New Roman"/>
          <w:sz w:val="26"/>
          <w:szCs w:val="26"/>
        </w:rPr>
      </w:pPr>
      <w:r w:rsidRPr="00C726CF">
        <w:rPr>
          <w:rFonts w:ascii="Times New Roman" w:hAnsi="Times New Roman" w:cs="Times New Roman"/>
          <w:color w:val="EE0000"/>
          <w:sz w:val="26"/>
          <w:szCs w:val="26"/>
        </w:rPr>
        <w:t xml:space="preserve">Giai đoạn 2 (2031–2040): </w:t>
      </w:r>
      <w:r w:rsidRPr="00C726CF">
        <w:rPr>
          <w:rFonts w:ascii="Times New Roman" w:hAnsi="Times New Roman" w:cs="Times New Roman"/>
          <w:sz w:val="26"/>
          <w:szCs w:val="26"/>
        </w:rPr>
        <w:t xml:space="preserve">Áp dụng các cơ chế dựa trên thị trường như Hợp đồng Chênh lệch Carbon (CCfDs) nhằm thúc đẩy đầu tư vào các công nghệ phát thải thấp. </w:t>
      </w:r>
    </w:p>
    <w:p w14:paraId="504A7367" w14:textId="741CC2F9" w:rsidR="00C726CF" w:rsidRPr="00C726CF" w:rsidRDefault="00C726CF" w:rsidP="00C726CF">
      <w:pPr>
        <w:numPr>
          <w:ilvl w:val="0"/>
          <w:numId w:val="4"/>
        </w:numPr>
        <w:spacing w:before="120" w:after="120"/>
        <w:jc w:val="both"/>
        <w:rPr>
          <w:rFonts w:ascii="Times New Roman" w:hAnsi="Times New Roman" w:cs="Times New Roman"/>
          <w:sz w:val="26"/>
          <w:szCs w:val="26"/>
        </w:rPr>
      </w:pPr>
      <w:r w:rsidRPr="00C726CF">
        <w:rPr>
          <w:rFonts w:ascii="Times New Roman" w:hAnsi="Times New Roman" w:cs="Times New Roman"/>
          <w:sz w:val="26"/>
          <w:szCs w:val="26"/>
        </w:rPr>
        <w:t xml:space="preserve">Tích hợp hoạt động loại bỏ carbon: Hệ thống sẽ cho phép đưa vào 250 triệu tấn (Mt) lượng carbon được loại bỏ vĩnh viễn trong nội địa (chẳng hạn như BioCCS – thu giữ và lưu trữ carbon sinh học, và DACCS – thu giữ trực tiếp CO₂ từ không khí kết hợp lưu trữ) nhằm tạo "không gian phát thải" cho các ngành rất khó cắt giảm khí nhà kính, đồng thời thúc đẩy sự phát triển của thị trường loại bỏ carbon. </w:t>
      </w:r>
    </w:p>
    <w:p w14:paraId="18D42E46" w14:textId="18342970" w:rsidR="00C726CF" w:rsidRPr="00C726CF" w:rsidRDefault="00C726CF" w:rsidP="00C726CF">
      <w:r w:rsidRPr="00C726CF">
        <w:drawing>
          <wp:inline distT="0" distB="0" distL="0" distR="0" wp14:anchorId="667368A3" wp14:editId="5ACA2682">
            <wp:extent cx="5943600" cy="3372485"/>
            <wp:effectExtent l="0" t="0" r="0" b="0"/>
            <wp:docPr id="6010166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372485"/>
                    </a:xfrm>
                    <a:prstGeom prst="rect">
                      <a:avLst/>
                    </a:prstGeom>
                    <a:noFill/>
                    <a:ln>
                      <a:noFill/>
                    </a:ln>
                  </pic:spPr>
                </pic:pic>
              </a:graphicData>
            </a:graphic>
          </wp:inline>
        </w:drawing>
      </w:r>
    </w:p>
    <w:p w14:paraId="16413C8F" w14:textId="77777777" w:rsidR="00C726CF" w:rsidRDefault="00C726CF" w:rsidP="00C726CF">
      <w:pPr>
        <w:spacing w:before="120" w:after="120"/>
        <w:jc w:val="both"/>
        <w:rPr>
          <w:rFonts w:ascii="Times New Roman" w:hAnsi="Times New Roman" w:cs="Times New Roman"/>
          <w:sz w:val="26"/>
          <w:szCs w:val="26"/>
        </w:rPr>
      </w:pPr>
      <w:r w:rsidRPr="00C726CF">
        <w:rPr>
          <w:rFonts w:ascii="Times New Roman" w:hAnsi="Times New Roman" w:cs="Times New Roman"/>
          <w:sz w:val="26"/>
          <w:szCs w:val="26"/>
        </w:rPr>
        <w:t xml:space="preserve">Thông điệp mà Ủy ban Châu Âu gửi tới các quốc gia thành viên là rất rõ ràng: </w:t>
      </w:r>
      <w:r w:rsidRPr="00C726CF">
        <w:rPr>
          <w:rFonts w:ascii="Times New Roman" w:hAnsi="Times New Roman" w:cs="Times New Roman"/>
          <w:color w:val="EE0000"/>
          <w:sz w:val="26"/>
          <w:szCs w:val="26"/>
        </w:rPr>
        <w:t>định giá carbon không thể chỉ đơn thuần là một công cụ tạo nguồn thu cho ngân sách nhà nước</w:t>
      </w:r>
      <w:r w:rsidRPr="00C726CF">
        <w:rPr>
          <w:rFonts w:ascii="Times New Roman" w:hAnsi="Times New Roman" w:cs="Times New Roman"/>
          <w:sz w:val="26"/>
          <w:szCs w:val="26"/>
        </w:rPr>
        <w:t xml:space="preserve">, mà phải trở </w:t>
      </w:r>
      <w:r w:rsidRPr="00C726CF">
        <w:rPr>
          <w:rFonts w:ascii="Times New Roman" w:hAnsi="Times New Roman" w:cs="Times New Roman"/>
          <w:sz w:val="26"/>
          <w:szCs w:val="26"/>
        </w:rPr>
        <w:lastRenderedPageBreak/>
        <w:t xml:space="preserve">thành </w:t>
      </w:r>
      <w:r w:rsidRPr="00C726CF">
        <w:rPr>
          <w:rFonts w:ascii="Times New Roman" w:hAnsi="Times New Roman" w:cs="Times New Roman"/>
          <w:color w:val="EE0000"/>
          <w:sz w:val="26"/>
          <w:szCs w:val="26"/>
        </w:rPr>
        <w:t>nguồn tài chính trực tiếp cho quá trình chuyển đổi sang công nghệ sạch của chính các ngành công nghiệp đang phải gánh chịu chi phí phát thải carbon</w:t>
      </w:r>
      <w:r w:rsidRPr="00C726CF">
        <w:rPr>
          <w:rFonts w:ascii="Times New Roman" w:hAnsi="Times New Roman" w:cs="Times New Roman"/>
          <w:sz w:val="26"/>
          <w:szCs w:val="26"/>
        </w:rPr>
        <w:t>.</w:t>
      </w:r>
    </w:p>
    <w:p w14:paraId="132B84D5" w14:textId="77777777" w:rsidR="007B44BC" w:rsidRPr="007B44BC" w:rsidRDefault="007B44BC" w:rsidP="007B44BC">
      <w:pPr>
        <w:spacing w:before="120" w:after="120"/>
        <w:jc w:val="both"/>
        <w:rPr>
          <w:rFonts w:ascii="Times New Roman" w:hAnsi="Times New Roman" w:cs="Times New Roman"/>
          <w:b/>
          <w:bCs/>
          <w:sz w:val="26"/>
          <w:szCs w:val="26"/>
        </w:rPr>
      </w:pPr>
      <w:r w:rsidRPr="007B44BC">
        <w:rPr>
          <w:rFonts w:ascii="Times New Roman" w:hAnsi="Times New Roman" w:cs="Times New Roman"/>
          <w:b/>
          <w:bCs/>
          <w:sz w:val="26"/>
          <w:szCs w:val="26"/>
        </w:rPr>
        <w:t>Trọng tâm đối với ngành hàng hải: Hỗ trợ tài chính cho quá trình chuyển đổi và khắc phục các lỗ hổng trốn tránh nghĩa vụ</w:t>
      </w:r>
    </w:p>
    <w:p w14:paraId="0793A85D" w14:textId="77777777" w:rsidR="007B44BC" w:rsidRPr="007B44BC" w:rsidRDefault="007B44BC" w:rsidP="007B44BC">
      <w:pPr>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Đối với ngành hàng hải, bản sửa đổi lần này thiết lập một hệ sinh thái hỗ trợ chuyên biệt cho quá trình chuyển đổi sang vận tải biển xanh, đồng thời tăng cường các biện pháp nhằm ngăn chặn hành vi né tránh nghĩa vụ trong khuôn khổ EU ETS.</w:t>
      </w:r>
    </w:p>
    <w:p w14:paraId="46AEA81D" w14:textId="77777777" w:rsidR="007B44BC" w:rsidRPr="007B44BC" w:rsidRDefault="007B44BC" w:rsidP="007B44BC">
      <w:pPr>
        <w:spacing w:before="120" w:after="120"/>
        <w:jc w:val="both"/>
        <w:rPr>
          <w:rFonts w:ascii="Times New Roman" w:hAnsi="Times New Roman" w:cs="Times New Roman"/>
          <w:b/>
          <w:bCs/>
          <w:sz w:val="26"/>
          <w:szCs w:val="26"/>
        </w:rPr>
      </w:pPr>
      <w:r w:rsidRPr="007B44BC">
        <w:rPr>
          <w:rFonts w:ascii="Times New Roman" w:hAnsi="Times New Roman" w:cs="Times New Roman"/>
          <w:b/>
          <w:bCs/>
          <w:sz w:val="26"/>
          <w:szCs w:val="26"/>
        </w:rPr>
        <w:t>Chương trình Động lực Thay thế Bền vững cho Hàng hải (Sustainable Maritime Alternative Propulsion – SMAP)</w:t>
      </w:r>
    </w:p>
    <w:p w14:paraId="35744072" w14:textId="54665BD1" w:rsidR="007B44BC" w:rsidRPr="007B44BC" w:rsidRDefault="007B44BC" w:rsidP="007B44BC">
      <w:pPr>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Trong giai đoạn 2028–2040, Ủy ban Châu Âu đề xuất phân bổ 110 triệu hạn ngạch phát thải cho lĩnh vực hàng hải, tương đương khoảng 15 tỷ euro.</w:t>
      </w:r>
    </w:p>
    <w:p w14:paraId="47D91C12" w14:textId="77777777" w:rsidR="007B44BC" w:rsidRPr="007B44BC" w:rsidRDefault="007B44BC" w:rsidP="007B44BC">
      <w:pPr>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Chương trình SMAP sẽ cung cấp các mức hỗ trợ tài chính theo từng cấp độ đối với:</w:t>
      </w:r>
    </w:p>
    <w:p w14:paraId="0751F207" w14:textId="10EC610B" w:rsidR="007B44BC" w:rsidRPr="007B44BC" w:rsidRDefault="007B44BC" w:rsidP="007B44BC">
      <w:pPr>
        <w:numPr>
          <w:ilvl w:val="0"/>
          <w:numId w:val="5"/>
        </w:numPr>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Các nhiên liệu phát thải bằng 0 (zero-rated fuels), bao gồm</w:t>
      </w:r>
      <w:r w:rsidRPr="007B44BC">
        <w:rPr>
          <w:rFonts w:ascii="Times New Roman" w:hAnsi="Times New Roman" w:cs="Times New Roman"/>
          <w:sz w:val="26"/>
          <w:szCs w:val="26"/>
        </w:rPr>
        <w:t xml:space="preserve"> k</w:t>
      </w:r>
      <w:r w:rsidRPr="007B44BC">
        <w:rPr>
          <w:rFonts w:ascii="Times New Roman" w:hAnsi="Times New Roman" w:cs="Times New Roman"/>
          <w:sz w:val="26"/>
          <w:szCs w:val="26"/>
        </w:rPr>
        <w:t>hí sinh học (Biogas)</w:t>
      </w:r>
      <w:r w:rsidRPr="007B44BC">
        <w:rPr>
          <w:rFonts w:ascii="Times New Roman" w:hAnsi="Times New Roman" w:cs="Times New Roman"/>
          <w:sz w:val="26"/>
          <w:szCs w:val="26"/>
        </w:rPr>
        <w:t xml:space="preserve">, </w:t>
      </w:r>
      <w:r w:rsidRPr="007B44BC">
        <w:rPr>
          <w:rFonts w:ascii="Times New Roman" w:hAnsi="Times New Roman" w:cs="Times New Roman"/>
          <w:sz w:val="26"/>
          <w:szCs w:val="26"/>
        </w:rPr>
        <w:t>Nhiên liệu sinh học tiên tiến (Advanced Biofuels)</w:t>
      </w:r>
      <w:r w:rsidRPr="007B44BC">
        <w:rPr>
          <w:rFonts w:ascii="Times New Roman" w:hAnsi="Times New Roman" w:cs="Times New Roman"/>
          <w:sz w:val="26"/>
          <w:szCs w:val="26"/>
        </w:rPr>
        <w:t xml:space="preserve">, </w:t>
      </w:r>
      <w:r w:rsidRPr="007B44BC">
        <w:rPr>
          <w:rFonts w:ascii="Times New Roman" w:hAnsi="Times New Roman" w:cs="Times New Roman"/>
          <w:sz w:val="26"/>
          <w:szCs w:val="26"/>
        </w:rPr>
        <w:t>Nhiên liệu tái tạo có nguồn gốc phi sinh học (RFNBOs – Renewable Fuels of Non-Biological Origin)</w:t>
      </w:r>
      <w:r w:rsidRPr="007B44BC">
        <w:rPr>
          <w:rFonts w:ascii="Times New Roman" w:hAnsi="Times New Roman" w:cs="Times New Roman"/>
          <w:sz w:val="26"/>
          <w:szCs w:val="26"/>
        </w:rPr>
        <w:t xml:space="preserve"> và Hydrocarbon</w:t>
      </w:r>
      <w:r w:rsidRPr="007B44BC">
        <w:rPr>
          <w:rFonts w:ascii="Times New Roman" w:hAnsi="Times New Roman" w:cs="Times New Roman"/>
          <w:sz w:val="26"/>
          <w:szCs w:val="26"/>
        </w:rPr>
        <w:t xml:space="preserve"> thấp. </w:t>
      </w:r>
    </w:p>
    <w:p w14:paraId="1599CB0B" w14:textId="53CE5B2D" w:rsidR="007B44BC" w:rsidRPr="007B44BC" w:rsidRDefault="007B44BC" w:rsidP="007B44BC">
      <w:pPr>
        <w:numPr>
          <w:ilvl w:val="0"/>
          <w:numId w:val="5"/>
        </w:numPr>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Các công nghệ động lực không phát thải, bao gồm</w:t>
      </w:r>
      <w:r w:rsidRPr="007B44BC">
        <w:rPr>
          <w:rFonts w:ascii="Times New Roman" w:hAnsi="Times New Roman" w:cs="Times New Roman"/>
          <w:sz w:val="26"/>
          <w:szCs w:val="26"/>
        </w:rPr>
        <w:t xml:space="preserve"> h</w:t>
      </w:r>
      <w:r w:rsidRPr="007B44BC">
        <w:rPr>
          <w:rFonts w:ascii="Times New Roman" w:hAnsi="Times New Roman" w:cs="Times New Roman"/>
          <w:sz w:val="26"/>
          <w:szCs w:val="26"/>
        </w:rPr>
        <w:t>ệ thống hỗ trợ đẩy bằng sức gió (Wind-assisted propulsion)</w:t>
      </w:r>
      <w:r w:rsidRPr="007B44BC">
        <w:rPr>
          <w:rFonts w:ascii="Times New Roman" w:hAnsi="Times New Roman" w:cs="Times New Roman"/>
          <w:sz w:val="26"/>
          <w:szCs w:val="26"/>
        </w:rPr>
        <w:t xml:space="preserve"> và </w:t>
      </w:r>
      <w:r w:rsidRPr="007B44BC">
        <w:rPr>
          <w:rFonts w:ascii="Times New Roman" w:hAnsi="Times New Roman" w:cs="Times New Roman"/>
          <w:sz w:val="26"/>
          <w:szCs w:val="26"/>
        </w:rPr>
        <w:t xml:space="preserve">Hệ thống động lực điện. </w:t>
      </w:r>
    </w:p>
    <w:p w14:paraId="6CB64F86" w14:textId="580074BD" w:rsidR="007B44BC" w:rsidRPr="007B44BC" w:rsidRDefault="007B44BC" w:rsidP="007B44BC">
      <w:pPr>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Ngoài ra, chương trình còn dành các khoản thưởng bổ sung (bonuses) cho</w:t>
      </w:r>
      <w:r>
        <w:rPr>
          <w:rFonts w:ascii="Times New Roman" w:hAnsi="Times New Roman" w:cs="Times New Roman"/>
          <w:sz w:val="26"/>
          <w:szCs w:val="26"/>
        </w:rPr>
        <w:t xml:space="preserve"> c</w:t>
      </w:r>
      <w:r w:rsidRPr="007B44BC">
        <w:rPr>
          <w:rFonts w:ascii="Times New Roman" w:hAnsi="Times New Roman" w:cs="Times New Roman"/>
          <w:sz w:val="26"/>
          <w:szCs w:val="26"/>
        </w:rPr>
        <w:t>ác hành lang vận tải biển xanh (Green Shipping Corridors)</w:t>
      </w:r>
      <w:r>
        <w:rPr>
          <w:rFonts w:ascii="Times New Roman" w:hAnsi="Times New Roman" w:cs="Times New Roman"/>
          <w:sz w:val="26"/>
          <w:szCs w:val="26"/>
        </w:rPr>
        <w:t xml:space="preserve"> và cho v</w:t>
      </w:r>
      <w:r w:rsidRPr="007B44BC">
        <w:rPr>
          <w:rFonts w:ascii="Times New Roman" w:hAnsi="Times New Roman" w:cs="Times New Roman"/>
          <w:sz w:val="26"/>
          <w:szCs w:val="26"/>
        </w:rPr>
        <w:t xml:space="preserve">iệc sử dụng nhiên liệu và thiết bị được sản xuất trong Liên minh Châu Âu. </w:t>
      </w:r>
    </w:p>
    <w:p w14:paraId="2915B1DB" w14:textId="77777777" w:rsidR="007B44BC" w:rsidRPr="007B44BC" w:rsidRDefault="007B44BC" w:rsidP="007B44BC">
      <w:pPr>
        <w:spacing w:before="120" w:after="120"/>
        <w:jc w:val="both"/>
        <w:rPr>
          <w:rFonts w:ascii="Times New Roman" w:hAnsi="Times New Roman" w:cs="Times New Roman"/>
          <w:b/>
          <w:bCs/>
          <w:sz w:val="26"/>
          <w:szCs w:val="26"/>
        </w:rPr>
      </w:pPr>
      <w:r w:rsidRPr="007B44BC">
        <w:rPr>
          <w:rFonts w:ascii="Times New Roman" w:hAnsi="Times New Roman" w:cs="Times New Roman"/>
          <w:b/>
          <w:bCs/>
          <w:sz w:val="26"/>
          <w:szCs w:val="26"/>
        </w:rPr>
        <w:t>Mở rộng phạm vi áp dụng đối với tàu nhỏ</w:t>
      </w:r>
    </w:p>
    <w:p w14:paraId="4054E0DF" w14:textId="77777777" w:rsidR="007B44BC" w:rsidRPr="007B44BC" w:rsidRDefault="007B44BC" w:rsidP="007B44BC">
      <w:pPr>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 xml:space="preserve">Nhằm tạo sân chơi bình đẳng giữa các loại tàu, phạm vi áp dụng của EU ETS sẽ được mở rộng xuống các tàu </w:t>
      </w:r>
      <w:r w:rsidRPr="007B44BC">
        <w:rPr>
          <w:rFonts w:ascii="Times New Roman" w:hAnsi="Times New Roman" w:cs="Times New Roman"/>
          <w:color w:val="C00000"/>
          <w:sz w:val="26"/>
          <w:szCs w:val="26"/>
        </w:rPr>
        <w:t>từ 400 GT đến dưới 5.000 GT</w:t>
      </w:r>
      <w:r w:rsidRPr="007B44BC">
        <w:rPr>
          <w:rFonts w:ascii="Times New Roman" w:hAnsi="Times New Roman" w:cs="Times New Roman"/>
          <w:sz w:val="26"/>
          <w:szCs w:val="26"/>
        </w:rPr>
        <w:t>, theo hai giai đoạn:</w:t>
      </w:r>
    </w:p>
    <w:p w14:paraId="13439B57" w14:textId="77777777" w:rsidR="007B44BC" w:rsidRPr="007B44BC" w:rsidRDefault="007B44BC" w:rsidP="007B44BC">
      <w:pPr>
        <w:numPr>
          <w:ilvl w:val="0"/>
          <w:numId w:val="7"/>
        </w:numPr>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Từ năm 2029</w:t>
      </w:r>
      <w:r w:rsidRPr="007B44BC">
        <w:rPr>
          <w:rFonts w:ascii="Times New Roman" w:hAnsi="Times New Roman" w:cs="Times New Roman"/>
          <w:b/>
          <w:bCs/>
          <w:sz w:val="26"/>
          <w:szCs w:val="26"/>
        </w:rPr>
        <w:t>:</w:t>
      </w:r>
      <w:r w:rsidRPr="007B44BC">
        <w:rPr>
          <w:rFonts w:ascii="Times New Roman" w:hAnsi="Times New Roman" w:cs="Times New Roman"/>
          <w:sz w:val="26"/>
          <w:szCs w:val="26"/>
        </w:rPr>
        <w:t xml:space="preserve"> các tàu thuộc diện này phải thực hiện giám sát, báo cáo và thẩm tra (MRV). </w:t>
      </w:r>
    </w:p>
    <w:p w14:paraId="23AB014B" w14:textId="77777777" w:rsidR="007B44BC" w:rsidRPr="007B44BC" w:rsidRDefault="007B44BC" w:rsidP="007B44BC">
      <w:pPr>
        <w:numPr>
          <w:ilvl w:val="0"/>
          <w:numId w:val="7"/>
        </w:numPr>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 xml:space="preserve">Từ năm 2031: một số loại tàu trong nhóm này sẽ chính thức thuộc phạm vi điều chỉnh của EU ETS. </w:t>
      </w:r>
    </w:p>
    <w:p w14:paraId="725D65EC" w14:textId="3ACCAF0D" w:rsidR="007B44BC" w:rsidRPr="007B44BC" w:rsidRDefault="007B44BC" w:rsidP="007B44BC">
      <w:pPr>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 xml:space="preserve">Đối với tàu </w:t>
      </w:r>
      <w:r w:rsidRPr="007B44BC">
        <w:rPr>
          <w:rFonts w:ascii="Times New Roman" w:hAnsi="Times New Roman" w:cs="Times New Roman"/>
          <w:sz w:val="26"/>
          <w:szCs w:val="26"/>
        </w:rPr>
        <w:t>dịch vụ</w:t>
      </w:r>
      <w:r w:rsidRPr="007B44BC">
        <w:rPr>
          <w:rFonts w:ascii="Times New Roman" w:hAnsi="Times New Roman" w:cs="Times New Roman"/>
          <w:sz w:val="26"/>
          <w:szCs w:val="26"/>
        </w:rPr>
        <w:t xml:space="preserve"> ngoài khơi, phương pháp quản lý sẽ được chuyển từ dựa trên từng loại tàu sang dựa trên bản chất hoạt động khai thác.</w:t>
      </w:r>
    </w:p>
    <w:p w14:paraId="041BFA1C" w14:textId="77777777" w:rsidR="007B44BC" w:rsidRPr="007B44BC" w:rsidRDefault="007B44BC" w:rsidP="007B44BC">
      <w:pPr>
        <w:spacing w:before="120" w:after="120"/>
        <w:jc w:val="both"/>
        <w:rPr>
          <w:rFonts w:ascii="Times New Roman" w:hAnsi="Times New Roman" w:cs="Times New Roman"/>
          <w:b/>
          <w:bCs/>
          <w:sz w:val="26"/>
          <w:szCs w:val="26"/>
        </w:rPr>
      </w:pPr>
      <w:r w:rsidRPr="007B44BC">
        <w:rPr>
          <w:rFonts w:ascii="Times New Roman" w:hAnsi="Times New Roman" w:cs="Times New Roman"/>
          <w:b/>
          <w:bCs/>
          <w:sz w:val="26"/>
          <w:szCs w:val="26"/>
        </w:rPr>
        <w:t>Ngăn chặn hành vi né tránh ETS và thất thoát lưu lượng qua các cảng trung chuyển</w:t>
      </w:r>
    </w:p>
    <w:p w14:paraId="4056C2E3" w14:textId="77777777" w:rsidR="007B44BC" w:rsidRPr="007B44BC" w:rsidRDefault="007B44BC" w:rsidP="007B44BC">
      <w:pPr>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Đối với tàu container, các quy định mới được thiết kế nhằm hạn chế việc chuyển hướng tàu sang các cảng ngoài EU để tránh nghĩa vụ nộp hạn ngạch phát thải.</w:t>
      </w:r>
    </w:p>
    <w:p w14:paraId="5B7F5994" w14:textId="77777777" w:rsidR="007B44BC" w:rsidRPr="007B44BC" w:rsidRDefault="007B44BC" w:rsidP="007B44BC">
      <w:pPr>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Các biện pháp bao gồm:</w:t>
      </w:r>
    </w:p>
    <w:p w14:paraId="3F9C57CF" w14:textId="77777777" w:rsidR="007B44BC" w:rsidRPr="007B44BC" w:rsidRDefault="007B44BC" w:rsidP="007B44BC">
      <w:pPr>
        <w:numPr>
          <w:ilvl w:val="0"/>
          <w:numId w:val="8"/>
        </w:numPr>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lastRenderedPageBreak/>
        <w:t xml:space="preserve">Siết chặt tiêu chí đối với </w:t>
      </w:r>
      <w:r w:rsidRPr="007B44BC">
        <w:rPr>
          <w:rFonts w:ascii="Times New Roman" w:hAnsi="Times New Roman" w:cs="Times New Roman"/>
          <w:b/>
          <w:bCs/>
          <w:sz w:val="26"/>
          <w:szCs w:val="26"/>
        </w:rPr>
        <w:t>c</w:t>
      </w:r>
      <w:r w:rsidRPr="007B44BC">
        <w:rPr>
          <w:rFonts w:ascii="Times New Roman" w:hAnsi="Times New Roman" w:cs="Times New Roman"/>
          <w:sz w:val="26"/>
          <w:szCs w:val="26"/>
        </w:rPr>
        <w:t xml:space="preserve">ác cảng trung chuyển container lân cận nằm trong phạm vi 300 hải lý, bằng cách giảm ngưỡng trung chuyển từ 65% xuống còn 50%. </w:t>
      </w:r>
    </w:p>
    <w:p w14:paraId="6BE18041" w14:textId="77777777" w:rsidR="007B44BC" w:rsidRPr="007B44BC" w:rsidRDefault="007B44BC" w:rsidP="007B44BC">
      <w:pPr>
        <w:numPr>
          <w:ilvl w:val="0"/>
          <w:numId w:val="8"/>
        </w:numPr>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 xml:space="preserve">Đối với tàu container cỡ lớn (từ 10.000 TEU trở lên) hoạt động trên các tuyến ngoài EU đến ngoài EU, lượng hạn ngạch phải nộp sẽ được giảm theo tỷ lệ tương ứng với khối lượng container thực tế được dỡ tại các cảng EU. </w:t>
      </w:r>
    </w:p>
    <w:p w14:paraId="45023892" w14:textId="77777777" w:rsidR="007B44BC" w:rsidRPr="007B44BC" w:rsidRDefault="007B44BC" w:rsidP="007B44BC">
      <w:pPr>
        <w:spacing w:before="120" w:after="120"/>
        <w:jc w:val="both"/>
        <w:rPr>
          <w:rFonts w:ascii="Times New Roman" w:hAnsi="Times New Roman" w:cs="Times New Roman"/>
          <w:b/>
          <w:bCs/>
          <w:sz w:val="26"/>
          <w:szCs w:val="26"/>
        </w:rPr>
      </w:pPr>
      <w:r w:rsidRPr="007B44BC">
        <w:rPr>
          <w:rFonts w:ascii="Times New Roman" w:hAnsi="Times New Roman" w:cs="Times New Roman"/>
          <w:b/>
          <w:bCs/>
          <w:sz w:val="26"/>
          <w:szCs w:val="26"/>
        </w:rPr>
        <w:t>Gia hạn các cơ chế miễn trừ</w:t>
      </w:r>
    </w:p>
    <w:p w14:paraId="374503A0" w14:textId="5C78790A" w:rsidR="007B44BC" w:rsidRPr="007B44BC" w:rsidRDefault="007B44BC" w:rsidP="007B44BC">
      <w:pPr>
        <w:tabs>
          <w:tab w:val="num" w:pos="720"/>
        </w:tabs>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Nhằm phản ánh các điều kiện địa lý và kỹ thuật đặc thù, EU đề xuất kéo dài các cơ chế miễn trừ đến 31 tháng 12 năm 2035 đối với</w:t>
      </w:r>
      <w:r>
        <w:rPr>
          <w:rFonts w:ascii="Times New Roman" w:hAnsi="Times New Roman" w:cs="Times New Roman"/>
          <w:sz w:val="26"/>
          <w:szCs w:val="26"/>
        </w:rPr>
        <w:t xml:space="preserve"> t</w:t>
      </w:r>
      <w:r w:rsidRPr="007B44BC">
        <w:rPr>
          <w:rFonts w:ascii="Times New Roman" w:hAnsi="Times New Roman" w:cs="Times New Roman"/>
          <w:sz w:val="26"/>
          <w:szCs w:val="26"/>
        </w:rPr>
        <w:t xml:space="preserve">àu có cấp </w:t>
      </w:r>
      <w:r>
        <w:rPr>
          <w:rFonts w:ascii="Times New Roman" w:hAnsi="Times New Roman" w:cs="Times New Roman"/>
          <w:sz w:val="26"/>
          <w:szCs w:val="26"/>
        </w:rPr>
        <w:t xml:space="preserve">chạy trong </w:t>
      </w:r>
      <w:r w:rsidRPr="007B44BC">
        <w:rPr>
          <w:rFonts w:ascii="Times New Roman" w:hAnsi="Times New Roman" w:cs="Times New Roman"/>
          <w:sz w:val="26"/>
          <w:szCs w:val="26"/>
        </w:rPr>
        <w:t>băng (Ice-class vessels)</w:t>
      </w:r>
      <w:r>
        <w:rPr>
          <w:rFonts w:ascii="Times New Roman" w:hAnsi="Times New Roman" w:cs="Times New Roman"/>
          <w:sz w:val="26"/>
          <w:szCs w:val="26"/>
        </w:rPr>
        <w:t>, c</w:t>
      </w:r>
      <w:r w:rsidRPr="007B44BC">
        <w:rPr>
          <w:rFonts w:ascii="Times New Roman" w:hAnsi="Times New Roman" w:cs="Times New Roman"/>
          <w:sz w:val="26"/>
          <w:szCs w:val="26"/>
        </w:rPr>
        <w:t>ác đảo nhỏ</w:t>
      </w:r>
      <w:r>
        <w:rPr>
          <w:rFonts w:ascii="Times New Roman" w:hAnsi="Times New Roman" w:cs="Times New Roman"/>
          <w:sz w:val="26"/>
          <w:szCs w:val="26"/>
        </w:rPr>
        <w:t>, c</w:t>
      </w:r>
      <w:r w:rsidRPr="007B44BC">
        <w:rPr>
          <w:rFonts w:ascii="Times New Roman" w:hAnsi="Times New Roman" w:cs="Times New Roman"/>
          <w:sz w:val="26"/>
          <w:szCs w:val="26"/>
        </w:rPr>
        <w:t>ác vùng lãnh thổ xa trung tâm (Outermost Regions)</w:t>
      </w:r>
      <w:r>
        <w:rPr>
          <w:rFonts w:ascii="Times New Roman" w:hAnsi="Times New Roman" w:cs="Times New Roman"/>
          <w:sz w:val="26"/>
          <w:szCs w:val="26"/>
        </w:rPr>
        <w:t xml:space="preserve"> và c</w:t>
      </w:r>
      <w:r w:rsidRPr="007B44BC">
        <w:rPr>
          <w:rFonts w:ascii="Times New Roman" w:hAnsi="Times New Roman" w:cs="Times New Roman"/>
          <w:sz w:val="26"/>
          <w:szCs w:val="26"/>
        </w:rPr>
        <w:t xml:space="preserve">ác tuyến vận tải thực hiện theo hợp đồng dịch vụ công (Public Service Contracts). </w:t>
      </w:r>
    </w:p>
    <w:p w14:paraId="031A251D" w14:textId="77777777" w:rsidR="007B44BC" w:rsidRPr="007B44BC" w:rsidRDefault="007B44BC" w:rsidP="007B44BC">
      <w:pPr>
        <w:spacing w:before="120" w:after="120"/>
        <w:jc w:val="both"/>
        <w:rPr>
          <w:rFonts w:ascii="Times New Roman" w:hAnsi="Times New Roman" w:cs="Times New Roman"/>
          <w:b/>
          <w:bCs/>
          <w:sz w:val="26"/>
          <w:szCs w:val="26"/>
        </w:rPr>
      </w:pPr>
      <w:r w:rsidRPr="007B44BC">
        <w:rPr>
          <w:rFonts w:ascii="Times New Roman" w:hAnsi="Times New Roman" w:cs="Times New Roman"/>
          <w:b/>
          <w:bCs/>
          <w:sz w:val="26"/>
          <w:szCs w:val="26"/>
        </w:rPr>
        <w:t>Giảm gánh nặng hành chính: Quy trình MRV thống nhất</w:t>
      </w:r>
    </w:p>
    <w:p w14:paraId="4E67166D" w14:textId="02016A37" w:rsidR="007B44BC" w:rsidRPr="007B44BC" w:rsidRDefault="007B44BC" w:rsidP="007B44BC">
      <w:pPr>
        <w:tabs>
          <w:tab w:val="num" w:pos="720"/>
        </w:tabs>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Trong nhiều năm qua, một trong những khó khăn lớn nhất đối với các chủ tàu là phải tuân thủ đồng thời nhiều quy định khác nhau của Liên minh Châu Âu.</w:t>
      </w:r>
      <w:r>
        <w:rPr>
          <w:rFonts w:ascii="Times New Roman" w:hAnsi="Times New Roman" w:cs="Times New Roman"/>
          <w:sz w:val="26"/>
          <w:szCs w:val="26"/>
        </w:rPr>
        <w:t xml:space="preserve"> </w:t>
      </w:r>
      <w:r w:rsidRPr="007B44BC">
        <w:rPr>
          <w:rFonts w:ascii="Times New Roman" w:hAnsi="Times New Roman" w:cs="Times New Roman"/>
          <w:sz w:val="26"/>
          <w:szCs w:val="26"/>
        </w:rPr>
        <w:t>Bản sửa đổi lần này giải quyết trực tiếp vấn đề đó bằng việc xây dựng một quy trình MRV thống nhất, áp dụng đồng thời cho</w:t>
      </w:r>
      <w:r>
        <w:rPr>
          <w:rFonts w:ascii="Times New Roman" w:hAnsi="Times New Roman" w:cs="Times New Roman"/>
          <w:sz w:val="26"/>
          <w:szCs w:val="26"/>
        </w:rPr>
        <w:t xml:space="preserve"> </w:t>
      </w:r>
      <w:r w:rsidRPr="007B44BC">
        <w:rPr>
          <w:rFonts w:ascii="Times New Roman" w:hAnsi="Times New Roman" w:cs="Times New Roman"/>
          <w:sz w:val="26"/>
          <w:szCs w:val="26"/>
        </w:rPr>
        <w:t>EU ETS, và FuelEU Maritime. Theo quy trình mới:</w:t>
      </w:r>
    </w:p>
    <w:p w14:paraId="63D44111" w14:textId="77777777" w:rsidR="007B44BC" w:rsidRPr="007B44BC" w:rsidRDefault="007B44BC" w:rsidP="007B44BC">
      <w:pPr>
        <w:numPr>
          <w:ilvl w:val="0"/>
          <w:numId w:val="11"/>
        </w:numPr>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 xml:space="preserve">Doanh nghiệp chỉ phải nộp kế hoạch giám sát và báo cáo dữ liệu về năng lượng, nhiên liệu và phát thải một lần duy nhất. </w:t>
      </w:r>
    </w:p>
    <w:p w14:paraId="60D11179" w14:textId="77777777" w:rsidR="007B44BC" w:rsidRPr="007B44BC" w:rsidRDefault="007B44BC" w:rsidP="007B44BC">
      <w:pPr>
        <w:numPr>
          <w:ilvl w:val="0"/>
          <w:numId w:val="11"/>
        </w:numPr>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 xml:space="preserve">Dữ liệu đã được thẩm tra ở cấp độ từng tàu sẽ tự động tổng hợp thành báo cáo cấp doanh nghiệp. </w:t>
      </w:r>
    </w:p>
    <w:p w14:paraId="04F0BF2F" w14:textId="61E29A0E" w:rsidR="007B44BC" w:rsidRPr="007B44BC" w:rsidRDefault="007B44BC" w:rsidP="007B44BC">
      <w:pPr>
        <w:numPr>
          <w:ilvl w:val="0"/>
          <w:numId w:val="11"/>
        </w:numPr>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Việc quản lý nghĩa vụ tuân thủ đối với</w:t>
      </w:r>
      <w:r w:rsidRPr="007B44BC">
        <w:rPr>
          <w:rFonts w:ascii="Times New Roman" w:hAnsi="Times New Roman" w:cs="Times New Roman"/>
          <w:sz w:val="26"/>
          <w:szCs w:val="26"/>
        </w:rPr>
        <w:t xml:space="preserve"> </w:t>
      </w:r>
      <w:r w:rsidRPr="007B44BC">
        <w:rPr>
          <w:rFonts w:ascii="Times New Roman" w:hAnsi="Times New Roman" w:cs="Times New Roman"/>
          <w:sz w:val="26"/>
          <w:szCs w:val="26"/>
        </w:rPr>
        <w:t>hạn ngạch phải nộp theo EU ETS, và</w:t>
      </w:r>
      <w:r w:rsidRPr="007B44BC">
        <w:rPr>
          <w:rFonts w:ascii="Times New Roman" w:hAnsi="Times New Roman" w:cs="Times New Roman"/>
          <w:sz w:val="26"/>
          <w:szCs w:val="26"/>
        </w:rPr>
        <w:t xml:space="preserve"> </w:t>
      </w:r>
      <w:r w:rsidRPr="007B44BC">
        <w:rPr>
          <w:rFonts w:ascii="Times New Roman" w:hAnsi="Times New Roman" w:cs="Times New Roman"/>
          <w:sz w:val="26"/>
          <w:szCs w:val="26"/>
        </w:rPr>
        <w:t>các khoản phạt theo FuelEU Maritime được thực hiện thông qua một cổng báo cáo tích hợp duy nhất.</w:t>
      </w:r>
    </w:p>
    <w:p w14:paraId="22E320A7" w14:textId="77777777" w:rsidR="007B44BC" w:rsidRPr="007B44BC" w:rsidRDefault="007B44BC" w:rsidP="007B44BC">
      <w:pPr>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 xml:space="preserve">Quy định </w:t>
      </w:r>
      <w:r w:rsidRPr="007B44BC">
        <w:rPr>
          <w:rFonts w:ascii="Times New Roman" w:hAnsi="Times New Roman" w:cs="Times New Roman"/>
          <w:b/>
          <w:bCs/>
          <w:sz w:val="26"/>
          <w:szCs w:val="26"/>
        </w:rPr>
        <w:t>"</w:t>
      </w:r>
      <w:r w:rsidRPr="007B44BC">
        <w:rPr>
          <w:rFonts w:ascii="Times New Roman" w:hAnsi="Times New Roman" w:cs="Times New Roman"/>
          <w:color w:val="C00000"/>
          <w:sz w:val="26"/>
          <w:szCs w:val="26"/>
        </w:rPr>
        <w:t>báo cáo một lần"</w:t>
      </w:r>
      <w:r w:rsidRPr="007B44BC">
        <w:rPr>
          <w:rFonts w:ascii="Times New Roman" w:hAnsi="Times New Roman" w:cs="Times New Roman"/>
          <w:b/>
          <w:bCs/>
          <w:color w:val="C00000"/>
          <w:sz w:val="26"/>
          <w:szCs w:val="26"/>
        </w:rPr>
        <w:t xml:space="preserve"> </w:t>
      </w:r>
      <w:r w:rsidRPr="007B44BC">
        <w:rPr>
          <w:rFonts w:ascii="Times New Roman" w:hAnsi="Times New Roman" w:cs="Times New Roman"/>
          <w:color w:val="C00000"/>
          <w:sz w:val="26"/>
          <w:szCs w:val="26"/>
        </w:rPr>
        <w:t xml:space="preserve">(Report Once Rule) </w:t>
      </w:r>
      <w:r w:rsidRPr="007B44BC">
        <w:rPr>
          <w:rFonts w:ascii="Times New Roman" w:hAnsi="Times New Roman" w:cs="Times New Roman"/>
          <w:sz w:val="26"/>
          <w:szCs w:val="26"/>
        </w:rPr>
        <w:t>được ước tính sẽ giúp giảm từ 10% đến 20% chi phí hành chính liên quan đến việc tuân thủ quy định đối với các doanh nghiệp vận tải biển.</w:t>
      </w:r>
    </w:p>
    <w:p w14:paraId="07D506E6" w14:textId="77777777" w:rsidR="007B44BC" w:rsidRPr="007B44BC" w:rsidRDefault="007B44BC" w:rsidP="007B44BC">
      <w:pPr>
        <w:spacing w:before="120" w:after="120"/>
        <w:jc w:val="both"/>
        <w:rPr>
          <w:rFonts w:ascii="Times New Roman" w:hAnsi="Times New Roman" w:cs="Times New Roman"/>
          <w:b/>
          <w:bCs/>
          <w:sz w:val="26"/>
          <w:szCs w:val="26"/>
        </w:rPr>
      </w:pPr>
      <w:r w:rsidRPr="007B44BC">
        <w:rPr>
          <w:rFonts w:ascii="Times New Roman" w:hAnsi="Times New Roman" w:cs="Times New Roman"/>
          <w:b/>
          <w:bCs/>
          <w:sz w:val="26"/>
          <w:szCs w:val="26"/>
        </w:rPr>
        <w:t>Hài hòa với các quy định toàn cầu và lộ trình đến năm 2027</w:t>
      </w:r>
    </w:p>
    <w:p w14:paraId="5EDB3541" w14:textId="3CD00B4F" w:rsidR="007B44BC" w:rsidRPr="007B44BC" w:rsidRDefault="007B44BC" w:rsidP="007B44BC">
      <w:pPr>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Một trong những thách thức lâu nay của các quy định carbon của EU là tránh sự chồng chéo với các cơ chế toàn cầu.</w:t>
      </w:r>
      <w:r>
        <w:rPr>
          <w:rFonts w:ascii="Times New Roman" w:hAnsi="Times New Roman" w:cs="Times New Roman"/>
          <w:sz w:val="26"/>
          <w:szCs w:val="26"/>
        </w:rPr>
        <w:t xml:space="preserve"> </w:t>
      </w:r>
      <w:r w:rsidRPr="007B44BC">
        <w:rPr>
          <w:rFonts w:ascii="Times New Roman" w:hAnsi="Times New Roman" w:cs="Times New Roman"/>
          <w:sz w:val="26"/>
          <w:szCs w:val="26"/>
        </w:rPr>
        <w:t>Vì vậy, đề xuất mới đã bổ sung điều khoản rà soát (review clauses) nhằm bảo đảm khả năng điều chỉnh để phù hợp với các cơ chế định giá carbon toàn cầu trong tương lai của Tổ chức Hàng hải Quốc tế (IMO).</w:t>
      </w:r>
    </w:p>
    <w:p w14:paraId="6442536E" w14:textId="4F2E303A" w:rsidR="007B44BC" w:rsidRDefault="007B44BC" w:rsidP="007B44BC">
      <w:pPr>
        <w:tabs>
          <w:tab w:val="num" w:pos="720"/>
        </w:tabs>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Nếu IMO chính thức áp dụng một cơ chế thị trường toàn cầu</w:t>
      </w:r>
      <w:r>
        <w:rPr>
          <w:rFonts w:ascii="Times New Roman" w:hAnsi="Times New Roman" w:cs="Times New Roman"/>
          <w:sz w:val="26"/>
          <w:szCs w:val="26"/>
        </w:rPr>
        <w:t xml:space="preserve"> thì</w:t>
      </w:r>
      <w:r w:rsidRPr="007B44BC">
        <w:rPr>
          <w:rFonts w:ascii="Times New Roman" w:hAnsi="Times New Roman" w:cs="Times New Roman"/>
          <w:sz w:val="26"/>
          <w:szCs w:val="26"/>
        </w:rPr>
        <w:t xml:space="preserve"> EU sẽ triển khai cơ chế khấu trừ chi phí IMO (IMO Deduction Mechanism), cho phép các doanh nghiệp</w:t>
      </w:r>
      <w:r>
        <w:rPr>
          <w:rFonts w:ascii="Times New Roman" w:hAnsi="Times New Roman" w:cs="Times New Roman"/>
          <w:sz w:val="26"/>
          <w:szCs w:val="26"/>
        </w:rPr>
        <w:t xml:space="preserve"> </w:t>
      </w:r>
      <w:r w:rsidRPr="007B44BC">
        <w:rPr>
          <w:rFonts w:ascii="Times New Roman" w:hAnsi="Times New Roman" w:cs="Times New Roman"/>
          <w:sz w:val="26"/>
          <w:szCs w:val="26"/>
        </w:rPr>
        <w:t xml:space="preserve">được khấu trừ các khoản chi phí carbon đã nộp theo cơ chế của IMO, tránh tình trạng phải trả tiền carbon hai lần, đồng thời vẫn duy trì tính toàn vẹn về môi trường của thị trường carbon EU. </w:t>
      </w:r>
    </w:p>
    <w:p w14:paraId="3888F5F3" w14:textId="77777777" w:rsidR="007B44BC" w:rsidRDefault="007B44BC" w:rsidP="007B44BC">
      <w:pPr>
        <w:tabs>
          <w:tab w:val="num" w:pos="720"/>
        </w:tabs>
        <w:spacing w:before="120" w:after="120"/>
        <w:jc w:val="both"/>
        <w:rPr>
          <w:rFonts w:ascii="Times New Roman" w:hAnsi="Times New Roman" w:cs="Times New Roman"/>
          <w:sz w:val="26"/>
          <w:szCs w:val="26"/>
        </w:rPr>
      </w:pPr>
    </w:p>
    <w:p w14:paraId="1398AE31" w14:textId="77777777" w:rsidR="007B44BC" w:rsidRPr="007B44BC" w:rsidRDefault="007B44BC" w:rsidP="007B44BC">
      <w:pPr>
        <w:tabs>
          <w:tab w:val="num" w:pos="720"/>
        </w:tabs>
        <w:spacing w:before="120" w:after="120"/>
        <w:jc w:val="both"/>
        <w:rPr>
          <w:rFonts w:ascii="Times New Roman" w:hAnsi="Times New Roman" w:cs="Times New Roman"/>
          <w:sz w:val="26"/>
          <w:szCs w:val="26"/>
        </w:rPr>
      </w:pPr>
    </w:p>
    <w:p w14:paraId="70046584" w14:textId="77777777" w:rsidR="007B44BC" w:rsidRPr="007B44BC" w:rsidRDefault="007B44BC" w:rsidP="007B44BC">
      <w:pPr>
        <w:spacing w:before="120" w:after="120"/>
        <w:jc w:val="both"/>
        <w:rPr>
          <w:rFonts w:ascii="Times New Roman" w:hAnsi="Times New Roman" w:cs="Times New Roman"/>
          <w:b/>
          <w:bCs/>
          <w:sz w:val="26"/>
          <w:szCs w:val="26"/>
        </w:rPr>
      </w:pPr>
      <w:r w:rsidRPr="007B44BC">
        <w:rPr>
          <w:rFonts w:ascii="Times New Roman" w:hAnsi="Times New Roman" w:cs="Times New Roman"/>
          <w:b/>
          <w:bCs/>
          <w:sz w:val="26"/>
          <w:szCs w:val="26"/>
        </w:rPr>
        <w:lastRenderedPageBreak/>
        <w:t>Các mốc thời gian và thông số chính</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04"/>
        <w:gridCol w:w="6006"/>
      </w:tblGrid>
      <w:tr w:rsidR="007B44BC" w:rsidRPr="007B44BC" w14:paraId="1586DFC1" w14:textId="77777777" w:rsidTr="007B44BC">
        <w:trPr>
          <w:tblHeader/>
          <w:tblCellSpacing w:w="15" w:type="dxa"/>
        </w:trPr>
        <w:tc>
          <w:tcPr>
            <w:tcW w:w="0" w:type="auto"/>
            <w:vAlign w:val="center"/>
            <w:hideMark/>
          </w:tcPr>
          <w:p w14:paraId="73B769B8" w14:textId="77777777" w:rsidR="007B44BC" w:rsidRPr="007B44BC" w:rsidRDefault="007B44BC" w:rsidP="007B44BC">
            <w:pPr>
              <w:spacing w:before="120" w:after="120"/>
              <w:jc w:val="both"/>
              <w:rPr>
                <w:rFonts w:ascii="Times New Roman" w:hAnsi="Times New Roman" w:cs="Times New Roman"/>
                <w:b/>
                <w:bCs/>
                <w:sz w:val="26"/>
                <w:szCs w:val="26"/>
              </w:rPr>
            </w:pPr>
            <w:r w:rsidRPr="007B44BC">
              <w:rPr>
                <w:rFonts w:ascii="Times New Roman" w:hAnsi="Times New Roman" w:cs="Times New Roman"/>
                <w:b/>
                <w:bCs/>
                <w:sz w:val="26"/>
                <w:szCs w:val="26"/>
              </w:rPr>
              <w:t>Nội dung</w:t>
            </w:r>
          </w:p>
        </w:tc>
        <w:tc>
          <w:tcPr>
            <w:tcW w:w="0" w:type="auto"/>
            <w:vAlign w:val="center"/>
            <w:hideMark/>
          </w:tcPr>
          <w:p w14:paraId="5E5F9FEB" w14:textId="77777777" w:rsidR="007B44BC" w:rsidRPr="007B44BC" w:rsidRDefault="007B44BC" w:rsidP="007B44BC">
            <w:pPr>
              <w:spacing w:before="120" w:after="120"/>
              <w:jc w:val="both"/>
              <w:rPr>
                <w:rFonts w:ascii="Times New Roman" w:hAnsi="Times New Roman" w:cs="Times New Roman"/>
                <w:b/>
                <w:bCs/>
                <w:sz w:val="26"/>
                <w:szCs w:val="26"/>
              </w:rPr>
            </w:pPr>
            <w:r w:rsidRPr="007B44BC">
              <w:rPr>
                <w:rFonts w:ascii="Times New Roman" w:hAnsi="Times New Roman" w:cs="Times New Roman"/>
                <w:b/>
                <w:bCs/>
                <w:sz w:val="26"/>
                <w:szCs w:val="26"/>
              </w:rPr>
              <w:t>Thời gian / Thông số</w:t>
            </w:r>
          </w:p>
        </w:tc>
      </w:tr>
      <w:tr w:rsidR="007B44BC" w:rsidRPr="007B44BC" w14:paraId="0403CFF6" w14:textId="77777777" w:rsidTr="007B44BC">
        <w:trPr>
          <w:tblCellSpacing w:w="15" w:type="dxa"/>
        </w:trPr>
        <w:tc>
          <w:tcPr>
            <w:tcW w:w="0" w:type="auto"/>
            <w:vAlign w:val="center"/>
            <w:hideMark/>
          </w:tcPr>
          <w:p w14:paraId="7242995F" w14:textId="77777777" w:rsidR="007B44BC" w:rsidRPr="007B44BC" w:rsidRDefault="007B44BC" w:rsidP="007B44BC">
            <w:pPr>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Mục tiêu thông qua</w:t>
            </w:r>
          </w:p>
        </w:tc>
        <w:tc>
          <w:tcPr>
            <w:tcW w:w="0" w:type="auto"/>
            <w:vAlign w:val="center"/>
            <w:hideMark/>
          </w:tcPr>
          <w:p w14:paraId="0002BC70" w14:textId="77777777" w:rsidR="007B44BC" w:rsidRPr="007B44BC" w:rsidRDefault="007B44BC" w:rsidP="007B44BC">
            <w:pPr>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Quý I năm 2027</w:t>
            </w:r>
          </w:p>
        </w:tc>
      </w:tr>
      <w:tr w:rsidR="007B44BC" w:rsidRPr="007B44BC" w14:paraId="2A523DA0" w14:textId="77777777" w:rsidTr="007B44BC">
        <w:trPr>
          <w:tblCellSpacing w:w="15" w:type="dxa"/>
        </w:trPr>
        <w:tc>
          <w:tcPr>
            <w:tcW w:w="0" w:type="auto"/>
            <w:vAlign w:val="center"/>
            <w:hideMark/>
          </w:tcPr>
          <w:p w14:paraId="214DB77C" w14:textId="77777777" w:rsidR="007B44BC" w:rsidRPr="007B44BC" w:rsidRDefault="007B44BC" w:rsidP="007B44BC">
            <w:pPr>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Hệ số giảm tuyến tính (LRF)</w:t>
            </w:r>
          </w:p>
        </w:tc>
        <w:tc>
          <w:tcPr>
            <w:tcW w:w="0" w:type="auto"/>
            <w:vAlign w:val="center"/>
            <w:hideMark/>
          </w:tcPr>
          <w:p w14:paraId="3D84CA50" w14:textId="77777777" w:rsidR="007B44BC" w:rsidRPr="007B44BC" w:rsidRDefault="007B44BC" w:rsidP="007B44BC">
            <w:pPr>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Giảm 3,7%/năm (2031–2035); 1,7%/năm (từ 2036 trở đi)</w:t>
            </w:r>
          </w:p>
        </w:tc>
      </w:tr>
      <w:tr w:rsidR="007B44BC" w:rsidRPr="007B44BC" w14:paraId="70698CE2" w14:textId="77777777" w:rsidTr="007B44BC">
        <w:trPr>
          <w:tblCellSpacing w:w="15" w:type="dxa"/>
        </w:trPr>
        <w:tc>
          <w:tcPr>
            <w:tcW w:w="0" w:type="auto"/>
            <w:vAlign w:val="center"/>
            <w:hideMark/>
          </w:tcPr>
          <w:p w14:paraId="3012DF72" w14:textId="77777777" w:rsidR="007B44BC" w:rsidRPr="007B44BC" w:rsidRDefault="007B44BC" w:rsidP="007B44BC">
            <w:pPr>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Phân bổ cho SMAP</w:t>
            </w:r>
          </w:p>
        </w:tc>
        <w:tc>
          <w:tcPr>
            <w:tcW w:w="0" w:type="auto"/>
            <w:vAlign w:val="center"/>
            <w:hideMark/>
          </w:tcPr>
          <w:p w14:paraId="5F12D45B" w14:textId="77777777" w:rsidR="007B44BC" w:rsidRPr="007B44BC" w:rsidRDefault="007B44BC" w:rsidP="007B44BC">
            <w:pPr>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110 triệu hạn ngạch phát thải (khoảng 15 tỷ euro) giai đoạn 2028–2040</w:t>
            </w:r>
          </w:p>
        </w:tc>
      </w:tr>
      <w:tr w:rsidR="007B44BC" w:rsidRPr="007B44BC" w14:paraId="0A3A5048" w14:textId="77777777" w:rsidTr="007B44BC">
        <w:trPr>
          <w:tblCellSpacing w:w="15" w:type="dxa"/>
        </w:trPr>
        <w:tc>
          <w:tcPr>
            <w:tcW w:w="0" w:type="auto"/>
            <w:vAlign w:val="center"/>
            <w:hideMark/>
          </w:tcPr>
          <w:p w14:paraId="1C4EB489" w14:textId="77777777" w:rsidR="007B44BC" w:rsidRPr="007B44BC" w:rsidRDefault="007B44BC" w:rsidP="007B44BC">
            <w:pPr>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Phạm vi áp dụng đối với tàu 400–5.000 GT</w:t>
            </w:r>
          </w:p>
        </w:tc>
        <w:tc>
          <w:tcPr>
            <w:tcW w:w="0" w:type="auto"/>
            <w:vAlign w:val="center"/>
            <w:hideMark/>
          </w:tcPr>
          <w:p w14:paraId="1270BE1E" w14:textId="77777777" w:rsidR="007B44BC" w:rsidRPr="007B44BC" w:rsidRDefault="007B44BC" w:rsidP="007B44BC">
            <w:pPr>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MRV từ 2029 → EU ETS từ 2031</w:t>
            </w:r>
          </w:p>
        </w:tc>
      </w:tr>
      <w:tr w:rsidR="007B44BC" w:rsidRPr="007B44BC" w14:paraId="18934629" w14:textId="77777777" w:rsidTr="007B44BC">
        <w:trPr>
          <w:tblCellSpacing w:w="15" w:type="dxa"/>
        </w:trPr>
        <w:tc>
          <w:tcPr>
            <w:tcW w:w="0" w:type="auto"/>
            <w:vAlign w:val="center"/>
            <w:hideMark/>
          </w:tcPr>
          <w:p w14:paraId="7A26834A" w14:textId="77777777" w:rsidR="007B44BC" w:rsidRPr="007B44BC" w:rsidRDefault="007B44BC" w:rsidP="007B44BC">
            <w:pPr>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Thời hạn miễn trừ đối với hàng hải</w:t>
            </w:r>
          </w:p>
        </w:tc>
        <w:tc>
          <w:tcPr>
            <w:tcW w:w="0" w:type="auto"/>
            <w:vAlign w:val="center"/>
            <w:hideMark/>
          </w:tcPr>
          <w:p w14:paraId="3287A35F" w14:textId="77777777" w:rsidR="007B44BC" w:rsidRPr="007B44BC" w:rsidRDefault="007B44BC" w:rsidP="007B44BC">
            <w:pPr>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Gia hạn đến 31/12/2035</w:t>
            </w:r>
          </w:p>
        </w:tc>
      </w:tr>
    </w:tbl>
    <w:p w14:paraId="7F560508" w14:textId="77777777" w:rsidR="007B44BC" w:rsidRPr="007B44BC" w:rsidRDefault="007B44BC" w:rsidP="007B44BC">
      <w:pPr>
        <w:spacing w:before="120" w:after="120"/>
        <w:jc w:val="both"/>
        <w:rPr>
          <w:rFonts w:ascii="Times New Roman" w:hAnsi="Times New Roman" w:cs="Times New Roman"/>
          <w:b/>
          <w:bCs/>
          <w:sz w:val="26"/>
          <w:szCs w:val="26"/>
        </w:rPr>
      </w:pPr>
      <w:r w:rsidRPr="007B44BC">
        <w:rPr>
          <w:rFonts w:ascii="Times New Roman" w:hAnsi="Times New Roman" w:cs="Times New Roman"/>
          <w:b/>
          <w:bCs/>
          <w:sz w:val="26"/>
          <w:szCs w:val="26"/>
        </w:rPr>
        <w:t>Triển vọng</w:t>
      </w:r>
    </w:p>
    <w:p w14:paraId="220BFAE5" w14:textId="41FA1854" w:rsidR="007B44BC" w:rsidRPr="007B44BC" w:rsidRDefault="007B44BC" w:rsidP="007B44BC">
      <w:pPr>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 xml:space="preserve">Gói sửa đổi EU ETS và EU MRV năm 2026 thể hiện một bước phát triển mang tính thực tiễn trong chính sách khí hậu của Liên minh Châu Âu. Bằng cách kết hợp giữa lộ trình giảm phát thải có thể dự đoán trước, các cơ chế hỗ trợ tài chính trực tiếp như SMAP và Ngân hàng </w:t>
      </w:r>
      <w:r>
        <w:rPr>
          <w:rFonts w:ascii="Times New Roman" w:hAnsi="Times New Roman" w:cs="Times New Roman"/>
          <w:sz w:val="26"/>
          <w:szCs w:val="26"/>
        </w:rPr>
        <w:t>loại bỏ khí thải</w:t>
      </w:r>
      <w:r w:rsidRPr="007B44BC">
        <w:rPr>
          <w:rFonts w:ascii="Times New Roman" w:hAnsi="Times New Roman" w:cs="Times New Roman"/>
          <w:sz w:val="26"/>
          <w:szCs w:val="26"/>
        </w:rPr>
        <w:t xml:space="preserve"> carbon Công nghiệp (IDB), Ủy ban Châu Âu muốn khẳng định rằng việc tuân thủ các quy định về khí hậu phải đi đôi với hỗ trợ đổi mới công nghệ và đơn giản hóa thủ tục hành chính.</w:t>
      </w:r>
    </w:p>
    <w:p w14:paraId="40A4E7C0" w14:textId="28F6EB9A" w:rsidR="007B44BC" w:rsidRPr="007B44BC" w:rsidRDefault="007B44BC" w:rsidP="007B44BC">
      <w:pPr>
        <w:spacing w:before="120" w:after="120"/>
        <w:jc w:val="both"/>
        <w:rPr>
          <w:rFonts w:ascii="Times New Roman" w:hAnsi="Times New Roman" w:cs="Times New Roman"/>
          <w:sz w:val="26"/>
          <w:szCs w:val="26"/>
        </w:rPr>
      </w:pPr>
      <w:r w:rsidRPr="007B44BC">
        <w:rPr>
          <w:rFonts w:ascii="Times New Roman" w:hAnsi="Times New Roman" w:cs="Times New Roman"/>
          <w:sz w:val="26"/>
          <w:szCs w:val="26"/>
        </w:rPr>
        <w:t>Khi các cuộc đàm phán giữa Nghị viện Châu Âu, Hội đồng Châu Âu và Ủy ban Châu Âu bước vào giai đoạn quyết định hướng tới mục tiêu thông qua trong năm 2027</w:t>
      </w:r>
      <w:r>
        <w:rPr>
          <w:rFonts w:ascii="Times New Roman" w:hAnsi="Times New Roman" w:cs="Times New Roman"/>
          <w:sz w:val="26"/>
          <w:szCs w:val="26"/>
        </w:rPr>
        <w:t xml:space="preserve"> thì</w:t>
      </w:r>
      <w:r w:rsidRPr="007B44BC">
        <w:rPr>
          <w:rFonts w:ascii="Times New Roman" w:hAnsi="Times New Roman" w:cs="Times New Roman"/>
          <w:sz w:val="26"/>
          <w:szCs w:val="26"/>
        </w:rPr>
        <w:t xml:space="preserve"> trọng tâm sẽ là bảo đảm các cơ chế đầy tham vọng này được triển khai nhanh chóng, minh bạch và với mức độ chắc chắn cao về mặt pháp lý, tạo điều kiện để ngành hàng hải và các ngành công nghiệp phát thải lớn có thể chủ động đầu tư và thực hiện quá trình chuyển đổi sang nền kinh tế carbon thấp.</w:t>
      </w:r>
    </w:p>
    <w:p w14:paraId="0DC15047" w14:textId="67E92D3D" w:rsidR="00C13E10" w:rsidRPr="006942DA" w:rsidRDefault="007B44BC" w:rsidP="006942DA">
      <w:pPr>
        <w:spacing w:before="120" w:after="120"/>
        <w:jc w:val="center"/>
        <w:rPr>
          <w:rFonts w:ascii="Times New Roman" w:hAnsi="Times New Roman" w:cs="Times New Roman"/>
          <w:sz w:val="26"/>
          <w:szCs w:val="26"/>
        </w:rPr>
      </w:pPr>
      <w:r>
        <w:rPr>
          <w:rFonts w:ascii="Times New Roman" w:hAnsi="Times New Roman" w:cs="Times New Roman"/>
          <w:sz w:val="26"/>
          <w:szCs w:val="26"/>
        </w:rPr>
        <w:t>--------------------------------------------</w:t>
      </w:r>
    </w:p>
    <w:sectPr w:rsidR="00C13E10" w:rsidRPr="006942DA" w:rsidSect="00C726CF">
      <w:pgSz w:w="12240" w:h="15840"/>
      <w:pgMar w:top="900" w:right="108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2F1A"/>
    <w:multiLevelType w:val="multilevel"/>
    <w:tmpl w:val="4C302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26B59"/>
    <w:multiLevelType w:val="multilevel"/>
    <w:tmpl w:val="2AF8F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91398"/>
    <w:multiLevelType w:val="multilevel"/>
    <w:tmpl w:val="D1F4FB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89533F"/>
    <w:multiLevelType w:val="multilevel"/>
    <w:tmpl w:val="BA085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D15323"/>
    <w:multiLevelType w:val="multilevel"/>
    <w:tmpl w:val="536E0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1D4579"/>
    <w:multiLevelType w:val="multilevel"/>
    <w:tmpl w:val="DDD61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6269B8"/>
    <w:multiLevelType w:val="multilevel"/>
    <w:tmpl w:val="02CE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F347A1"/>
    <w:multiLevelType w:val="multilevel"/>
    <w:tmpl w:val="794E0F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2C6EF2"/>
    <w:multiLevelType w:val="multilevel"/>
    <w:tmpl w:val="1772B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8F2613"/>
    <w:multiLevelType w:val="multilevel"/>
    <w:tmpl w:val="B9B86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095C46"/>
    <w:multiLevelType w:val="multilevel"/>
    <w:tmpl w:val="57B88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724810"/>
    <w:multiLevelType w:val="multilevel"/>
    <w:tmpl w:val="BDD88D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6942412">
    <w:abstractNumId w:val="1"/>
  </w:num>
  <w:num w:numId="2" w16cid:durableId="802774534">
    <w:abstractNumId w:val="3"/>
  </w:num>
  <w:num w:numId="3" w16cid:durableId="831481931">
    <w:abstractNumId w:val="10"/>
  </w:num>
  <w:num w:numId="4" w16cid:durableId="1913420248">
    <w:abstractNumId w:val="2"/>
  </w:num>
  <w:num w:numId="5" w16cid:durableId="1205403859">
    <w:abstractNumId w:val="11"/>
  </w:num>
  <w:num w:numId="6" w16cid:durableId="1442141254">
    <w:abstractNumId w:val="4"/>
  </w:num>
  <w:num w:numId="7" w16cid:durableId="1407068964">
    <w:abstractNumId w:val="8"/>
  </w:num>
  <w:num w:numId="8" w16cid:durableId="1834711967">
    <w:abstractNumId w:val="6"/>
  </w:num>
  <w:num w:numId="9" w16cid:durableId="802311169">
    <w:abstractNumId w:val="9"/>
  </w:num>
  <w:num w:numId="10" w16cid:durableId="1791970420">
    <w:abstractNumId w:val="0"/>
  </w:num>
  <w:num w:numId="11" w16cid:durableId="948898163">
    <w:abstractNumId w:val="7"/>
  </w:num>
  <w:num w:numId="12" w16cid:durableId="14300832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6CF"/>
    <w:rsid w:val="000501D0"/>
    <w:rsid w:val="006942DA"/>
    <w:rsid w:val="007B44BC"/>
    <w:rsid w:val="00C13E10"/>
    <w:rsid w:val="00C726CF"/>
    <w:rsid w:val="00E02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230DA"/>
  <w15:chartTrackingRefBased/>
  <w15:docId w15:val="{20DA5545-405F-4E95-A79C-7655A6CB9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6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26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26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26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26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26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26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26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26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6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26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26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26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26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26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26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26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26CF"/>
    <w:rPr>
      <w:rFonts w:eastAsiaTheme="majorEastAsia" w:cstheme="majorBidi"/>
      <w:color w:val="272727" w:themeColor="text1" w:themeTint="D8"/>
    </w:rPr>
  </w:style>
  <w:style w:type="paragraph" w:styleId="Title">
    <w:name w:val="Title"/>
    <w:basedOn w:val="Normal"/>
    <w:next w:val="Normal"/>
    <w:link w:val="TitleChar"/>
    <w:uiPriority w:val="10"/>
    <w:qFormat/>
    <w:rsid w:val="00C726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26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26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26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26CF"/>
    <w:pPr>
      <w:spacing w:before="160"/>
      <w:jc w:val="center"/>
    </w:pPr>
    <w:rPr>
      <w:i/>
      <w:iCs/>
      <w:color w:val="404040" w:themeColor="text1" w:themeTint="BF"/>
    </w:rPr>
  </w:style>
  <w:style w:type="character" w:customStyle="1" w:styleId="QuoteChar">
    <w:name w:val="Quote Char"/>
    <w:basedOn w:val="DefaultParagraphFont"/>
    <w:link w:val="Quote"/>
    <w:uiPriority w:val="29"/>
    <w:rsid w:val="00C726CF"/>
    <w:rPr>
      <w:i/>
      <w:iCs/>
      <w:color w:val="404040" w:themeColor="text1" w:themeTint="BF"/>
    </w:rPr>
  </w:style>
  <w:style w:type="paragraph" w:styleId="ListParagraph">
    <w:name w:val="List Paragraph"/>
    <w:basedOn w:val="Normal"/>
    <w:uiPriority w:val="34"/>
    <w:qFormat/>
    <w:rsid w:val="00C726CF"/>
    <w:pPr>
      <w:ind w:left="720"/>
      <w:contextualSpacing/>
    </w:pPr>
  </w:style>
  <w:style w:type="character" w:styleId="IntenseEmphasis">
    <w:name w:val="Intense Emphasis"/>
    <w:basedOn w:val="DefaultParagraphFont"/>
    <w:uiPriority w:val="21"/>
    <w:qFormat/>
    <w:rsid w:val="00C726CF"/>
    <w:rPr>
      <w:i/>
      <w:iCs/>
      <w:color w:val="0F4761" w:themeColor="accent1" w:themeShade="BF"/>
    </w:rPr>
  </w:style>
  <w:style w:type="paragraph" w:styleId="IntenseQuote">
    <w:name w:val="Intense Quote"/>
    <w:basedOn w:val="Normal"/>
    <w:next w:val="Normal"/>
    <w:link w:val="IntenseQuoteChar"/>
    <w:uiPriority w:val="30"/>
    <w:qFormat/>
    <w:rsid w:val="00C726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26CF"/>
    <w:rPr>
      <w:i/>
      <w:iCs/>
      <w:color w:val="0F4761" w:themeColor="accent1" w:themeShade="BF"/>
    </w:rPr>
  </w:style>
  <w:style w:type="character" w:styleId="IntenseReference">
    <w:name w:val="Intense Reference"/>
    <w:basedOn w:val="DefaultParagraphFont"/>
    <w:uiPriority w:val="32"/>
    <w:qFormat/>
    <w:rsid w:val="00C726CF"/>
    <w:rPr>
      <w:b/>
      <w:bCs/>
      <w:smallCaps/>
      <w:color w:val="0F4761" w:themeColor="accent1" w:themeShade="BF"/>
      <w:spacing w:val="5"/>
    </w:rPr>
  </w:style>
  <w:style w:type="character" w:styleId="Hyperlink">
    <w:name w:val="Hyperlink"/>
    <w:basedOn w:val="DefaultParagraphFont"/>
    <w:uiPriority w:val="99"/>
    <w:unhideWhenUsed/>
    <w:rsid w:val="00C726CF"/>
    <w:rPr>
      <w:color w:val="467886" w:themeColor="hyperlink"/>
      <w:u w:val="single"/>
    </w:rPr>
  </w:style>
  <w:style w:type="character" w:styleId="UnresolvedMention">
    <w:name w:val="Unresolved Mention"/>
    <w:basedOn w:val="DefaultParagraphFont"/>
    <w:uiPriority w:val="99"/>
    <w:semiHidden/>
    <w:unhideWhenUsed/>
    <w:rsid w:val="00C726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maritimecyprus.com/author/maritimecypru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1352</Words>
  <Characters>7713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2026-07-30T01:15:00Z</dcterms:created>
  <dcterms:modified xsi:type="dcterms:W3CDTF">2026-07-30T01:35:00Z</dcterms:modified>
</cp:coreProperties>
</file>