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4D7AB" w14:textId="0920A576" w:rsidR="00294E2D" w:rsidRPr="00294E2D" w:rsidRDefault="00FB3953" w:rsidP="00294E2D">
      <w:pPr>
        <w:spacing w:line="240" w:lineRule="auto"/>
        <w:jc w:val="center"/>
        <w:rPr>
          <w:rFonts w:ascii="Times New Roman" w:hAnsi="Times New Roman" w:cs="Times New Roman"/>
          <w:b/>
          <w:bCs/>
          <w:sz w:val="40"/>
          <w:szCs w:val="40"/>
        </w:rPr>
      </w:pPr>
      <w:r w:rsidRPr="00FB3953">
        <w:rPr>
          <w:rFonts w:ascii="Times New Roman" w:hAnsi="Times New Roman" w:cs="Times New Roman"/>
          <w:b/>
          <w:bCs/>
          <w:sz w:val="40"/>
          <w:szCs w:val="40"/>
        </w:rPr>
        <w:t xml:space="preserve">Báo cáo nửa đầu năm 2026 của ReCAAP về cướp biển và </w:t>
      </w:r>
      <w:r>
        <w:rPr>
          <w:rFonts w:ascii="Times New Roman" w:hAnsi="Times New Roman" w:cs="Times New Roman"/>
          <w:b/>
          <w:bCs/>
          <w:sz w:val="40"/>
          <w:szCs w:val="40"/>
        </w:rPr>
        <w:t>trộm cắp</w:t>
      </w:r>
      <w:r w:rsidRPr="00FB3953">
        <w:rPr>
          <w:rFonts w:ascii="Times New Roman" w:hAnsi="Times New Roman" w:cs="Times New Roman"/>
          <w:b/>
          <w:bCs/>
          <w:sz w:val="40"/>
          <w:szCs w:val="40"/>
        </w:rPr>
        <w:t xml:space="preserve"> có vũ trang nhằm vào tàu thuyền tại châu Á (tháng 1 – tháng 6 năm 2026)</w:t>
      </w:r>
    </w:p>
    <w:p w14:paraId="7EF930E5" w14:textId="77777777" w:rsidR="00294E2D" w:rsidRPr="00294E2D" w:rsidRDefault="00294E2D" w:rsidP="00294E2D">
      <w:pPr>
        <w:jc w:val="right"/>
      </w:pPr>
      <w:r w:rsidRPr="00294E2D">
        <w:t> </w:t>
      </w:r>
      <w:hyperlink r:id="rId5" w:history="1">
        <w:r w:rsidRPr="00294E2D">
          <w:rPr>
            <w:rStyle w:val="Hyperlink"/>
            <w:b/>
            <w:bCs/>
          </w:rPr>
          <w:t>maritimecyprus</w:t>
        </w:r>
      </w:hyperlink>
    </w:p>
    <w:p w14:paraId="2962EDA6" w14:textId="0207A742" w:rsidR="00294E2D" w:rsidRPr="00294E2D" w:rsidRDefault="00294E2D" w:rsidP="00294E2D">
      <w:r w:rsidRPr="00294E2D">
        <w:drawing>
          <wp:inline distT="0" distB="0" distL="0" distR="0" wp14:anchorId="4279C7CB" wp14:editId="799C737E">
            <wp:extent cx="5943600" cy="3347720"/>
            <wp:effectExtent l="0" t="0" r="0" b="5080"/>
            <wp:docPr id="152470922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3600" cy="3347720"/>
                    </a:xfrm>
                    <a:prstGeom prst="rect">
                      <a:avLst/>
                    </a:prstGeom>
                    <a:noFill/>
                    <a:ln>
                      <a:noFill/>
                    </a:ln>
                  </pic:spPr>
                </pic:pic>
              </a:graphicData>
            </a:graphic>
          </wp:inline>
        </w:drawing>
      </w:r>
    </w:p>
    <w:p w14:paraId="223795DD" w14:textId="48A9F2FA" w:rsidR="00FB3953" w:rsidRPr="00FB3953" w:rsidRDefault="00FB3953" w:rsidP="00FB3953">
      <w:pPr>
        <w:spacing w:before="120" w:after="120"/>
        <w:jc w:val="both"/>
        <w:rPr>
          <w:rFonts w:ascii="Times New Roman" w:hAnsi="Times New Roman" w:cs="Times New Roman"/>
          <w:sz w:val="26"/>
          <w:szCs w:val="26"/>
        </w:rPr>
      </w:pPr>
      <w:r w:rsidRPr="00FB3953">
        <w:rPr>
          <w:rFonts w:ascii="Times New Roman" w:hAnsi="Times New Roman" w:cs="Times New Roman"/>
          <w:sz w:val="26"/>
          <w:szCs w:val="26"/>
        </w:rPr>
        <w:t xml:space="preserve">Trung tâm Chia sẻ Thông tin của ReCAAP (ReCAAP Information Sharing Centre – ISC) đã công bố Báo cáo nửa đầu năm 2026 (từ tháng 1 đến tháng 6 năm 2026), cung cấp thông tin về xu hướng và các vụ cướp biển và </w:t>
      </w:r>
      <w:r w:rsidRPr="00FB3953">
        <w:rPr>
          <w:rFonts w:ascii="Times New Roman" w:hAnsi="Times New Roman" w:cs="Times New Roman"/>
          <w:sz w:val="26"/>
          <w:szCs w:val="26"/>
        </w:rPr>
        <w:t>trộm cắp</w:t>
      </w:r>
      <w:r w:rsidRPr="00FB3953">
        <w:rPr>
          <w:rFonts w:ascii="Times New Roman" w:hAnsi="Times New Roman" w:cs="Times New Roman"/>
          <w:sz w:val="26"/>
          <w:szCs w:val="26"/>
        </w:rPr>
        <w:t xml:space="preserve"> có vũ trang nhằm vào tàu thuyền</w:t>
      </w:r>
      <w:r w:rsidRPr="00FB3953">
        <w:rPr>
          <w:rFonts w:ascii="Times New Roman" w:hAnsi="Times New Roman" w:cs="Times New Roman"/>
          <w:b/>
          <w:bCs/>
          <w:sz w:val="26"/>
          <w:szCs w:val="26"/>
        </w:rPr>
        <w:t xml:space="preserve"> </w:t>
      </w:r>
      <w:r w:rsidRPr="00FB3953">
        <w:rPr>
          <w:rFonts w:ascii="Times New Roman" w:hAnsi="Times New Roman" w:cs="Times New Roman"/>
          <w:sz w:val="26"/>
          <w:szCs w:val="26"/>
        </w:rPr>
        <w:t>tại khu vực châu Á. Báo cáo ghi nhận sự gia tăng đáng kể về tổng số vụ so với năm trước, đồng thời đặc biệt lưu ý Eo biển Malacca và Singapore (SOMS</w:t>
      </w:r>
      <w:r w:rsidRPr="00FB3953">
        <w:rPr>
          <w:rFonts w:ascii="Times New Roman" w:hAnsi="Times New Roman" w:cs="Times New Roman"/>
          <w:b/>
          <w:bCs/>
          <w:sz w:val="26"/>
          <w:szCs w:val="26"/>
        </w:rPr>
        <w:t>)</w:t>
      </w:r>
      <w:r w:rsidRPr="00FB3953">
        <w:rPr>
          <w:rFonts w:ascii="Times New Roman" w:hAnsi="Times New Roman" w:cs="Times New Roman"/>
          <w:sz w:val="26"/>
          <w:szCs w:val="26"/>
        </w:rPr>
        <w:t xml:space="preserve"> tiếp tục là khu vực đáng quan ngại.</w:t>
      </w:r>
    </w:p>
    <w:p w14:paraId="497CF53C" w14:textId="013E7DD1" w:rsidR="00FB3953" w:rsidRPr="00FB3953" w:rsidRDefault="00FB3953" w:rsidP="00FB3953">
      <w:pPr>
        <w:spacing w:before="120" w:after="120"/>
        <w:jc w:val="both"/>
        <w:rPr>
          <w:rFonts w:ascii="Times New Roman" w:hAnsi="Times New Roman" w:cs="Times New Roman"/>
          <w:sz w:val="26"/>
          <w:szCs w:val="26"/>
        </w:rPr>
      </w:pPr>
      <w:r w:rsidRPr="00FB3953">
        <w:rPr>
          <w:rFonts w:ascii="Times New Roman" w:hAnsi="Times New Roman" w:cs="Times New Roman"/>
          <w:sz w:val="26"/>
          <w:szCs w:val="26"/>
        </w:rPr>
        <w:t xml:space="preserve">Trong 6 tháng đầu năm 2026 (tháng 1–6), có 35 vụ </w:t>
      </w:r>
      <w:r w:rsidRPr="00FB3953">
        <w:rPr>
          <w:rFonts w:ascii="Times New Roman" w:hAnsi="Times New Roman" w:cs="Times New Roman"/>
          <w:sz w:val="26"/>
          <w:szCs w:val="26"/>
        </w:rPr>
        <w:t>trộm cắp</w:t>
      </w:r>
      <w:r w:rsidRPr="00FB3953">
        <w:rPr>
          <w:rFonts w:ascii="Times New Roman" w:hAnsi="Times New Roman" w:cs="Times New Roman"/>
          <w:sz w:val="26"/>
          <w:szCs w:val="26"/>
        </w:rPr>
        <w:t xml:space="preserve"> có vũ trang nhằm vào tàu thuyền (ARAS) được báo cáo tại châu Á, giảm 64% so với 96 vụ được ghi nhận trong cùng kỳ năm 2025.</w:t>
      </w:r>
    </w:p>
    <w:p w14:paraId="59D8D03E" w14:textId="77777777" w:rsidR="00FB3953" w:rsidRPr="00FB3953" w:rsidRDefault="00FB3953" w:rsidP="00FB3953">
      <w:pPr>
        <w:spacing w:before="120" w:after="120"/>
        <w:jc w:val="both"/>
        <w:rPr>
          <w:rFonts w:ascii="Times New Roman" w:hAnsi="Times New Roman" w:cs="Times New Roman"/>
          <w:sz w:val="26"/>
          <w:szCs w:val="26"/>
        </w:rPr>
      </w:pPr>
      <w:r w:rsidRPr="00FB3953">
        <w:rPr>
          <w:rFonts w:ascii="Times New Roman" w:hAnsi="Times New Roman" w:cs="Times New Roman"/>
          <w:sz w:val="26"/>
          <w:szCs w:val="26"/>
        </w:rPr>
        <w:t>Nhìn chung, tình hình ARAS đã được cải thiện tại nhiều khu vực từng là điểm nóng, bao gồm Bangladesh, Ấn Độ, Indonesia, Eo biển Malacca và Singapore (SOMS), Biển Đông và Việt Nam.</w:t>
      </w:r>
    </w:p>
    <w:p w14:paraId="6DB9C55E" w14:textId="61BB5C64" w:rsidR="00FB3953" w:rsidRPr="00FB3953" w:rsidRDefault="00FB3953" w:rsidP="00FB3953">
      <w:pPr>
        <w:spacing w:before="120" w:after="120"/>
        <w:jc w:val="both"/>
        <w:rPr>
          <w:rFonts w:ascii="Times New Roman" w:hAnsi="Times New Roman" w:cs="Times New Roman"/>
          <w:sz w:val="26"/>
          <w:szCs w:val="26"/>
        </w:rPr>
      </w:pPr>
      <w:r w:rsidRPr="00FB3953">
        <w:rPr>
          <w:rFonts w:ascii="Times New Roman" w:hAnsi="Times New Roman" w:cs="Times New Roman"/>
          <w:sz w:val="26"/>
          <w:szCs w:val="26"/>
        </w:rPr>
        <w:t>Tại Philippines, có 10 vụ được báo cáo trong giai đoạn từ tháng 1 đến tháng 6 năm 2026, trong khi cùng kỳ năm trước không ghi nhận vụ nào. Để đối phó với tình trạng này, Lực lượng Bảo vệ Bờ biển Philippines</w:t>
      </w:r>
      <w:r w:rsidRPr="00FB3953">
        <w:rPr>
          <w:rFonts w:ascii="Times New Roman" w:hAnsi="Times New Roman" w:cs="Times New Roman"/>
          <w:b/>
          <w:bCs/>
          <w:sz w:val="26"/>
          <w:szCs w:val="26"/>
        </w:rPr>
        <w:t xml:space="preserve"> </w:t>
      </w:r>
      <w:r w:rsidRPr="00FB3953">
        <w:rPr>
          <w:rFonts w:ascii="Times New Roman" w:hAnsi="Times New Roman" w:cs="Times New Roman"/>
          <w:sz w:val="26"/>
          <w:szCs w:val="26"/>
        </w:rPr>
        <w:t>(PCG) đã bắt giữ thành công nhiều đối tượng phạm tội, góp phần ngăn chặn mối đe dọa. ReCAAP ISC đánh giá cao cơ quan thực thi pháp luật của Philippines vì cách tiếp cận chủ động và các hành động nhanh chóng, hiệu quả.</w:t>
      </w:r>
    </w:p>
    <w:p w14:paraId="0AD5A81B" w14:textId="26C10AD9" w:rsidR="00FB3953" w:rsidRDefault="00FB3953" w:rsidP="00FB3953">
      <w:pPr>
        <w:spacing w:before="120" w:after="120"/>
        <w:jc w:val="both"/>
        <w:rPr>
          <w:rFonts w:ascii="Times New Roman" w:hAnsi="Times New Roman" w:cs="Times New Roman"/>
          <w:sz w:val="26"/>
          <w:szCs w:val="26"/>
        </w:rPr>
      </w:pPr>
      <w:r w:rsidRPr="00FB3953">
        <w:rPr>
          <w:rFonts w:ascii="Times New Roman" w:hAnsi="Times New Roman" w:cs="Times New Roman"/>
          <w:sz w:val="26"/>
          <w:szCs w:val="26"/>
        </w:rPr>
        <w:lastRenderedPageBreak/>
        <w:t>Tuy nhiên, Eo biển Malacca và Singapore (SOMS) vẫn là khu vực đáng lo ngại. Trong giai đoạn tháng 1–6 năm 2026, có 21 vụ</w:t>
      </w:r>
      <w:r w:rsidRPr="00FB3953">
        <w:rPr>
          <w:rFonts w:ascii="Times New Roman" w:hAnsi="Times New Roman" w:cs="Times New Roman"/>
          <w:b/>
          <w:bCs/>
          <w:sz w:val="26"/>
          <w:szCs w:val="26"/>
        </w:rPr>
        <w:t xml:space="preserve"> </w:t>
      </w:r>
      <w:r w:rsidRPr="00FB3953">
        <w:rPr>
          <w:rFonts w:ascii="Times New Roman" w:hAnsi="Times New Roman" w:cs="Times New Roman"/>
          <w:sz w:val="26"/>
          <w:szCs w:val="26"/>
        </w:rPr>
        <w:t>được báo cáo lên ReCAAP ISC, chiếm khoảng 60% tổng số vụ việc xảy ra trên toàn châu Á.</w:t>
      </w:r>
    </w:p>
    <w:p w14:paraId="33C43AE0" w14:textId="0419BBD8" w:rsidR="00FB3953" w:rsidRPr="00FB3953" w:rsidRDefault="00FB3953" w:rsidP="00FB3953">
      <w:pPr>
        <w:spacing w:before="120" w:after="120"/>
        <w:jc w:val="both"/>
        <w:rPr>
          <w:rFonts w:ascii="Times New Roman" w:hAnsi="Times New Roman" w:cs="Times New Roman"/>
          <w:sz w:val="26"/>
          <w:szCs w:val="26"/>
        </w:rPr>
      </w:pPr>
      <w:r w:rsidRPr="00294E2D">
        <w:drawing>
          <wp:inline distT="0" distB="0" distL="0" distR="0" wp14:anchorId="6A480690" wp14:editId="0FC2D12C">
            <wp:extent cx="5943600" cy="3245485"/>
            <wp:effectExtent l="0" t="0" r="0" b="0"/>
            <wp:docPr id="2016356866" name="Picture 5">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a:hlinkClick r:id="rId7" tgtFrame="&quot;_blank&quot;"/>
                    </pic:cNvP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3600" cy="3245485"/>
                    </a:xfrm>
                    <a:prstGeom prst="rect">
                      <a:avLst/>
                    </a:prstGeom>
                    <a:noFill/>
                    <a:ln>
                      <a:noFill/>
                    </a:ln>
                  </pic:spPr>
                </pic:pic>
              </a:graphicData>
            </a:graphic>
          </wp:inline>
        </w:drawing>
      </w:r>
    </w:p>
    <w:p w14:paraId="419EB826" w14:textId="77777777" w:rsidR="00FB3953" w:rsidRPr="00FB3953" w:rsidRDefault="00FB3953" w:rsidP="00FB3953">
      <w:pPr>
        <w:spacing w:before="120" w:after="120"/>
        <w:jc w:val="both"/>
        <w:rPr>
          <w:rFonts w:ascii="Times New Roman" w:hAnsi="Times New Roman" w:cs="Times New Roman"/>
          <w:sz w:val="26"/>
          <w:szCs w:val="26"/>
        </w:rPr>
      </w:pPr>
      <w:r w:rsidRPr="00FB3953">
        <w:rPr>
          <w:rFonts w:ascii="Times New Roman" w:hAnsi="Times New Roman" w:cs="Times New Roman"/>
          <w:sz w:val="26"/>
          <w:szCs w:val="26"/>
        </w:rPr>
        <w:t>Ngày 19 tháng 3 năm 2026, ReCAAP ISC đã phát hành Cảnh báo sự cố (Incident Alert) nhằm cảnh báo cộng đồng hàng hải, kêu gọi thuyền viên nâng cao cảnh giác và duy trì quan sát nghiêm ngặt khi hành trình qua khu vực SOMS. Đồng thời, ReCAAP ISC cũng đề nghị các cơ quan thực thi pháp luật tăng cường tuần tra, giám sát và thực thi pháp luật nhằm hỗ trợ việc truy bắt các đối tượng gây án.</w:t>
      </w:r>
    </w:p>
    <w:p w14:paraId="2D875C47" w14:textId="1D74A493" w:rsidR="00FB3953" w:rsidRPr="00FB3953" w:rsidRDefault="00FB3953" w:rsidP="00FB3953">
      <w:pPr>
        <w:spacing w:before="120" w:after="120"/>
        <w:jc w:val="both"/>
        <w:rPr>
          <w:rFonts w:ascii="Times New Roman" w:hAnsi="Times New Roman" w:cs="Times New Roman"/>
          <w:color w:val="EE0000"/>
          <w:sz w:val="26"/>
          <w:szCs w:val="26"/>
        </w:rPr>
      </w:pPr>
      <w:r w:rsidRPr="00FB3953">
        <w:rPr>
          <w:rFonts w:ascii="Times New Roman" w:hAnsi="Times New Roman" w:cs="Times New Roman"/>
          <w:sz w:val="26"/>
          <w:szCs w:val="26"/>
        </w:rPr>
        <w:t>Đối với vùng biển Sulu – Celebes, không có vụ việc nào được báo cáo trong giai đoạn từ tháng 1 đến tháng 6 năm 2026. Mức độ đe dọa bắt cóc thuyền viên tại khu vực này đã được hạ xuống mức "THẤP" (LOW), có nghĩa là:</w:t>
      </w:r>
      <w:r>
        <w:rPr>
          <w:rFonts w:ascii="Times New Roman" w:hAnsi="Times New Roman" w:cs="Times New Roman"/>
          <w:sz w:val="26"/>
          <w:szCs w:val="26"/>
        </w:rPr>
        <w:t xml:space="preserve"> </w:t>
      </w:r>
      <w:r w:rsidRPr="00FB3953">
        <w:rPr>
          <w:rFonts w:ascii="Times New Roman" w:hAnsi="Times New Roman" w:cs="Times New Roman"/>
          <w:color w:val="EE0000"/>
          <w:sz w:val="26"/>
          <w:szCs w:val="26"/>
        </w:rPr>
        <w:t>"Không có thông tin hoặc hoạt động giám sát nào cho thấy khả năng xảy ra một cuộc tấn công trong thời gian tới; do đó, các vụ việc được đánh giá là khó có khả năng xảy ra."</w:t>
      </w:r>
    </w:p>
    <w:p w14:paraId="3CEBDF12" w14:textId="77777777" w:rsidR="00FB3953" w:rsidRPr="00FB3953" w:rsidRDefault="00FB3953" w:rsidP="00FB3953">
      <w:pPr>
        <w:spacing w:before="120" w:after="120"/>
        <w:jc w:val="both"/>
        <w:rPr>
          <w:rFonts w:ascii="Times New Roman" w:hAnsi="Times New Roman" w:cs="Times New Roman"/>
          <w:sz w:val="26"/>
          <w:szCs w:val="26"/>
        </w:rPr>
      </w:pPr>
      <w:r w:rsidRPr="00FB3953">
        <w:rPr>
          <w:rFonts w:ascii="Times New Roman" w:hAnsi="Times New Roman" w:cs="Times New Roman"/>
          <w:sz w:val="26"/>
          <w:szCs w:val="26"/>
        </w:rPr>
        <w:t>Tuy nhiên, ReCAAP ISC vẫn khuyến cáo các tàu khi đi qua vùng biển Sulu – Celebes cần:</w:t>
      </w:r>
    </w:p>
    <w:p w14:paraId="3FD97B43" w14:textId="77777777" w:rsidR="00FB3953" w:rsidRPr="00FB3953" w:rsidRDefault="00FB3953" w:rsidP="00FB3953">
      <w:pPr>
        <w:numPr>
          <w:ilvl w:val="0"/>
          <w:numId w:val="1"/>
        </w:numPr>
        <w:spacing w:before="120" w:after="120"/>
        <w:jc w:val="both"/>
        <w:rPr>
          <w:rFonts w:ascii="Times New Roman" w:hAnsi="Times New Roman" w:cs="Times New Roman"/>
          <w:sz w:val="26"/>
          <w:szCs w:val="26"/>
        </w:rPr>
      </w:pPr>
      <w:r w:rsidRPr="00FB3953">
        <w:rPr>
          <w:rFonts w:ascii="Times New Roman" w:hAnsi="Times New Roman" w:cs="Times New Roman"/>
          <w:sz w:val="26"/>
          <w:szCs w:val="26"/>
        </w:rPr>
        <w:t xml:space="preserve">Tiếp tục duy trì cảnh giác cao; </w:t>
      </w:r>
    </w:p>
    <w:p w14:paraId="155A80AD" w14:textId="77777777" w:rsidR="00FB3953" w:rsidRPr="00FB3953" w:rsidRDefault="00FB3953" w:rsidP="00FB3953">
      <w:pPr>
        <w:numPr>
          <w:ilvl w:val="0"/>
          <w:numId w:val="1"/>
        </w:numPr>
        <w:spacing w:before="120" w:after="120"/>
        <w:jc w:val="both"/>
        <w:rPr>
          <w:rFonts w:ascii="Times New Roman" w:hAnsi="Times New Roman" w:cs="Times New Roman"/>
          <w:sz w:val="26"/>
          <w:szCs w:val="26"/>
        </w:rPr>
      </w:pPr>
      <w:r w:rsidRPr="00FB3953">
        <w:rPr>
          <w:rFonts w:ascii="Times New Roman" w:hAnsi="Times New Roman" w:cs="Times New Roman"/>
          <w:sz w:val="26"/>
          <w:szCs w:val="26"/>
        </w:rPr>
        <w:t xml:space="preserve">Giữ liên lạc thường xuyên với các cơ quan chức năng có liên quan; </w:t>
      </w:r>
    </w:p>
    <w:p w14:paraId="4C071D53" w14:textId="77777777" w:rsidR="00FB3953" w:rsidRPr="00FB3953" w:rsidRDefault="00FB3953" w:rsidP="00FB3953">
      <w:pPr>
        <w:numPr>
          <w:ilvl w:val="0"/>
          <w:numId w:val="1"/>
        </w:numPr>
        <w:spacing w:before="120" w:after="120"/>
        <w:jc w:val="both"/>
        <w:rPr>
          <w:rFonts w:ascii="Times New Roman" w:hAnsi="Times New Roman" w:cs="Times New Roman"/>
          <w:sz w:val="26"/>
          <w:szCs w:val="26"/>
        </w:rPr>
      </w:pPr>
      <w:r w:rsidRPr="00FB3953">
        <w:rPr>
          <w:rFonts w:ascii="Times New Roman" w:hAnsi="Times New Roman" w:cs="Times New Roman"/>
          <w:sz w:val="26"/>
          <w:szCs w:val="26"/>
        </w:rPr>
        <w:t xml:space="preserve">Báo cáo ngay mọi sự cố cho Trung tâm Điều hành của Philippines và Bộ Tư lệnh </w:t>
      </w:r>
      <w:proofErr w:type="gramStart"/>
      <w:r w:rsidRPr="00FB3953">
        <w:rPr>
          <w:rFonts w:ascii="Times New Roman" w:hAnsi="Times New Roman" w:cs="Times New Roman"/>
          <w:sz w:val="26"/>
          <w:szCs w:val="26"/>
        </w:rPr>
        <w:t>An</w:t>
      </w:r>
      <w:proofErr w:type="gramEnd"/>
      <w:r w:rsidRPr="00FB3953">
        <w:rPr>
          <w:rFonts w:ascii="Times New Roman" w:hAnsi="Times New Roman" w:cs="Times New Roman"/>
          <w:sz w:val="26"/>
          <w:szCs w:val="26"/>
        </w:rPr>
        <w:t xml:space="preserve"> ninh Đông Sabah</w:t>
      </w:r>
      <w:r w:rsidRPr="00FB3953">
        <w:rPr>
          <w:rFonts w:ascii="Times New Roman" w:hAnsi="Times New Roman" w:cs="Times New Roman"/>
          <w:b/>
          <w:bCs/>
          <w:sz w:val="26"/>
          <w:szCs w:val="26"/>
        </w:rPr>
        <w:t xml:space="preserve"> </w:t>
      </w:r>
      <w:r w:rsidRPr="00FB3953">
        <w:rPr>
          <w:rFonts w:ascii="Times New Roman" w:hAnsi="Times New Roman" w:cs="Times New Roman"/>
          <w:sz w:val="26"/>
          <w:szCs w:val="26"/>
        </w:rPr>
        <w:t xml:space="preserve">(Eastern Sabah Security Command – ESSCOM). </w:t>
      </w:r>
    </w:p>
    <w:p w14:paraId="47FCE6FF" w14:textId="77777777" w:rsidR="00FB3953" w:rsidRPr="00FB3953" w:rsidRDefault="00FB3953" w:rsidP="00FB3953">
      <w:pPr>
        <w:spacing w:before="120" w:after="120"/>
        <w:jc w:val="both"/>
        <w:rPr>
          <w:rFonts w:ascii="Times New Roman" w:hAnsi="Times New Roman" w:cs="Times New Roman"/>
          <w:sz w:val="26"/>
          <w:szCs w:val="26"/>
        </w:rPr>
      </w:pPr>
      <w:r w:rsidRPr="00FB3953">
        <w:rPr>
          <w:rFonts w:ascii="Times New Roman" w:hAnsi="Times New Roman" w:cs="Times New Roman"/>
          <w:sz w:val="26"/>
          <w:szCs w:val="26"/>
        </w:rPr>
        <w:t>Trong bối cảnh môi trường an ninh toàn cầu ngày càng biến động và khó lường, ReCAAP ISC sẽ tiếp tục tăng cường hợp tác với ngành vận tải biển thông qua nhiều hội nghị, diễn đàn và các nền tảng trao đổi thông tin nhằm hiểu rõ hơn những thách thức mới mà cộng đồng hàng hải đang phải đối mặt cũng như các khu vực tiềm ẩn rủi ro.</w:t>
      </w:r>
    </w:p>
    <w:p w14:paraId="7D04BB64" w14:textId="6142ED36" w:rsidR="00294E2D" w:rsidRPr="00294E2D" w:rsidRDefault="00294E2D" w:rsidP="00294E2D">
      <w:r w:rsidRPr="00294E2D">
        <w:lastRenderedPageBreak/>
        <w:drawing>
          <wp:inline distT="0" distB="0" distL="0" distR="0" wp14:anchorId="76AD72AA" wp14:editId="4E2E4CBE">
            <wp:extent cx="5943600" cy="2447290"/>
            <wp:effectExtent l="0" t="0" r="0" b="0"/>
            <wp:docPr id="13264740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3600" cy="2447290"/>
                    </a:xfrm>
                    <a:prstGeom prst="rect">
                      <a:avLst/>
                    </a:prstGeom>
                    <a:noFill/>
                    <a:ln>
                      <a:noFill/>
                    </a:ln>
                  </pic:spPr>
                </pic:pic>
              </a:graphicData>
            </a:graphic>
          </wp:inline>
        </w:drawing>
      </w:r>
    </w:p>
    <w:p w14:paraId="0C9CF4F8" w14:textId="77777777" w:rsidR="00FB3953" w:rsidRPr="00FB3953" w:rsidRDefault="00FB3953" w:rsidP="00FB3953">
      <w:pPr>
        <w:spacing w:before="120" w:after="120"/>
        <w:jc w:val="both"/>
        <w:rPr>
          <w:rFonts w:ascii="Times New Roman" w:hAnsi="Times New Roman" w:cs="Times New Roman"/>
          <w:sz w:val="26"/>
          <w:szCs w:val="26"/>
        </w:rPr>
      </w:pPr>
      <w:r w:rsidRPr="00FB3953">
        <w:rPr>
          <w:rFonts w:ascii="Times New Roman" w:hAnsi="Times New Roman" w:cs="Times New Roman"/>
          <w:sz w:val="26"/>
          <w:szCs w:val="26"/>
        </w:rPr>
        <w:t>Bên cạnh đó, Trung tâm cũng sẽ tiếp tục phát triển và cung cấp nhiều ấn phẩm, sản phẩm thông tin và nguồn tài liệu chuyên môn nhằm giúp ngành hàng hải cập nhật các xu hướng mới nhất cũng như áp dụng các cách làm tốt</w:t>
      </w:r>
      <w:r w:rsidRPr="00FB3953">
        <w:rPr>
          <w:rFonts w:ascii="Times New Roman" w:hAnsi="Times New Roman" w:cs="Times New Roman"/>
          <w:b/>
          <w:bCs/>
          <w:sz w:val="26"/>
          <w:szCs w:val="26"/>
        </w:rPr>
        <w:t xml:space="preserve"> </w:t>
      </w:r>
      <w:r w:rsidRPr="00FB3953">
        <w:rPr>
          <w:rFonts w:ascii="Times New Roman" w:hAnsi="Times New Roman" w:cs="Times New Roman"/>
          <w:sz w:val="26"/>
          <w:szCs w:val="26"/>
        </w:rPr>
        <w:t>trong công tác phòng ngừa cướp biển và cướp có vũ trang nhằm vào tàu thuyền tại châu Á.</w:t>
      </w:r>
    </w:p>
    <w:p w14:paraId="7C6E84CA" w14:textId="61779CEE" w:rsidR="00FB3953" w:rsidRPr="00FB3953" w:rsidRDefault="00FB3953" w:rsidP="00FB3953">
      <w:pPr>
        <w:spacing w:before="120" w:after="120"/>
        <w:jc w:val="both"/>
        <w:rPr>
          <w:rFonts w:ascii="Times New Roman" w:hAnsi="Times New Roman" w:cs="Times New Roman"/>
          <w:sz w:val="26"/>
          <w:szCs w:val="26"/>
        </w:rPr>
      </w:pPr>
      <w:r w:rsidRPr="00FB3953">
        <w:rPr>
          <w:rFonts w:ascii="Times New Roman" w:hAnsi="Times New Roman" w:cs="Times New Roman"/>
          <w:sz w:val="26"/>
          <w:szCs w:val="26"/>
        </w:rPr>
        <w:t xml:space="preserve">Để xem đầy đủ nội dung báo cáo, vui lòng nhấp vào </w:t>
      </w:r>
      <w:r>
        <w:rPr>
          <w:rFonts w:ascii="Times New Roman" w:hAnsi="Times New Roman" w:cs="Times New Roman"/>
          <w:sz w:val="26"/>
          <w:szCs w:val="26"/>
        </w:rPr>
        <w:t>liên kết ở</w:t>
      </w:r>
      <w:r w:rsidRPr="00FB3953">
        <w:rPr>
          <w:rFonts w:ascii="Times New Roman" w:hAnsi="Times New Roman" w:cs="Times New Roman"/>
          <w:sz w:val="26"/>
          <w:szCs w:val="26"/>
        </w:rPr>
        <w:t xml:space="preserve"> bên dưới để tải Báo cáo nửa đầu năm 2026 của ReCAAP.</w:t>
      </w:r>
    </w:p>
    <w:p w14:paraId="59E1E091" w14:textId="0F7636B3" w:rsidR="00C13E10" w:rsidRDefault="00FB3953">
      <w:hyperlink r:id="rId10" w:history="1">
        <w:r w:rsidRPr="00A54E4D">
          <w:rPr>
            <w:rStyle w:val="Hyperlink"/>
          </w:rPr>
          <w:t>https://www.recaap.org/resources/ck/files/reports/half-year/ReCAAP%20ISC%20Half%20Yearly%20Report%202026.pdf</w:t>
        </w:r>
      </w:hyperlink>
    </w:p>
    <w:p w14:paraId="34E3A46D" w14:textId="5584522C" w:rsidR="00FB3953" w:rsidRDefault="00FB3953" w:rsidP="00FB3953">
      <w:pPr>
        <w:jc w:val="center"/>
      </w:pPr>
      <w:r>
        <w:t>------------------------------------------------</w:t>
      </w:r>
    </w:p>
    <w:sectPr w:rsidR="00FB3953" w:rsidSect="00FB3953">
      <w:pgSz w:w="12240" w:h="15840"/>
      <w:pgMar w:top="990" w:right="1440" w:bottom="10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8F7390"/>
    <w:multiLevelType w:val="multilevel"/>
    <w:tmpl w:val="6B74A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878141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4E2D"/>
    <w:rsid w:val="000501D0"/>
    <w:rsid w:val="00294E2D"/>
    <w:rsid w:val="00A65EC8"/>
    <w:rsid w:val="00C13E10"/>
    <w:rsid w:val="00FB39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410291"/>
  <w15:chartTrackingRefBased/>
  <w15:docId w15:val="{DF2F1622-56BA-44BD-AD65-9CE043FD0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94E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94E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94E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94E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94E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94E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94E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94E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94E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94E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94E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94E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94E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94E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94E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94E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94E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94E2D"/>
    <w:rPr>
      <w:rFonts w:eastAsiaTheme="majorEastAsia" w:cstheme="majorBidi"/>
      <w:color w:val="272727" w:themeColor="text1" w:themeTint="D8"/>
    </w:rPr>
  </w:style>
  <w:style w:type="paragraph" w:styleId="Title">
    <w:name w:val="Title"/>
    <w:basedOn w:val="Normal"/>
    <w:next w:val="Normal"/>
    <w:link w:val="TitleChar"/>
    <w:uiPriority w:val="10"/>
    <w:qFormat/>
    <w:rsid w:val="00294E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94E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94E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94E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94E2D"/>
    <w:pPr>
      <w:spacing w:before="160"/>
      <w:jc w:val="center"/>
    </w:pPr>
    <w:rPr>
      <w:i/>
      <w:iCs/>
      <w:color w:val="404040" w:themeColor="text1" w:themeTint="BF"/>
    </w:rPr>
  </w:style>
  <w:style w:type="character" w:customStyle="1" w:styleId="QuoteChar">
    <w:name w:val="Quote Char"/>
    <w:basedOn w:val="DefaultParagraphFont"/>
    <w:link w:val="Quote"/>
    <w:uiPriority w:val="29"/>
    <w:rsid w:val="00294E2D"/>
    <w:rPr>
      <w:i/>
      <w:iCs/>
      <w:color w:val="404040" w:themeColor="text1" w:themeTint="BF"/>
    </w:rPr>
  </w:style>
  <w:style w:type="paragraph" w:styleId="ListParagraph">
    <w:name w:val="List Paragraph"/>
    <w:basedOn w:val="Normal"/>
    <w:uiPriority w:val="34"/>
    <w:qFormat/>
    <w:rsid w:val="00294E2D"/>
    <w:pPr>
      <w:ind w:left="720"/>
      <w:contextualSpacing/>
    </w:pPr>
  </w:style>
  <w:style w:type="character" w:styleId="IntenseEmphasis">
    <w:name w:val="Intense Emphasis"/>
    <w:basedOn w:val="DefaultParagraphFont"/>
    <w:uiPriority w:val="21"/>
    <w:qFormat/>
    <w:rsid w:val="00294E2D"/>
    <w:rPr>
      <w:i/>
      <w:iCs/>
      <w:color w:val="0F4761" w:themeColor="accent1" w:themeShade="BF"/>
    </w:rPr>
  </w:style>
  <w:style w:type="paragraph" w:styleId="IntenseQuote">
    <w:name w:val="Intense Quote"/>
    <w:basedOn w:val="Normal"/>
    <w:next w:val="Normal"/>
    <w:link w:val="IntenseQuoteChar"/>
    <w:uiPriority w:val="30"/>
    <w:qFormat/>
    <w:rsid w:val="00294E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94E2D"/>
    <w:rPr>
      <w:i/>
      <w:iCs/>
      <w:color w:val="0F4761" w:themeColor="accent1" w:themeShade="BF"/>
    </w:rPr>
  </w:style>
  <w:style w:type="character" w:styleId="IntenseReference">
    <w:name w:val="Intense Reference"/>
    <w:basedOn w:val="DefaultParagraphFont"/>
    <w:uiPriority w:val="32"/>
    <w:qFormat/>
    <w:rsid w:val="00294E2D"/>
    <w:rPr>
      <w:b/>
      <w:bCs/>
      <w:smallCaps/>
      <w:color w:val="0F4761" w:themeColor="accent1" w:themeShade="BF"/>
      <w:spacing w:val="5"/>
    </w:rPr>
  </w:style>
  <w:style w:type="character" w:styleId="Hyperlink">
    <w:name w:val="Hyperlink"/>
    <w:basedOn w:val="DefaultParagraphFont"/>
    <w:uiPriority w:val="99"/>
    <w:unhideWhenUsed/>
    <w:rsid w:val="00294E2D"/>
    <w:rPr>
      <w:color w:val="467886" w:themeColor="hyperlink"/>
      <w:u w:val="single"/>
    </w:rPr>
  </w:style>
  <w:style w:type="character" w:styleId="UnresolvedMention">
    <w:name w:val="Unresolved Mention"/>
    <w:basedOn w:val="DefaultParagraphFont"/>
    <w:uiPriority w:val="99"/>
    <w:semiHidden/>
    <w:unhideWhenUsed/>
    <w:rsid w:val="00294E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maritimecyprus.com/wp-content/uploads/2026/07/RECaap-half-yearly-2026.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maritimecyprus.com/author/maritimecyprus/" TargetMode="External"/><Relationship Id="rId10" Type="http://schemas.openxmlformats.org/officeDocument/2006/relationships/hyperlink" Target="https://www.recaap.org/resources/ck/files/reports/half-year/ReCAAP%20ISC%20Half%20Yearly%20Report%202026.pdf" TargetMode="External"/><Relationship Id="rId4" Type="http://schemas.openxmlformats.org/officeDocument/2006/relationships/webSettings" Target="webSettings.xml"/><Relationship Id="rId9" Type="http://schemas.openxmlformats.org/officeDocument/2006/relationships/image" Target="media/image3.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3</Pages>
  <Words>563</Words>
  <Characters>3211</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2026-07-26T11:21:00Z</dcterms:created>
  <dcterms:modified xsi:type="dcterms:W3CDTF">2026-07-26T11:52:00Z</dcterms:modified>
</cp:coreProperties>
</file>