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0EE5" w14:textId="363BFEF4" w:rsidR="000115F7" w:rsidRPr="000115F7" w:rsidRDefault="000115F7" w:rsidP="000115F7">
      <w:pPr>
        <w:spacing w:line="240" w:lineRule="auto"/>
        <w:jc w:val="center"/>
        <w:rPr>
          <w:rFonts w:ascii="Times New Roman" w:hAnsi="Times New Roman" w:cs="Times New Roman"/>
          <w:b/>
          <w:bCs/>
          <w:sz w:val="40"/>
          <w:szCs w:val="40"/>
        </w:rPr>
      </w:pPr>
      <w:r w:rsidRPr="000115F7">
        <w:rPr>
          <w:rFonts w:ascii="Times New Roman" w:hAnsi="Times New Roman" w:cs="Times New Roman"/>
          <w:b/>
          <w:bCs/>
          <w:sz w:val="40"/>
          <w:szCs w:val="40"/>
        </w:rPr>
        <w:t xml:space="preserve">Tiến bộ </w:t>
      </w:r>
      <w:r>
        <w:rPr>
          <w:rFonts w:ascii="Times New Roman" w:hAnsi="Times New Roman" w:cs="Times New Roman"/>
          <w:b/>
          <w:bCs/>
          <w:sz w:val="40"/>
          <w:szCs w:val="40"/>
        </w:rPr>
        <w:t xml:space="preserve">về </w:t>
      </w:r>
      <w:r w:rsidRPr="000115F7">
        <w:rPr>
          <w:rFonts w:ascii="Times New Roman" w:hAnsi="Times New Roman" w:cs="Times New Roman"/>
          <w:b/>
          <w:bCs/>
          <w:sz w:val="40"/>
          <w:szCs w:val="40"/>
        </w:rPr>
        <w:t>ESG của ngành vận tải biển bị đặt dưới sự giám sát trong chỉ số toàn cầu mới</w:t>
      </w:r>
    </w:p>
    <w:p w14:paraId="4479122E" w14:textId="75AC24B0" w:rsidR="000115F7" w:rsidRPr="000115F7" w:rsidRDefault="000115F7" w:rsidP="000115F7">
      <w:pPr>
        <w:jc w:val="right"/>
      </w:pPr>
      <w:r w:rsidRPr="000115F7">
        <w:t> </w:t>
      </w:r>
      <w:hyperlink r:id="rId5" w:history="1">
        <w:r w:rsidRPr="000115F7">
          <w:rPr>
            <w:rStyle w:val="Hyperlink"/>
          </w:rPr>
          <w:t>Sustainability</w:t>
        </w:r>
      </w:hyperlink>
      <w:r w:rsidRPr="000115F7">
        <w:t> </w:t>
      </w:r>
    </w:p>
    <w:p w14:paraId="73BB55E2" w14:textId="2CAAE246" w:rsidR="000115F7" w:rsidRPr="000115F7" w:rsidRDefault="000115F7" w:rsidP="000115F7">
      <w:pPr>
        <w:jc w:val="center"/>
      </w:pPr>
      <w:r w:rsidRPr="000115F7">
        <w:drawing>
          <wp:inline distT="0" distB="0" distL="0" distR="0" wp14:anchorId="3CFE61B0" wp14:editId="0A34F515">
            <wp:extent cx="5943600" cy="2974975"/>
            <wp:effectExtent l="0" t="0" r="0" b="0"/>
            <wp:docPr id="1195257518" name="Picture 4" descr="LR Maritime ESG Maturity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R Maritime ESG Maturity 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7327A915" w14:textId="77777777" w:rsidR="000115F7" w:rsidRPr="000115F7" w:rsidRDefault="000115F7" w:rsidP="000115F7">
      <w:pPr>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 xml:space="preserve">Ngành vận tải biển đang trải qua một trong những cuộc chuyển đổi quan trọng nhất trong nhiều thập kỷ do các yêu cầu về ESG (Môi trường, Xã hội và Quản trị) thúc đẩy, với những tác động trực tiếp đến hiệu quả hoạt động, năng suất và quản lý chi phí, theo </w:t>
      </w:r>
      <w:r w:rsidRPr="000115F7">
        <w:rPr>
          <w:rFonts w:ascii="Times New Roman" w:hAnsi="Times New Roman" w:cs="Times New Roman"/>
          <w:color w:val="EE0000"/>
          <w:sz w:val="26"/>
          <w:szCs w:val="26"/>
        </w:rPr>
        <w:t>Chỉ số Mức độ Trưởng thành ESG Hàng hải của Lloyd’s Register (Maritime ESG Maturity Index - MEMI).</w:t>
      </w:r>
    </w:p>
    <w:p w14:paraId="538E89C8" w14:textId="77777777" w:rsidR="000115F7" w:rsidRPr="000115F7" w:rsidRDefault="000115F7" w:rsidP="000115F7">
      <w:pPr>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 xml:space="preserve">Được phát triển bởi bộ phận LR Advisory của </w:t>
      </w:r>
      <w:hyperlink r:id="rId7" w:tgtFrame="_blank" w:history="1">
        <w:r w:rsidRPr="000115F7">
          <w:rPr>
            <w:rStyle w:val="Hyperlink"/>
            <w:rFonts w:ascii="Times New Roman" w:hAnsi="Times New Roman" w:cs="Times New Roman"/>
            <w:sz w:val="26"/>
            <w:szCs w:val="26"/>
          </w:rPr>
          <w:t>Lloyd's Register</w:t>
        </w:r>
      </w:hyperlink>
      <w:r w:rsidRPr="000115F7">
        <w:rPr>
          <w:rFonts w:ascii="Times New Roman" w:hAnsi="Times New Roman" w:cs="Times New Roman"/>
          <w:sz w:val="26"/>
          <w:szCs w:val="26"/>
        </w:rPr>
        <w:t>, MEMI được giới thiệu là khuôn khổ đánh giá ESG đa chiều đầu tiên dành cho ngành vận tải biển quốc tế đã được kiểm chứng. Trong phiên bản đầu tiên, báo cáo đánh giá 48 công ty vận tải biển toàn cầu thuộc 6 phân ngành khác nhau. Sử dụng bộ tiêu chí gồm 59 câu hỏi đã được xác thực, MEMI đánh giá hiệu quả ESG dựa trên 5 trụ cột có trọng số.</w:t>
      </w:r>
    </w:p>
    <w:p w14:paraId="1E48A0F0" w14:textId="77777777" w:rsidR="000115F7" w:rsidRPr="000115F7" w:rsidRDefault="000115F7" w:rsidP="000115F7">
      <w:pPr>
        <w:spacing w:after="120"/>
        <w:jc w:val="both"/>
        <w:rPr>
          <w:rFonts w:ascii="Times New Roman" w:hAnsi="Times New Roman" w:cs="Times New Roman"/>
          <w:sz w:val="26"/>
          <w:szCs w:val="26"/>
        </w:rPr>
      </w:pPr>
      <w:r w:rsidRPr="000115F7">
        <w:rPr>
          <w:rFonts w:ascii="Times New Roman" w:hAnsi="Times New Roman" w:cs="Times New Roman"/>
          <w:sz w:val="26"/>
          <w:szCs w:val="26"/>
        </w:rPr>
        <w:t>Kết quả cho thấy mặc dù ngành đã xây dựng được nền tảng cơ bản cho quản trị ESG, vẫn còn tồn tại những khoảng trống đáng kể trong hiệu quả môi trường ở cấp độ vận hành, tính minh bạch của chuỗi cung ứng và các tiêu chí môi trường đặc thù của ngành hàng hải, ngay cả ở những công ty có thành tích tốt nhất.</w:t>
      </w:r>
    </w:p>
    <w:p w14:paraId="6352E483" w14:textId="77777777" w:rsidR="000115F7" w:rsidRPr="000115F7" w:rsidRDefault="000115F7" w:rsidP="000115F7">
      <w:pPr>
        <w:spacing w:after="120"/>
        <w:jc w:val="both"/>
        <w:rPr>
          <w:rFonts w:ascii="Times New Roman" w:hAnsi="Times New Roman" w:cs="Times New Roman"/>
          <w:b/>
          <w:bCs/>
          <w:sz w:val="26"/>
          <w:szCs w:val="26"/>
        </w:rPr>
      </w:pPr>
      <w:r w:rsidRPr="000115F7">
        <w:rPr>
          <w:rFonts w:ascii="Times New Roman" w:hAnsi="Times New Roman" w:cs="Times New Roman"/>
          <w:b/>
          <w:bCs/>
          <w:sz w:val="26"/>
          <w:szCs w:val="26"/>
        </w:rPr>
        <w:t>Chuẩn đối sánh của ngành</w:t>
      </w:r>
    </w:p>
    <w:p w14:paraId="152FE2A2" w14:textId="6F31BFAA" w:rsidR="000115F7" w:rsidRPr="000115F7" w:rsidRDefault="000115F7" w:rsidP="000115F7">
      <w:pPr>
        <w:spacing w:after="120"/>
        <w:jc w:val="both"/>
        <w:rPr>
          <w:rFonts w:ascii="Times New Roman" w:hAnsi="Times New Roman" w:cs="Times New Roman"/>
          <w:sz w:val="26"/>
          <w:szCs w:val="26"/>
        </w:rPr>
      </w:pPr>
      <w:r w:rsidRPr="000115F7">
        <w:rPr>
          <w:rFonts w:ascii="Times New Roman" w:hAnsi="Times New Roman" w:cs="Times New Roman"/>
          <w:sz w:val="26"/>
          <w:szCs w:val="26"/>
        </w:rPr>
        <w:t xml:space="preserve">Mẫu khảo sát gồm 48 công ty đạt điểm trung bình 56/100 (độ lệch chuẩn 22,3), đưa toàn ngành vào nhóm </w:t>
      </w:r>
      <w:r w:rsidRPr="000115F7">
        <w:rPr>
          <w:rFonts w:ascii="Times New Roman" w:hAnsi="Times New Roman" w:cs="Times New Roman"/>
          <w:b/>
          <w:bCs/>
          <w:sz w:val="26"/>
          <w:szCs w:val="26"/>
        </w:rPr>
        <w:t>“</w:t>
      </w:r>
      <w:r w:rsidRPr="000115F7">
        <w:rPr>
          <w:rFonts w:ascii="Times New Roman" w:hAnsi="Times New Roman" w:cs="Times New Roman"/>
          <w:color w:val="EE0000"/>
          <w:sz w:val="26"/>
          <w:szCs w:val="26"/>
        </w:rPr>
        <w:t xml:space="preserve">Advanced” (Tiên tiến) </w:t>
      </w:r>
      <w:r w:rsidRPr="000115F7">
        <w:rPr>
          <w:rFonts w:ascii="Times New Roman" w:hAnsi="Times New Roman" w:cs="Times New Roman"/>
          <w:sz w:val="26"/>
          <w:szCs w:val="26"/>
        </w:rPr>
        <w:t>ở mức thấp.</w:t>
      </w:r>
      <w:r>
        <w:rPr>
          <w:rFonts w:ascii="Times New Roman" w:hAnsi="Times New Roman" w:cs="Times New Roman"/>
          <w:sz w:val="26"/>
          <w:szCs w:val="26"/>
        </w:rPr>
        <w:t xml:space="preserve"> </w:t>
      </w:r>
      <w:r w:rsidRPr="000115F7">
        <w:rPr>
          <w:rFonts w:ascii="Times New Roman" w:hAnsi="Times New Roman" w:cs="Times New Roman"/>
          <w:sz w:val="26"/>
          <w:szCs w:val="26"/>
        </w:rPr>
        <w:t xml:space="preserve">Tổng điểm dao động từ 2,9 đến 95,9 điểm, tạo nên khoảng cách lên tới 93 điểm, phản ánh sự khác </w:t>
      </w:r>
      <w:r>
        <w:rPr>
          <w:rFonts w:ascii="Times New Roman" w:hAnsi="Times New Roman" w:cs="Times New Roman"/>
          <w:sz w:val="26"/>
          <w:szCs w:val="26"/>
        </w:rPr>
        <w:t>nhau</w:t>
      </w:r>
      <w:r w:rsidRPr="000115F7">
        <w:rPr>
          <w:rFonts w:ascii="Times New Roman" w:hAnsi="Times New Roman" w:cs="Times New Roman"/>
          <w:sz w:val="26"/>
          <w:szCs w:val="26"/>
        </w:rPr>
        <w:t xml:space="preserve"> rất lớn về mức độ trưởng thành ESG trong ngành vận tải biển toàn cầu. Phân bố điểm số gần như chuẩn với độ lệch âm nhẹ, cho thấy thang đo phản ánh được sự khác </w:t>
      </w:r>
      <w:r>
        <w:rPr>
          <w:rFonts w:ascii="Times New Roman" w:hAnsi="Times New Roman" w:cs="Times New Roman"/>
          <w:sz w:val="26"/>
          <w:szCs w:val="26"/>
        </w:rPr>
        <w:t>nhau</w:t>
      </w:r>
      <w:r w:rsidRPr="000115F7">
        <w:rPr>
          <w:rFonts w:ascii="Times New Roman" w:hAnsi="Times New Roman" w:cs="Times New Roman"/>
          <w:sz w:val="26"/>
          <w:szCs w:val="26"/>
        </w:rPr>
        <w:t xml:space="preserve"> thực chất giữa các doanh nghiệp mà không bị hiệu ứng “trần” hoặc “sàn”.</w:t>
      </w:r>
    </w:p>
    <w:p w14:paraId="165BA601" w14:textId="450FCD8D" w:rsidR="000115F7" w:rsidRPr="000115F7" w:rsidRDefault="000115F7" w:rsidP="000115F7">
      <w:pPr>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lastRenderedPageBreak/>
        <w:t>Việc nhóm “Advanced” chiếm ưu thế cho thấy phần lớn các công ty đã xây dựng được kiến trúc quản trị ESG, bao gồm</w:t>
      </w:r>
      <w:r>
        <w:rPr>
          <w:rFonts w:ascii="Times New Roman" w:hAnsi="Times New Roman" w:cs="Times New Roman"/>
          <w:sz w:val="26"/>
          <w:szCs w:val="26"/>
        </w:rPr>
        <w:t xml:space="preserve"> b</w:t>
      </w:r>
      <w:r w:rsidRPr="000115F7">
        <w:rPr>
          <w:rFonts w:ascii="Times New Roman" w:hAnsi="Times New Roman" w:cs="Times New Roman"/>
          <w:sz w:val="26"/>
          <w:szCs w:val="26"/>
        </w:rPr>
        <w:t>áo cáo thường niên</w:t>
      </w:r>
      <w:r>
        <w:rPr>
          <w:rFonts w:ascii="Times New Roman" w:hAnsi="Times New Roman" w:cs="Times New Roman"/>
          <w:sz w:val="26"/>
          <w:szCs w:val="26"/>
        </w:rPr>
        <w:t>, s</w:t>
      </w:r>
      <w:r w:rsidRPr="000115F7">
        <w:rPr>
          <w:rFonts w:ascii="Times New Roman" w:hAnsi="Times New Roman" w:cs="Times New Roman"/>
          <w:sz w:val="26"/>
          <w:szCs w:val="26"/>
        </w:rPr>
        <w:t>ự giám sát của hội đồng quản trị</w:t>
      </w:r>
      <w:r>
        <w:rPr>
          <w:rFonts w:ascii="Times New Roman" w:hAnsi="Times New Roman" w:cs="Times New Roman"/>
          <w:sz w:val="26"/>
          <w:szCs w:val="26"/>
        </w:rPr>
        <w:t>, á</w:t>
      </w:r>
      <w:r w:rsidRPr="000115F7">
        <w:rPr>
          <w:rFonts w:ascii="Times New Roman" w:hAnsi="Times New Roman" w:cs="Times New Roman"/>
          <w:sz w:val="26"/>
          <w:szCs w:val="26"/>
        </w:rPr>
        <w:t>p dụng các khuôn khổ báo cáo ESG</w:t>
      </w:r>
      <w:r>
        <w:rPr>
          <w:rFonts w:ascii="Times New Roman" w:hAnsi="Times New Roman" w:cs="Times New Roman"/>
          <w:sz w:val="26"/>
          <w:szCs w:val="26"/>
        </w:rPr>
        <w:t xml:space="preserve"> và c</w:t>
      </w:r>
      <w:r w:rsidRPr="000115F7">
        <w:rPr>
          <w:rFonts w:ascii="Times New Roman" w:hAnsi="Times New Roman" w:cs="Times New Roman"/>
          <w:sz w:val="26"/>
          <w:szCs w:val="26"/>
        </w:rPr>
        <w:t xml:space="preserve">ác chương trình môi trường được xác định rõ ràng. Tuy nhiên, điều còn thiếu là </w:t>
      </w:r>
      <w:r w:rsidRPr="000115F7">
        <w:rPr>
          <w:rFonts w:ascii="Times New Roman" w:hAnsi="Times New Roman" w:cs="Times New Roman"/>
          <w:color w:val="EE0000"/>
          <w:sz w:val="26"/>
          <w:szCs w:val="26"/>
        </w:rPr>
        <w:t>chiều sâu thực chất</w:t>
      </w:r>
      <w:r w:rsidRPr="000115F7">
        <w:rPr>
          <w:rFonts w:ascii="Times New Roman" w:hAnsi="Times New Roman" w:cs="Times New Roman"/>
          <w:sz w:val="26"/>
          <w:szCs w:val="26"/>
        </w:rPr>
        <w:t>, thể hiện qua</w:t>
      </w:r>
      <w:r>
        <w:rPr>
          <w:rFonts w:ascii="Times New Roman" w:hAnsi="Times New Roman" w:cs="Times New Roman"/>
          <w:sz w:val="26"/>
          <w:szCs w:val="26"/>
        </w:rPr>
        <w:t xml:space="preserve"> x</w:t>
      </w:r>
      <w:r w:rsidRPr="000115F7">
        <w:rPr>
          <w:rFonts w:ascii="Times New Roman" w:hAnsi="Times New Roman" w:cs="Times New Roman"/>
          <w:sz w:val="26"/>
          <w:szCs w:val="26"/>
        </w:rPr>
        <w:t>ác nhận độc lập từ bên thứ ba (external assurance)</w:t>
      </w:r>
      <w:r>
        <w:rPr>
          <w:rFonts w:ascii="Times New Roman" w:hAnsi="Times New Roman" w:cs="Times New Roman"/>
          <w:sz w:val="26"/>
          <w:szCs w:val="26"/>
        </w:rPr>
        <w:t>, b</w:t>
      </w:r>
      <w:r w:rsidRPr="000115F7">
        <w:rPr>
          <w:rFonts w:ascii="Times New Roman" w:hAnsi="Times New Roman" w:cs="Times New Roman"/>
          <w:sz w:val="26"/>
          <w:szCs w:val="26"/>
        </w:rPr>
        <w:t>áo cáo đầy đủ phát thải Scope 3</w:t>
      </w:r>
      <w:r>
        <w:rPr>
          <w:rFonts w:ascii="Times New Roman" w:hAnsi="Times New Roman" w:cs="Times New Roman"/>
          <w:sz w:val="26"/>
          <w:szCs w:val="26"/>
        </w:rPr>
        <w:t>, c</w:t>
      </w:r>
      <w:r w:rsidRPr="000115F7">
        <w:rPr>
          <w:rFonts w:ascii="Times New Roman" w:hAnsi="Times New Roman" w:cs="Times New Roman"/>
          <w:sz w:val="26"/>
          <w:szCs w:val="26"/>
        </w:rPr>
        <w:t>ác khoản tài trợ gắn với tính bền vững (sustainability-linked financing) kèm KPI được xác minh</w:t>
      </w:r>
      <w:r>
        <w:rPr>
          <w:rFonts w:ascii="Times New Roman" w:hAnsi="Times New Roman" w:cs="Times New Roman"/>
          <w:sz w:val="26"/>
          <w:szCs w:val="26"/>
        </w:rPr>
        <w:t>, q</w:t>
      </w:r>
      <w:r w:rsidRPr="000115F7">
        <w:rPr>
          <w:rFonts w:ascii="Times New Roman" w:hAnsi="Times New Roman" w:cs="Times New Roman"/>
          <w:sz w:val="26"/>
          <w:szCs w:val="26"/>
        </w:rPr>
        <w:t>uy trình đánh giá tính trọng yếu kép (double materiality)</w:t>
      </w:r>
      <w:r>
        <w:rPr>
          <w:rFonts w:ascii="Times New Roman" w:hAnsi="Times New Roman" w:cs="Times New Roman"/>
          <w:sz w:val="26"/>
          <w:szCs w:val="26"/>
        </w:rPr>
        <w:t>, h</w:t>
      </w:r>
      <w:r w:rsidRPr="000115F7">
        <w:rPr>
          <w:rFonts w:ascii="Times New Roman" w:hAnsi="Times New Roman" w:cs="Times New Roman"/>
          <w:sz w:val="26"/>
          <w:szCs w:val="26"/>
        </w:rPr>
        <w:t xml:space="preserve">iệu quả môi trường đặc thù hàng hải có thể đo lường được. </w:t>
      </w:r>
      <w:r>
        <w:rPr>
          <w:rFonts w:ascii="Times New Roman" w:hAnsi="Times New Roman" w:cs="Times New Roman"/>
          <w:sz w:val="26"/>
          <w:szCs w:val="26"/>
        </w:rPr>
        <w:t xml:space="preserve"> </w:t>
      </w:r>
      <w:r w:rsidRPr="000115F7">
        <w:rPr>
          <w:rFonts w:ascii="Times New Roman" w:hAnsi="Times New Roman" w:cs="Times New Roman"/>
          <w:sz w:val="26"/>
          <w:szCs w:val="26"/>
        </w:rPr>
        <w:t>Chỉ 25% trong số 48 công ty đạt cấp độ “Leader” (Dẫn đầu).</w:t>
      </w:r>
      <w:r>
        <w:rPr>
          <w:rFonts w:ascii="Times New Roman" w:hAnsi="Times New Roman" w:cs="Times New Roman"/>
          <w:sz w:val="26"/>
          <w:szCs w:val="26"/>
        </w:rPr>
        <w:t xml:space="preserve"> </w:t>
      </w:r>
      <w:r w:rsidRPr="000115F7">
        <w:rPr>
          <w:rFonts w:ascii="Times New Roman" w:hAnsi="Times New Roman" w:cs="Times New Roman"/>
          <w:sz w:val="26"/>
          <w:szCs w:val="26"/>
        </w:rPr>
        <w:t>Để đạt cấp độ này, doanh nghiệp phải đồng thời đáp ứng</w:t>
      </w:r>
      <w:r>
        <w:rPr>
          <w:rFonts w:ascii="Times New Roman" w:hAnsi="Times New Roman" w:cs="Times New Roman"/>
          <w:sz w:val="26"/>
          <w:szCs w:val="26"/>
        </w:rPr>
        <w:t xml:space="preserve">: </w:t>
      </w:r>
    </w:p>
    <w:p w14:paraId="54FC3447" w14:textId="77777777" w:rsidR="000115F7" w:rsidRPr="000115F7" w:rsidRDefault="000115F7" w:rsidP="000115F7">
      <w:pPr>
        <w:numPr>
          <w:ilvl w:val="0"/>
          <w:numId w:val="5"/>
        </w:numPr>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 xml:space="preserve">Có xác nhận độc lập; </w:t>
      </w:r>
    </w:p>
    <w:p w14:paraId="6A6E5F4F" w14:textId="77777777" w:rsidR="000115F7" w:rsidRPr="000115F7" w:rsidRDefault="000115F7" w:rsidP="000115F7">
      <w:pPr>
        <w:numPr>
          <w:ilvl w:val="0"/>
          <w:numId w:val="5"/>
        </w:numPr>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 xml:space="preserve">Áp dụng quy trình đánh giá trọng yếu kép chính thức; </w:t>
      </w:r>
    </w:p>
    <w:p w14:paraId="274B3989" w14:textId="77777777" w:rsidR="000115F7" w:rsidRPr="000115F7" w:rsidRDefault="000115F7" w:rsidP="000115F7">
      <w:pPr>
        <w:numPr>
          <w:ilvl w:val="0"/>
          <w:numId w:val="5"/>
        </w:numPr>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 xml:space="preserve">Sử dụng tài chính liên kết với tính bền vững; </w:t>
      </w:r>
    </w:p>
    <w:p w14:paraId="0BEAFC76" w14:textId="77777777" w:rsidR="000115F7" w:rsidRPr="000115F7" w:rsidRDefault="000115F7" w:rsidP="000115F7">
      <w:pPr>
        <w:numPr>
          <w:ilvl w:val="0"/>
          <w:numId w:val="5"/>
        </w:numPr>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 xml:space="preserve">Có mục tiêu giảm phát thải được xác minh; </w:t>
      </w:r>
    </w:p>
    <w:p w14:paraId="50E3FD7A" w14:textId="77777777" w:rsidR="000115F7" w:rsidRDefault="000115F7" w:rsidP="000115F7">
      <w:pPr>
        <w:numPr>
          <w:ilvl w:val="0"/>
          <w:numId w:val="5"/>
        </w:numPr>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 xml:space="preserve">Đạt thành tích mạnh về môi trường đặc thù ngành hàng hải. </w:t>
      </w:r>
    </w:p>
    <w:p w14:paraId="6F41B354" w14:textId="6FB90113" w:rsidR="00AE6254" w:rsidRPr="000115F7" w:rsidRDefault="00AE6254" w:rsidP="00AE6254">
      <w:pPr>
        <w:spacing w:before="120" w:after="120"/>
        <w:jc w:val="both"/>
        <w:rPr>
          <w:rFonts w:ascii="Times New Roman" w:hAnsi="Times New Roman" w:cs="Times New Roman"/>
          <w:sz w:val="26"/>
          <w:szCs w:val="26"/>
        </w:rPr>
      </w:pPr>
      <w:r w:rsidRPr="000115F7">
        <w:drawing>
          <wp:inline distT="0" distB="0" distL="0" distR="0" wp14:anchorId="276B3069" wp14:editId="562D0562">
            <wp:extent cx="5943600" cy="3722370"/>
            <wp:effectExtent l="0" t="0" r="0" b="0"/>
            <wp:docPr id="231502017" name="Picture 3" descr="Shipping industry ESG progress under scrutiny in new global index">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ipping industry ESG progress under scrutiny in new global index">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722370"/>
                    </a:xfrm>
                    <a:prstGeom prst="rect">
                      <a:avLst/>
                    </a:prstGeom>
                    <a:noFill/>
                    <a:ln>
                      <a:noFill/>
                    </a:ln>
                  </pic:spPr>
                </pic:pic>
              </a:graphicData>
            </a:graphic>
          </wp:inline>
        </w:drawing>
      </w:r>
    </w:p>
    <w:p w14:paraId="55801D84" w14:textId="77777777" w:rsidR="000115F7" w:rsidRPr="000115F7" w:rsidRDefault="000115F7" w:rsidP="000115F7">
      <w:pPr>
        <w:spacing w:after="0"/>
        <w:jc w:val="both"/>
        <w:rPr>
          <w:rFonts w:ascii="Times New Roman" w:hAnsi="Times New Roman" w:cs="Times New Roman"/>
          <w:b/>
          <w:bCs/>
          <w:sz w:val="26"/>
          <w:szCs w:val="26"/>
        </w:rPr>
      </w:pPr>
      <w:r w:rsidRPr="000115F7">
        <w:rPr>
          <w:rFonts w:ascii="Times New Roman" w:hAnsi="Times New Roman" w:cs="Times New Roman"/>
          <w:b/>
          <w:bCs/>
          <w:sz w:val="26"/>
          <w:szCs w:val="26"/>
        </w:rPr>
        <w:t>Những phát hiện chính</w:t>
      </w:r>
    </w:p>
    <w:p w14:paraId="2EF935E2" w14:textId="77777777" w:rsidR="000115F7" w:rsidRPr="000115F7" w:rsidRDefault="000115F7" w:rsidP="000115F7">
      <w:pPr>
        <w:numPr>
          <w:ilvl w:val="0"/>
          <w:numId w:val="6"/>
        </w:numPr>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 xml:space="preserve">27/48 công ty có điểm quản trị cao hơn điểm môi trường, với khoảng cách trung bình 8,2 điểm chuẩn hóa. Điều này cho thấy hệ thống công bố thông tin thường phát triển nhanh hơn hiệu quả môi trường thực tế. </w:t>
      </w:r>
    </w:p>
    <w:p w14:paraId="2994EC48" w14:textId="77777777" w:rsidR="000115F7" w:rsidRPr="000115F7" w:rsidRDefault="000115F7" w:rsidP="000115F7">
      <w:pPr>
        <w:numPr>
          <w:ilvl w:val="0"/>
          <w:numId w:val="6"/>
        </w:numPr>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 xml:space="preserve">Chỉ 35% công ty thực hiện xác nhận độc lập toàn diện đối với dữ liệu ESG; đây là yếu tố khác biệt lớn nhất giữa nhóm “Advanced” và “Leader”. </w:t>
      </w:r>
    </w:p>
    <w:p w14:paraId="66254DAD" w14:textId="5A76869D" w:rsidR="000115F7" w:rsidRPr="00AE6254" w:rsidRDefault="000115F7" w:rsidP="00AE6254">
      <w:pPr>
        <w:numPr>
          <w:ilvl w:val="0"/>
          <w:numId w:val="6"/>
        </w:numPr>
        <w:spacing w:before="120" w:after="120"/>
        <w:jc w:val="both"/>
        <w:rPr>
          <w:rFonts w:ascii="Times New Roman" w:hAnsi="Times New Roman" w:cs="Times New Roman"/>
          <w:sz w:val="26"/>
          <w:szCs w:val="26"/>
        </w:rPr>
      </w:pPr>
      <w:r w:rsidRPr="00AE6254">
        <w:rPr>
          <w:rFonts w:ascii="Times New Roman" w:hAnsi="Times New Roman" w:cs="Times New Roman"/>
          <w:sz w:val="26"/>
          <w:szCs w:val="26"/>
        </w:rPr>
        <w:lastRenderedPageBreak/>
        <w:t>Các tiêu chí môi trường đặc thù hàng hải như</w:t>
      </w:r>
      <w:r w:rsidR="00AE6254" w:rsidRPr="00AE6254">
        <w:rPr>
          <w:rFonts w:ascii="Times New Roman" w:hAnsi="Times New Roman" w:cs="Times New Roman"/>
          <w:sz w:val="26"/>
          <w:szCs w:val="26"/>
        </w:rPr>
        <w:t xml:space="preserve"> n</w:t>
      </w:r>
      <w:r w:rsidRPr="00AE6254">
        <w:rPr>
          <w:rFonts w:ascii="Times New Roman" w:hAnsi="Times New Roman" w:cs="Times New Roman"/>
          <w:sz w:val="26"/>
          <w:szCs w:val="26"/>
        </w:rPr>
        <w:t>găn ngừa va chạm với cá voi (13%)</w:t>
      </w:r>
      <w:r w:rsidR="00AE6254" w:rsidRPr="00AE6254">
        <w:rPr>
          <w:rFonts w:ascii="Times New Roman" w:hAnsi="Times New Roman" w:cs="Times New Roman"/>
          <w:sz w:val="26"/>
          <w:szCs w:val="26"/>
        </w:rPr>
        <w:t>, k</w:t>
      </w:r>
      <w:r w:rsidRPr="00AE6254">
        <w:rPr>
          <w:rFonts w:ascii="Times New Roman" w:hAnsi="Times New Roman" w:cs="Times New Roman"/>
          <w:sz w:val="26"/>
          <w:szCs w:val="26"/>
        </w:rPr>
        <w:t>iểm soát tiếng ồn dưới nước (15%)</w:t>
      </w:r>
      <w:r w:rsidR="00AE6254" w:rsidRPr="00AE6254">
        <w:rPr>
          <w:rFonts w:ascii="Times New Roman" w:hAnsi="Times New Roman" w:cs="Times New Roman"/>
          <w:sz w:val="26"/>
          <w:szCs w:val="26"/>
        </w:rPr>
        <w:t>, t</w:t>
      </w:r>
      <w:r w:rsidRPr="00AE6254">
        <w:rPr>
          <w:rFonts w:ascii="Times New Roman" w:hAnsi="Times New Roman" w:cs="Times New Roman"/>
          <w:sz w:val="26"/>
          <w:szCs w:val="26"/>
        </w:rPr>
        <w:t>uân thủ Danh mục Vật liệu Nguy hiểm (IHM) (19%)</w:t>
      </w:r>
      <w:r w:rsidR="00AE6254" w:rsidRPr="00AE6254">
        <w:rPr>
          <w:rFonts w:ascii="Times New Roman" w:hAnsi="Times New Roman" w:cs="Times New Roman"/>
          <w:sz w:val="26"/>
          <w:szCs w:val="26"/>
        </w:rPr>
        <w:t xml:space="preserve">, </w:t>
      </w:r>
      <w:r w:rsidR="00AE6254">
        <w:rPr>
          <w:rFonts w:ascii="Times New Roman" w:hAnsi="Times New Roman" w:cs="Times New Roman"/>
          <w:sz w:val="26"/>
          <w:szCs w:val="26"/>
        </w:rPr>
        <w:t>hành hải</w:t>
      </w:r>
      <w:r w:rsidRPr="00AE6254">
        <w:rPr>
          <w:rFonts w:ascii="Times New Roman" w:hAnsi="Times New Roman" w:cs="Times New Roman"/>
          <w:sz w:val="26"/>
          <w:szCs w:val="26"/>
        </w:rPr>
        <w:t xml:space="preserve"> có tính đến đa dạng sinh học (28%)</w:t>
      </w:r>
      <w:r w:rsidR="00AE6254">
        <w:rPr>
          <w:rFonts w:ascii="Times New Roman" w:hAnsi="Times New Roman" w:cs="Times New Roman"/>
          <w:sz w:val="26"/>
          <w:szCs w:val="26"/>
        </w:rPr>
        <w:t xml:space="preserve"> </w:t>
      </w:r>
      <w:r w:rsidRPr="00AE6254">
        <w:rPr>
          <w:rFonts w:ascii="Times New Roman" w:hAnsi="Times New Roman" w:cs="Times New Roman"/>
          <w:sz w:val="26"/>
          <w:szCs w:val="26"/>
        </w:rPr>
        <w:t>đều đạt điểm rất thấp trong toàn bộ mẫu khảo sát, kể cả ở các công ty thuộc nhóm “Leader”.</w:t>
      </w:r>
    </w:p>
    <w:p w14:paraId="4021D02C" w14:textId="77777777" w:rsidR="000115F7" w:rsidRPr="000115F7" w:rsidRDefault="000115F7" w:rsidP="000115F7">
      <w:pPr>
        <w:numPr>
          <w:ilvl w:val="0"/>
          <w:numId w:val="6"/>
        </w:numPr>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 xml:space="preserve">Nghiên cứu xác định 4 mô hình ESG điển hình: </w:t>
      </w:r>
    </w:p>
    <w:p w14:paraId="6C3BF828" w14:textId="77777777" w:rsidR="000115F7" w:rsidRPr="000115F7" w:rsidRDefault="000115F7" w:rsidP="000115F7">
      <w:pPr>
        <w:numPr>
          <w:ilvl w:val="1"/>
          <w:numId w:val="6"/>
        </w:numPr>
        <w:spacing w:before="120" w:after="120"/>
        <w:jc w:val="both"/>
        <w:rPr>
          <w:rFonts w:ascii="Times New Roman" w:hAnsi="Times New Roman" w:cs="Times New Roman"/>
          <w:sz w:val="26"/>
          <w:szCs w:val="26"/>
        </w:rPr>
      </w:pPr>
      <w:r w:rsidRPr="000115F7">
        <w:rPr>
          <w:rFonts w:ascii="Times New Roman" w:hAnsi="Times New Roman" w:cs="Times New Roman"/>
          <w:b/>
          <w:bCs/>
          <w:sz w:val="26"/>
          <w:szCs w:val="26"/>
        </w:rPr>
        <w:t>Integrated Champions</w:t>
      </w:r>
      <w:r w:rsidRPr="000115F7">
        <w:rPr>
          <w:rFonts w:ascii="Times New Roman" w:hAnsi="Times New Roman" w:cs="Times New Roman"/>
          <w:sz w:val="26"/>
          <w:szCs w:val="26"/>
        </w:rPr>
        <w:t xml:space="preserve"> (12 công ty, điểm trung bình 83,1); </w:t>
      </w:r>
    </w:p>
    <w:p w14:paraId="53ABFE02" w14:textId="77777777" w:rsidR="000115F7" w:rsidRPr="000115F7" w:rsidRDefault="000115F7" w:rsidP="000115F7">
      <w:pPr>
        <w:numPr>
          <w:ilvl w:val="1"/>
          <w:numId w:val="6"/>
        </w:numPr>
        <w:spacing w:before="120" w:after="120"/>
        <w:jc w:val="both"/>
        <w:rPr>
          <w:rFonts w:ascii="Times New Roman" w:hAnsi="Times New Roman" w:cs="Times New Roman"/>
          <w:sz w:val="26"/>
          <w:szCs w:val="26"/>
        </w:rPr>
      </w:pPr>
      <w:r w:rsidRPr="000115F7">
        <w:rPr>
          <w:rFonts w:ascii="Times New Roman" w:hAnsi="Times New Roman" w:cs="Times New Roman"/>
          <w:b/>
          <w:bCs/>
          <w:sz w:val="26"/>
          <w:szCs w:val="26"/>
        </w:rPr>
        <w:t>Structured Progressors</w:t>
      </w:r>
      <w:r w:rsidRPr="000115F7">
        <w:rPr>
          <w:rFonts w:ascii="Times New Roman" w:hAnsi="Times New Roman" w:cs="Times New Roman"/>
          <w:sz w:val="26"/>
          <w:szCs w:val="26"/>
        </w:rPr>
        <w:t xml:space="preserve"> (13 công ty, điểm trung bình 63,7); </w:t>
      </w:r>
    </w:p>
    <w:p w14:paraId="083C66BA" w14:textId="77777777" w:rsidR="000115F7" w:rsidRPr="000115F7" w:rsidRDefault="000115F7" w:rsidP="000115F7">
      <w:pPr>
        <w:numPr>
          <w:ilvl w:val="1"/>
          <w:numId w:val="6"/>
        </w:numPr>
        <w:spacing w:before="120" w:after="120"/>
        <w:jc w:val="both"/>
        <w:rPr>
          <w:rFonts w:ascii="Times New Roman" w:hAnsi="Times New Roman" w:cs="Times New Roman"/>
          <w:sz w:val="26"/>
          <w:szCs w:val="26"/>
        </w:rPr>
      </w:pPr>
      <w:r w:rsidRPr="000115F7">
        <w:rPr>
          <w:rFonts w:ascii="Times New Roman" w:hAnsi="Times New Roman" w:cs="Times New Roman"/>
          <w:b/>
          <w:bCs/>
          <w:sz w:val="26"/>
          <w:szCs w:val="26"/>
        </w:rPr>
        <w:t>Compliance-Oriented Companies</w:t>
      </w:r>
      <w:r w:rsidRPr="000115F7">
        <w:rPr>
          <w:rFonts w:ascii="Times New Roman" w:hAnsi="Times New Roman" w:cs="Times New Roman"/>
          <w:sz w:val="26"/>
          <w:szCs w:val="26"/>
        </w:rPr>
        <w:t xml:space="preserve"> (17 công ty, điểm trung bình 45,7); </w:t>
      </w:r>
    </w:p>
    <w:p w14:paraId="103D9270" w14:textId="77777777" w:rsidR="000115F7" w:rsidRPr="000115F7" w:rsidRDefault="000115F7" w:rsidP="000115F7">
      <w:pPr>
        <w:numPr>
          <w:ilvl w:val="1"/>
          <w:numId w:val="6"/>
        </w:numPr>
        <w:spacing w:before="120" w:after="120"/>
        <w:jc w:val="both"/>
        <w:rPr>
          <w:rFonts w:ascii="Times New Roman" w:hAnsi="Times New Roman" w:cs="Times New Roman"/>
          <w:sz w:val="26"/>
          <w:szCs w:val="26"/>
        </w:rPr>
      </w:pPr>
      <w:r w:rsidRPr="000115F7">
        <w:rPr>
          <w:rFonts w:ascii="Times New Roman" w:hAnsi="Times New Roman" w:cs="Times New Roman"/>
          <w:b/>
          <w:bCs/>
          <w:sz w:val="26"/>
          <w:szCs w:val="26"/>
        </w:rPr>
        <w:t>Disclosure Absent</w:t>
      </w:r>
      <w:r w:rsidRPr="000115F7">
        <w:rPr>
          <w:rFonts w:ascii="Times New Roman" w:hAnsi="Times New Roman" w:cs="Times New Roman"/>
          <w:sz w:val="26"/>
          <w:szCs w:val="26"/>
        </w:rPr>
        <w:t xml:space="preserve"> (6 công ty, điểm trung bình 14,2). </w:t>
      </w:r>
    </w:p>
    <w:p w14:paraId="25279440" w14:textId="77777777" w:rsidR="000115F7" w:rsidRDefault="000115F7" w:rsidP="000115F7">
      <w:pPr>
        <w:numPr>
          <w:ilvl w:val="0"/>
          <w:numId w:val="6"/>
        </w:numPr>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 xml:space="preserve">Một số ít công ty được đánh giá có hiệu quả thực tế tốt hơn so với những gì được thể hiện trong báo cáo công khai. </w:t>
      </w:r>
    </w:p>
    <w:p w14:paraId="16F5A94C" w14:textId="77777777" w:rsidR="000115F7" w:rsidRPr="000115F7" w:rsidRDefault="000115F7" w:rsidP="000115F7">
      <w:pPr>
        <w:spacing w:before="120" w:after="120"/>
        <w:jc w:val="both"/>
        <w:rPr>
          <w:rFonts w:ascii="Times New Roman" w:hAnsi="Times New Roman" w:cs="Times New Roman"/>
          <w:b/>
          <w:bCs/>
          <w:sz w:val="26"/>
          <w:szCs w:val="26"/>
        </w:rPr>
      </w:pPr>
      <w:r w:rsidRPr="000115F7">
        <w:rPr>
          <w:rFonts w:ascii="Times New Roman" w:hAnsi="Times New Roman" w:cs="Times New Roman"/>
          <w:b/>
          <w:bCs/>
          <w:sz w:val="26"/>
          <w:szCs w:val="26"/>
        </w:rPr>
        <w:t>Kết quả theo từng trụ cột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1404"/>
        <w:gridCol w:w="6983"/>
      </w:tblGrid>
      <w:tr w:rsidR="000115F7" w:rsidRPr="000115F7" w14:paraId="7C0CAF96" w14:textId="77777777" w:rsidTr="00AE6254">
        <w:trPr>
          <w:tblHeader/>
          <w:tblCellSpacing w:w="15" w:type="dxa"/>
        </w:trPr>
        <w:tc>
          <w:tcPr>
            <w:tcW w:w="0" w:type="auto"/>
            <w:vAlign w:val="center"/>
            <w:hideMark/>
          </w:tcPr>
          <w:p w14:paraId="696C909D" w14:textId="77777777" w:rsidR="000115F7" w:rsidRPr="000115F7" w:rsidRDefault="000115F7" w:rsidP="00AE6254">
            <w:pPr>
              <w:spacing w:after="0"/>
              <w:jc w:val="center"/>
              <w:rPr>
                <w:rFonts w:ascii="Times New Roman" w:hAnsi="Times New Roman" w:cs="Times New Roman"/>
                <w:b/>
                <w:bCs/>
                <w:sz w:val="26"/>
                <w:szCs w:val="26"/>
              </w:rPr>
            </w:pPr>
            <w:r w:rsidRPr="000115F7">
              <w:rPr>
                <w:rFonts w:ascii="Times New Roman" w:hAnsi="Times New Roman" w:cs="Times New Roman"/>
                <w:b/>
                <w:bCs/>
                <w:sz w:val="26"/>
                <w:szCs w:val="26"/>
              </w:rPr>
              <w:t>Trụ cột</w:t>
            </w:r>
          </w:p>
        </w:tc>
        <w:tc>
          <w:tcPr>
            <w:tcW w:w="0" w:type="auto"/>
            <w:vAlign w:val="center"/>
            <w:hideMark/>
          </w:tcPr>
          <w:p w14:paraId="04F4C63C" w14:textId="77777777" w:rsidR="000115F7" w:rsidRPr="000115F7" w:rsidRDefault="000115F7" w:rsidP="00AE6254">
            <w:pPr>
              <w:spacing w:after="0"/>
              <w:jc w:val="center"/>
              <w:rPr>
                <w:rFonts w:ascii="Times New Roman" w:hAnsi="Times New Roman" w:cs="Times New Roman"/>
                <w:b/>
                <w:bCs/>
                <w:sz w:val="26"/>
                <w:szCs w:val="26"/>
              </w:rPr>
            </w:pPr>
            <w:r w:rsidRPr="000115F7">
              <w:rPr>
                <w:rFonts w:ascii="Times New Roman" w:hAnsi="Times New Roman" w:cs="Times New Roman"/>
                <w:b/>
                <w:bCs/>
                <w:sz w:val="26"/>
                <w:szCs w:val="26"/>
              </w:rPr>
              <w:t>Điểm trung bình chuẩn hóa (/100)</w:t>
            </w:r>
          </w:p>
        </w:tc>
        <w:tc>
          <w:tcPr>
            <w:tcW w:w="0" w:type="auto"/>
            <w:vAlign w:val="center"/>
            <w:hideMark/>
          </w:tcPr>
          <w:p w14:paraId="3D658E30" w14:textId="77777777" w:rsidR="000115F7" w:rsidRPr="000115F7" w:rsidRDefault="000115F7" w:rsidP="00AE6254">
            <w:pPr>
              <w:spacing w:after="0"/>
              <w:jc w:val="center"/>
              <w:rPr>
                <w:rFonts w:ascii="Times New Roman" w:hAnsi="Times New Roman" w:cs="Times New Roman"/>
                <w:b/>
                <w:bCs/>
                <w:sz w:val="26"/>
                <w:szCs w:val="26"/>
              </w:rPr>
            </w:pPr>
            <w:r w:rsidRPr="000115F7">
              <w:rPr>
                <w:rFonts w:ascii="Times New Roman" w:hAnsi="Times New Roman" w:cs="Times New Roman"/>
                <w:b/>
                <w:bCs/>
                <w:sz w:val="26"/>
                <w:szCs w:val="26"/>
              </w:rPr>
              <w:t>Đặc điểm và khoảng trống chính</w:t>
            </w:r>
          </w:p>
        </w:tc>
      </w:tr>
      <w:tr w:rsidR="000115F7" w:rsidRPr="000115F7" w14:paraId="502EA408" w14:textId="77777777" w:rsidTr="00AE6254">
        <w:trPr>
          <w:tblCellSpacing w:w="15" w:type="dxa"/>
        </w:trPr>
        <w:tc>
          <w:tcPr>
            <w:tcW w:w="0" w:type="auto"/>
            <w:vAlign w:val="center"/>
            <w:hideMark/>
          </w:tcPr>
          <w:p w14:paraId="0DB8F9C4" w14:textId="77777777" w:rsidR="000115F7" w:rsidRPr="000115F7" w:rsidRDefault="000115F7" w:rsidP="000115F7">
            <w:pPr>
              <w:spacing w:after="0"/>
              <w:jc w:val="both"/>
              <w:rPr>
                <w:rFonts w:ascii="Times New Roman" w:hAnsi="Times New Roman" w:cs="Times New Roman"/>
                <w:sz w:val="26"/>
                <w:szCs w:val="26"/>
              </w:rPr>
            </w:pPr>
            <w:r w:rsidRPr="000115F7">
              <w:rPr>
                <w:rFonts w:ascii="Times New Roman" w:hAnsi="Times New Roman" w:cs="Times New Roman"/>
                <w:sz w:val="26"/>
                <w:szCs w:val="26"/>
              </w:rPr>
              <w:t>Quản trị và chiến lược</w:t>
            </w:r>
          </w:p>
        </w:tc>
        <w:tc>
          <w:tcPr>
            <w:tcW w:w="0" w:type="auto"/>
            <w:vAlign w:val="center"/>
            <w:hideMark/>
          </w:tcPr>
          <w:p w14:paraId="0C5299D1" w14:textId="77777777" w:rsidR="000115F7" w:rsidRPr="000115F7" w:rsidRDefault="000115F7" w:rsidP="000115F7">
            <w:pPr>
              <w:spacing w:after="0"/>
              <w:jc w:val="both"/>
              <w:rPr>
                <w:rFonts w:ascii="Times New Roman" w:hAnsi="Times New Roman" w:cs="Times New Roman"/>
                <w:sz w:val="26"/>
                <w:szCs w:val="26"/>
              </w:rPr>
            </w:pPr>
            <w:r w:rsidRPr="000115F7">
              <w:rPr>
                <w:rFonts w:ascii="Times New Roman" w:hAnsi="Times New Roman" w:cs="Times New Roman"/>
                <w:sz w:val="26"/>
                <w:szCs w:val="26"/>
              </w:rPr>
              <w:t>60,6</w:t>
            </w:r>
          </w:p>
        </w:tc>
        <w:tc>
          <w:tcPr>
            <w:tcW w:w="0" w:type="auto"/>
            <w:vAlign w:val="center"/>
            <w:hideMark/>
          </w:tcPr>
          <w:p w14:paraId="57E39096" w14:textId="77777777" w:rsidR="000115F7" w:rsidRPr="000115F7" w:rsidRDefault="000115F7" w:rsidP="000115F7">
            <w:pPr>
              <w:spacing w:after="0"/>
              <w:jc w:val="both"/>
              <w:rPr>
                <w:rFonts w:ascii="Times New Roman" w:hAnsi="Times New Roman" w:cs="Times New Roman"/>
                <w:sz w:val="26"/>
                <w:szCs w:val="26"/>
              </w:rPr>
            </w:pPr>
            <w:r w:rsidRPr="000115F7">
              <w:rPr>
                <w:rFonts w:ascii="Times New Roman" w:hAnsi="Times New Roman" w:cs="Times New Roman"/>
                <w:sz w:val="26"/>
                <w:szCs w:val="26"/>
              </w:rPr>
              <w:t>Trụ cột mạnh nhất. Ủy ban ESG cấp HĐQT, trách nhiệm của lãnh đạo và tài liệu chiến lược ESG đã trở thành thông lệ. Việc áp dụng tài chính xanh là yếu tố phân biệt rõ nhất giữa nhóm “Advanced” và “Leader”.</w:t>
            </w:r>
          </w:p>
        </w:tc>
      </w:tr>
      <w:tr w:rsidR="000115F7" w:rsidRPr="000115F7" w14:paraId="6D234D9D" w14:textId="77777777" w:rsidTr="00AE6254">
        <w:trPr>
          <w:tblCellSpacing w:w="15" w:type="dxa"/>
        </w:trPr>
        <w:tc>
          <w:tcPr>
            <w:tcW w:w="0" w:type="auto"/>
            <w:vAlign w:val="center"/>
            <w:hideMark/>
          </w:tcPr>
          <w:p w14:paraId="2857A312" w14:textId="77777777" w:rsidR="000115F7" w:rsidRPr="000115F7" w:rsidRDefault="000115F7" w:rsidP="000115F7">
            <w:pPr>
              <w:spacing w:after="0"/>
              <w:jc w:val="both"/>
              <w:rPr>
                <w:rFonts w:ascii="Times New Roman" w:hAnsi="Times New Roman" w:cs="Times New Roman"/>
                <w:sz w:val="26"/>
                <w:szCs w:val="26"/>
              </w:rPr>
            </w:pPr>
            <w:r w:rsidRPr="000115F7">
              <w:rPr>
                <w:rFonts w:ascii="Times New Roman" w:hAnsi="Times New Roman" w:cs="Times New Roman"/>
                <w:sz w:val="26"/>
                <w:szCs w:val="26"/>
              </w:rPr>
              <w:t>Tác động xã hội</w:t>
            </w:r>
          </w:p>
        </w:tc>
        <w:tc>
          <w:tcPr>
            <w:tcW w:w="0" w:type="auto"/>
            <w:vAlign w:val="center"/>
            <w:hideMark/>
          </w:tcPr>
          <w:p w14:paraId="4517AD0D" w14:textId="77777777" w:rsidR="000115F7" w:rsidRPr="000115F7" w:rsidRDefault="000115F7" w:rsidP="000115F7">
            <w:pPr>
              <w:spacing w:after="0"/>
              <w:jc w:val="both"/>
              <w:rPr>
                <w:rFonts w:ascii="Times New Roman" w:hAnsi="Times New Roman" w:cs="Times New Roman"/>
                <w:sz w:val="26"/>
                <w:szCs w:val="26"/>
              </w:rPr>
            </w:pPr>
            <w:r w:rsidRPr="000115F7">
              <w:rPr>
                <w:rFonts w:ascii="Times New Roman" w:hAnsi="Times New Roman" w:cs="Times New Roman"/>
                <w:sz w:val="26"/>
                <w:szCs w:val="26"/>
              </w:rPr>
              <w:t>60,0</w:t>
            </w:r>
          </w:p>
        </w:tc>
        <w:tc>
          <w:tcPr>
            <w:tcW w:w="0" w:type="auto"/>
            <w:vAlign w:val="center"/>
            <w:hideMark/>
          </w:tcPr>
          <w:p w14:paraId="38569873" w14:textId="77777777" w:rsidR="000115F7" w:rsidRPr="000115F7" w:rsidRDefault="000115F7" w:rsidP="000115F7">
            <w:pPr>
              <w:spacing w:after="0"/>
              <w:jc w:val="both"/>
              <w:rPr>
                <w:rFonts w:ascii="Times New Roman" w:hAnsi="Times New Roman" w:cs="Times New Roman"/>
                <w:sz w:val="26"/>
                <w:szCs w:val="26"/>
              </w:rPr>
            </w:pPr>
            <w:r w:rsidRPr="000115F7">
              <w:rPr>
                <w:rFonts w:ascii="Times New Roman" w:hAnsi="Times New Roman" w:cs="Times New Roman"/>
                <w:sz w:val="26"/>
                <w:szCs w:val="26"/>
              </w:rPr>
              <w:t>Thành tích tốt trên diện rộng. Các chương trình phúc lợi thuyền viên và gắn kết cộng đồng khá phổ biến. Các khuôn khổ DEI (Đa dạng, Công bằng và Hòa nhập) cùng chương trình đào tạo bài bản là đặc trưng của các công ty “Advanced” và “Leader”.</w:t>
            </w:r>
          </w:p>
        </w:tc>
      </w:tr>
      <w:tr w:rsidR="000115F7" w:rsidRPr="000115F7" w14:paraId="1DB0F258" w14:textId="77777777" w:rsidTr="00AE6254">
        <w:trPr>
          <w:tblCellSpacing w:w="15" w:type="dxa"/>
        </w:trPr>
        <w:tc>
          <w:tcPr>
            <w:tcW w:w="0" w:type="auto"/>
            <w:vAlign w:val="center"/>
            <w:hideMark/>
          </w:tcPr>
          <w:p w14:paraId="7E657811" w14:textId="77777777" w:rsidR="000115F7" w:rsidRPr="000115F7" w:rsidRDefault="000115F7" w:rsidP="000115F7">
            <w:pPr>
              <w:spacing w:after="0"/>
              <w:jc w:val="both"/>
              <w:rPr>
                <w:rFonts w:ascii="Times New Roman" w:hAnsi="Times New Roman" w:cs="Times New Roman"/>
                <w:sz w:val="26"/>
                <w:szCs w:val="26"/>
              </w:rPr>
            </w:pPr>
            <w:r w:rsidRPr="000115F7">
              <w:rPr>
                <w:rFonts w:ascii="Times New Roman" w:hAnsi="Times New Roman" w:cs="Times New Roman"/>
                <w:sz w:val="26"/>
                <w:szCs w:val="26"/>
              </w:rPr>
              <w:t>Quản lý rủi ro và công bố thông tin</w:t>
            </w:r>
          </w:p>
        </w:tc>
        <w:tc>
          <w:tcPr>
            <w:tcW w:w="0" w:type="auto"/>
            <w:vAlign w:val="center"/>
            <w:hideMark/>
          </w:tcPr>
          <w:p w14:paraId="15BC2415" w14:textId="77777777" w:rsidR="000115F7" w:rsidRPr="000115F7" w:rsidRDefault="000115F7" w:rsidP="000115F7">
            <w:pPr>
              <w:spacing w:after="0"/>
              <w:jc w:val="both"/>
              <w:rPr>
                <w:rFonts w:ascii="Times New Roman" w:hAnsi="Times New Roman" w:cs="Times New Roman"/>
                <w:sz w:val="26"/>
                <w:szCs w:val="26"/>
              </w:rPr>
            </w:pPr>
            <w:r w:rsidRPr="000115F7">
              <w:rPr>
                <w:rFonts w:ascii="Times New Roman" w:hAnsi="Times New Roman" w:cs="Times New Roman"/>
                <w:sz w:val="26"/>
                <w:szCs w:val="26"/>
              </w:rPr>
              <w:t>55,8</w:t>
            </w:r>
          </w:p>
        </w:tc>
        <w:tc>
          <w:tcPr>
            <w:tcW w:w="0" w:type="auto"/>
            <w:vAlign w:val="center"/>
            <w:hideMark/>
          </w:tcPr>
          <w:p w14:paraId="6DC0EF80" w14:textId="77777777" w:rsidR="000115F7" w:rsidRPr="000115F7" w:rsidRDefault="000115F7" w:rsidP="000115F7">
            <w:pPr>
              <w:spacing w:after="0"/>
              <w:jc w:val="both"/>
              <w:rPr>
                <w:rFonts w:ascii="Times New Roman" w:hAnsi="Times New Roman" w:cs="Times New Roman"/>
                <w:sz w:val="26"/>
                <w:szCs w:val="26"/>
              </w:rPr>
            </w:pPr>
            <w:r w:rsidRPr="000115F7">
              <w:rPr>
                <w:rFonts w:ascii="Times New Roman" w:hAnsi="Times New Roman" w:cs="Times New Roman"/>
                <w:sz w:val="26"/>
                <w:szCs w:val="26"/>
              </w:rPr>
              <w:t>Các chuẩn GRI và SASB được áp dụng rộng rãi, với 81% công ty áp dụng ít nhất một phần. Xác nhận độc lập và đánh giá trọng yếu kép là các lĩnh vực tiên phong, xuất hiện ở hầu hết các công ty “Leader” nhưng gần như vắng mặt ở nhóm “Compliance-Oriented”.</w:t>
            </w:r>
          </w:p>
        </w:tc>
      </w:tr>
      <w:tr w:rsidR="000115F7" w:rsidRPr="000115F7" w14:paraId="3DD2486A" w14:textId="77777777" w:rsidTr="00AE6254">
        <w:trPr>
          <w:tblCellSpacing w:w="15" w:type="dxa"/>
        </w:trPr>
        <w:tc>
          <w:tcPr>
            <w:tcW w:w="0" w:type="auto"/>
            <w:vAlign w:val="center"/>
            <w:hideMark/>
          </w:tcPr>
          <w:p w14:paraId="284DE2BA" w14:textId="77777777" w:rsidR="000115F7" w:rsidRPr="000115F7" w:rsidRDefault="000115F7" w:rsidP="000115F7">
            <w:pPr>
              <w:spacing w:after="0"/>
              <w:jc w:val="both"/>
              <w:rPr>
                <w:rFonts w:ascii="Times New Roman" w:hAnsi="Times New Roman" w:cs="Times New Roman"/>
                <w:sz w:val="26"/>
                <w:szCs w:val="26"/>
              </w:rPr>
            </w:pPr>
            <w:r w:rsidRPr="000115F7">
              <w:rPr>
                <w:rFonts w:ascii="Times New Roman" w:hAnsi="Times New Roman" w:cs="Times New Roman"/>
                <w:sz w:val="26"/>
                <w:szCs w:val="26"/>
              </w:rPr>
              <w:t>Môi trường</w:t>
            </w:r>
          </w:p>
        </w:tc>
        <w:tc>
          <w:tcPr>
            <w:tcW w:w="0" w:type="auto"/>
            <w:vAlign w:val="center"/>
            <w:hideMark/>
          </w:tcPr>
          <w:p w14:paraId="4EFFBB5B" w14:textId="77777777" w:rsidR="000115F7" w:rsidRPr="000115F7" w:rsidRDefault="000115F7" w:rsidP="000115F7">
            <w:pPr>
              <w:spacing w:after="0"/>
              <w:jc w:val="both"/>
              <w:rPr>
                <w:rFonts w:ascii="Times New Roman" w:hAnsi="Times New Roman" w:cs="Times New Roman"/>
                <w:sz w:val="26"/>
                <w:szCs w:val="26"/>
              </w:rPr>
            </w:pPr>
            <w:r w:rsidRPr="000115F7">
              <w:rPr>
                <w:rFonts w:ascii="Times New Roman" w:hAnsi="Times New Roman" w:cs="Times New Roman"/>
                <w:sz w:val="26"/>
                <w:szCs w:val="26"/>
              </w:rPr>
              <w:t>52,4</w:t>
            </w:r>
          </w:p>
        </w:tc>
        <w:tc>
          <w:tcPr>
            <w:tcW w:w="0" w:type="auto"/>
            <w:vAlign w:val="center"/>
            <w:hideMark/>
          </w:tcPr>
          <w:p w14:paraId="43C37E54" w14:textId="77777777" w:rsidR="000115F7" w:rsidRPr="000115F7" w:rsidRDefault="000115F7" w:rsidP="000115F7">
            <w:pPr>
              <w:spacing w:after="0"/>
              <w:jc w:val="both"/>
              <w:rPr>
                <w:rFonts w:ascii="Times New Roman" w:hAnsi="Times New Roman" w:cs="Times New Roman"/>
                <w:sz w:val="26"/>
                <w:szCs w:val="26"/>
              </w:rPr>
            </w:pPr>
            <w:r w:rsidRPr="000115F7">
              <w:rPr>
                <w:rFonts w:ascii="Times New Roman" w:hAnsi="Times New Roman" w:cs="Times New Roman"/>
                <w:sz w:val="26"/>
                <w:szCs w:val="26"/>
              </w:rPr>
              <w:t>Quản lý carbon tương đối phát triển, nhưng các tiêu chí môi trường đặc thù hàng hải kéo điểm trung bình xuống thấp. Một công ty vẫn có thể đạt cấp độ “Advanced” dù gần như không có điểm ở tiêu chí va chạm cá voi hoặc IHM.</w:t>
            </w:r>
          </w:p>
        </w:tc>
      </w:tr>
      <w:tr w:rsidR="000115F7" w:rsidRPr="000115F7" w14:paraId="6B1C0BEB" w14:textId="77777777" w:rsidTr="00AE6254">
        <w:trPr>
          <w:tblCellSpacing w:w="15" w:type="dxa"/>
        </w:trPr>
        <w:tc>
          <w:tcPr>
            <w:tcW w:w="0" w:type="auto"/>
            <w:vAlign w:val="center"/>
            <w:hideMark/>
          </w:tcPr>
          <w:p w14:paraId="4730D390" w14:textId="77777777" w:rsidR="000115F7" w:rsidRPr="000115F7" w:rsidRDefault="000115F7" w:rsidP="000115F7">
            <w:pPr>
              <w:spacing w:after="0"/>
              <w:jc w:val="both"/>
              <w:rPr>
                <w:rFonts w:ascii="Times New Roman" w:hAnsi="Times New Roman" w:cs="Times New Roman"/>
                <w:sz w:val="26"/>
                <w:szCs w:val="26"/>
              </w:rPr>
            </w:pPr>
            <w:r w:rsidRPr="000115F7">
              <w:rPr>
                <w:rFonts w:ascii="Times New Roman" w:hAnsi="Times New Roman" w:cs="Times New Roman"/>
                <w:sz w:val="26"/>
                <w:szCs w:val="26"/>
              </w:rPr>
              <w:t>Chuỗi giá trị</w:t>
            </w:r>
          </w:p>
        </w:tc>
        <w:tc>
          <w:tcPr>
            <w:tcW w:w="0" w:type="auto"/>
            <w:vAlign w:val="center"/>
            <w:hideMark/>
          </w:tcPr>
          <w:p w14:paraId="373118F9" w14:textId="77777777" w:rsidR="000115F7" w:rsidRPr="000115F7" w:rsidRDefault="000115F7" w:rsidP="000115F7">
            <w:pPr>
              <w:spacing w:after="0"/>
              <w:jc w:val="both"/>
              <w:rPr>
                <w:rFonts w:ascii="Times New Roman" w:hAnsi="Times New Roman" w:cs="Times New Roman"/>
                <w:sz w:val="26"/>
                <w:szCs w:val="26"/>
              </w:rPr>
            </w:pPr>
            <w:r w:rsidRPr="000115F7">
              <w:rPr>
                <w:rFonts w:ascii="Times New Roman" w:hAnsi="Times New Roman" w:cs="Times New Roman"/>
                <w:sz w:val="26"/>
                <w:szCs w:val="26"/>
              </w:rPr>
              <w:t>47,5</w:t>
            </w:r>
          </w:p>
        </w:tc>
        <w:tc>
          <w:tcPr>
            <w:tcW w:w="0" w:type="auto"/>
            <w:vAlign w:val="center"/>
            <w:hideMark/>
          </w:tcPr>
          <w:p w14:paraId="7197E43E" w14:textId="77777777" w:rsidR="000115F7" w:rsidRPr="000115F7" w:rsidRDefault="000115F7" w:rsidP="000115F7">
            <w:pPr>
              <w:spacing w:after="0"/>
              <w:jc w:val="both"/>
              <w:rPr>
                <w:rFonts w:ascii="Times New Roman" w:hAnsi="Times New Roman" w:cs="Times New Roman"/>
                <w:sz w:val="26"/>
                <w:szCs w:val="26"/>
              </w:rPr>
            </w:pPr>
            <w:r w:rsidRPr="000115F7">
              <w:rPr>
                <w:rFonts w:ascii="Times New Roman" w:hAnsi="Times New Roman" w:cs="Times New Roman"/>
                <w:sz w:val="26"/>
                <w:szCs w:val="26"/>
              </w:rPr>
              <w:t>Trụ cột yếu nhất. Phần lớn công ty có Bộ Quy tắc Ứng xử Nhà cung cấp nhưng rất ít đơn vị có khả năng giám sát chuỗi cung ứng cấp 2, chính sách tái chế tàu phù hợp với HKC hoặc tích hợp tiêu chí ESG vào hoạt động mua sắm.</w:t>
            </w:r>
          </w:p>
        </w:tc>
      </w:tr>
    </w:tbl>
    <w:p w14:paraId="21542C6F" w14:textId="77777777" w:rsidR="000115F7" w:rsidRPr="000115F7" w:rsidRDefault="000115F7" w:rsidP="00AE6254">
      <w:pPr>
        <w:spacing w:before="120" w:after="120"/>
        <w:jc w:val="both"/>
        <w:rPr>
          <w:rFonts w:ascii="Times New Roman" w:hAnsi="Times New Roman" w:cs="Times New Roman"/>
          <w:b/>
          <w:bCs/>
          <w:sz w:val="26"/>
          <w:szCs w:val="26"/>
        </w:rPr>
      </w:pPr>
      <w:r w:rsidRPr="000115F7">
        <w:rPr>
          <w:rFonts w:ascii="Times New Roman" w:hAnsi="Times New Roman" w:cs="Times New Roman"/>
          <w:b/>
          <w:bCs/>
          <w:sz w:val="26"/>
          <w:szCs w:val="26"/>
        </w:rPr>
        <w:lastRenderedPageBreak/>
        <w:t>So sánh giữa các phân ngành</w:t>
      </w:r>
    </w:p>
    <w:p w14:paraId="35396236" w14:textId="77777777" w:rsidR="000115F7" w:rsidRPr="000115F7" w:rsidRDefault="000115F7" w:rsidP="00AE6254">
      <w:pPr>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Phân tích phương sai một chiều (ANOVA) cho thấy sự khác biệt có ý nghĩa thống kê giữa các phân ngành:</w:t>
      </w:r>
    </w:p>
    <w:p w14:paraId="75797AD2" w14:textId="77777777" w:rsidR="000115F7" w:rsidRPr="000115F7" w:rsidRDefault="000115F7" w:rsidP="00AE6254">
      <w:pPr>
        <w:numPr>
          <w:ilvl w:val="0"/>
          <w:numId w:val="7"/>
        </w:numPr>
        <w:spacing w:before="120" w:after="120"/>
        <w:jc w:val="both"/>
        <w:rPr>
          <w:rFonts w:ascii="Times New Roman" w:hAnsi="Times New Roman" w:cs="Times New Roman"/>
          <w:sz w:val="26"/>
          <w:szCs w:val="26"/>
        </w:rPr>
      </w:pPr>
      <w:r w:rsidRPr="000115F7">
        <w:rPr>
          <w:rFonts w:ascii="Times New Roman" w:hAnsi="Times New Roman" w:cs="Times New Roman"/>
          <w:b/>
          <w:bCs/>
          <w:sz w:val="26"/>
          <w:szCs w:val="26"/>
        </w:rPr>
        <w:t>Vận tải container</w:t>
      </w:r>
      <w:r w:rsidRPr="000115F7">
        <w:rPr>
          <w:rFonts w:ascii="Times New Roman" w:hAnsi="Times New Roman" w:cs="Times New Roman"/>
          <w:sz w:val="26"/>
          <w:szCs w:val="26"/>
        </w:rPr>
        <w:t xml:space="preserve"> dẫn đầu với điểm trung bình 74,7, phản ánh áp lực ESG trực tiếp từ khách hàng và việc đầu tư sớm vào nhiên liệu thay thế. </w:t>
      </w:r>
    </w:p>
    <w:p w14:paraId="5069B5E3" w14:textId="77777777" w:rsidR="000115F7" w:rsidRPr="000115F7" w:rsidRDefault="000115F7" w:rsidP="00AE6254">
      <w:pPr>
        <w:numPr>
          <w:ilvl w:val="0"/>
          <w:numId w:val="7"/>
        </w:numPr>
        <w:spacing w:before="120" w:after="120"/>
        <w:jc w:val="both"/>
        <w:rPr>
          <w:rFonts w:ascii="Times New Roman" w:hAnsi="Times New Roman" w:cs="Times New Roman"/>
          <w:sz w:val="26"/>
          <w:szCs w:val="26"/>
        </w:rPr>
      </w:pPr>
      <w:r w:rsidRPr="000115F7">
        <w:rPr>
          <w:rFonts w:ascii="Times New Roman" w:hAnsi="Times New Roman" w:cs="Times New Roman"/>
          <w:b/>
          <w:bCs/>
          <w:sz w:val="26"/>
          <w:szCs w:val="26"/>
        </w:rPr>
        <w:t>Tàu dầu (tanker)</w:t>
      </w:r>
      <w:r w:rsidRPr="000115F7">
        <w:rPr>
          <w:rFonts w:ascii="Times New Roman" w:hAnsi="Times New Roman" w:cs="Times New Roman"/>
          <w:sz w:val="26"/>
          <w:szCs w:val="26"/>
        </w:rPr>
        <w:t xml:space="preserve"> đạt trung bình 55,8 nhưng có độ phân tán rất lớn; phân ngành này bao gồm cả những doanh nghiệp tiên tiến nhất lẫn những công ty hầu như không công bố thông tin ESG. </w:t>
      </w:r>
    </w:p>
    <w:p w14:paraId="71E8ED3D" w14:textId="0CBC3B26" w:rsidR="00AE6254" w:rsidRPr="00AE6254" w:rsidRDefault="000115F7" w:rsidP="00AE6254">
      <w:pPr>
        <w:numPr>
          <w:ilvl w:val="0"/>
          <w:numId w:val="7"/>
        </w:numPr>
        <w:spacing w:before="120" w:after="120"/>
        <w:jc w:val="both"/>
        <w:rPr>
          <w:rFonts w:ascii="Times New Roman" w:hAnsi="Times New Roman" w:cs="Times New Roman"/>
          <w:sz w:val="26"/>
          <w:szCs w:val="26"/>
        </w:rPr>
      </w:pPr>
      <w:r w:rsidRPr="000115F7">
        <w:rPr>
          <w:rFonts w:ascii="Times New Roman" w:hAnsi="Times New Roman" w:cs="Times New Roman"/>
          <w:b/>
          <w:bCs/>
          <w:sz w:val="26"/>
          <w:szCs w:val="26"/>
        </w:rPr>
        <w:t>Tàu hàng rời (dry bulk)</w:t>
      </w:r>
      <w:r w:rsidRPr="000115F7">
        <w:rPr>
          <w:rFonts w:ascii="Times New Roman" w:hAnsi="Times New Roman" w:cs="Times New Roman"/>
          <w:sz w:val="26"/>
          <w:szCs w:val="26"/>
        </w:rPr>
        <w:t xml:space="preserve"> đạt trung bình 49,5, tập trung chủ yếu ở nhóm “Progressing” cao và “Advanced” thấp. </w:t>
      </w:r>
    </w:p>
    <w:p w14:paraId="5150784D" w14:textId="77777777" w:rsidR="000115F7" w:rsidRPr="000115F7" w:rsidRDefault="000115F7" w:rsidP="00AE6254">
      <w:pPr>
        <w:spacing w:before="120" w:after="120"/>
        <w:jc w:val="both"/>
        <w:rPr>
          <w:rFonts w:ascii="Times New Roman" w:hAnsi="Times New Roman" w:cs="Times New Roman"/>
          <w:b/>
          <w:bCs/>
          <w:sz w:val="26"/>
          <w:szCs w:val="26"/>
        </w:rPr>
      </w:pPr>
      <w:r w:rsidRPr="000115F7">
        <w:rPr>
          <w:rFonts w:ascii="Times New Roman" w:hAnsi="Times New Roman" w:cs="Times New Roman"/>
          <w:b/>
          <w:bCs/>
          <w:sz w:val="26"/>
          <w:szCs w:val="26"/>
        </w:rPr>
        <w:t>Ngành hàng hải đang ở bước ngoặt</w:t>
      </w:r>
    </w:p>
    <w:p w14:paraId="03A2AD3E" w14:textId="782F0CCC" w:rsidR="000115F7" w:rsidRPr="000115F7" w:rsidRDefault="000115F7" w:rsidP="00AE6254">
      <w:pPr>
        <w:tabs>
          <w:tab w:val="num" w:pos="720"/>
        </w:tabs>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Ngành hàng hải đang bước vào một giai đoạn chuyển đổi quan trọng khi các yêu cầu ESG ngày càng được thúc đẩy bởi các yếu tố pháp lý, tài chính và thương mại.</w:t>
      </w:r>
      <w:r w:rsidR="00AE6254">
        <w:rPr>
          <w:rFonts w:ascii="Times New Roman" w:hAnsi="Times New Roman" w:cs="Times New Roman"/>
          <w:sz w:val="26"/>
          <w:szCs w:val="26"/>
        </w:rPr>
        <w:t xml:space="preserve"> </w:t>
      </w:r>
      <w:r w:rsidRPr="000115F7">
        <w:rPr>
          <w:rFonts w:ascii="Times New Roman" w:hAnsi="Times New Roman" w:cs="Times New Roman"/>
          <w:sz w:val="26"/>
          <w:szCs w:val="26"/>
        </w:rPr>
        <w:t>Việc</w:t>
      </w:r>
      <w:r w:rsidR="00AE6254">
        <w:rPr>
          <w:rFonts w:ascii="Times New Roman" w:hAnsi="Times New Roman" w:cs="Times New Roman"/>
          <w:sz w:val="26"/>
          <w:szCs w:val="26"/>
        </w:rPr>
        <w:t xml:space="preserve"> m</w:t>
      </w:r>
      <w:r w:rsidRPr="000115F7">
        <w:rPr>
          <w:rFonts w:ascii="Times New Roman" w:hAnsi="Times New Roman" w:cs="Times New Roman"/>
          <w:sz w:val="26"/>
          <w:szCs w:val="26"/>
        </w:rPr>
        <w:t>ở rộng phạm vi áp dụng EU ETS cho vận tải biển</w:t>
      </w:r>
      <w:r w:rsidR="00AE6254">
        <w:rPr>
          <w:rFonts w:ascii="Times New Roman" w:hAnsi="Times New Roman" w:cs="Times New Roman"/>
          <w:sz w:val="26"/>
          <w:szCs w:val="26"/>
        </w:rPr>
        <w:t>, c</w:t>
      </w:r>
      <w:r w:rsidRPr="000115F7">
        <w:rPr>
          <w:rFonts w:ascii="Times New Roman" w:hAnsi="Times New Roman" w:cs="Times New Roman"/>
          <w:sz w:val="26"/>
          <w:szCs w:val="26"/>
        </w:rPr>
        <w:t>ó hiệu lực của Chỉ thị Báo cáo Bền vững Doanh nghiệp (CSRD)</w:t>
      </w:r>
      <w:r w:rsidR="00AE6254">
        <w:rPr>
          <w:rFonts w:ascii="Times New Roman" w:hAnsi="Times New Roman" w:cs="Times New Roman"/>
          <w:sz w:val="26"/>
          <w:szCs w:val="26"/>
        </w:rPr>
        <w:t>, c</w:t>
      </w:r>
      <w:r w:rsidRPr="000115F7">
        <w:rPr>
          <w:rFonts w:ascii="Times New Roman" w:hAnsi="Times New Roman" w:cs="Times New Roman"/>
          <w:sz w:val="26"/>
          <w:szCs w:val="26"/>
        </w:rPr>
        <w:t>ác yêu cầu ngày càng chặt chẽ theo Poseidon Principles</w:t>
      </w:r>
      <w:r w:rsidR="00AE6254">
        <w:rPr>
          <w:rFonts w:ascii="Times New Roman" w:hAnsi="Times New Roman" w:cs="Times New Roman"/>
          <w:sz w:val="26"/>
          <w:szCs w:val="26"/>
        </w:rPr>
        <w:t xml:space="preserve"> và s</w:t>
      </w:r>
      <w:r w:rsidRPr="000115F7">
        <w:rPr>
          <w:rFonts w:ascii="Times New Roman" w:hAnsi="Times New Roman" w:cs="Times New Roman"/>
          <w:sz w:val="26"/>
          <w:szCs w:val="26"/>
        </w:rPr>
        <w:t>ự gia tăng của các khoản vay và tài trợ liên kết với tính bền vững</w:t>
      </w:r>
      <w:r w:rsidR="00AE6254">
        <w:rPr>
          <w:rFonts w:ascii="Times New Roman" w:hAnsi="Times New Roman" w:cs="Times New Roman"/>
          <w:sz w:val="26"/>
          <w:szCs w:val="26"/>
        </w:rPr>
        <w:t xml:space="preserve"> </w:t>
      </w:r>
      <w:r w:rsidRPr="000115F7">
        <w:rPr>
          <w:rFonts w:ascii="Times New Roman" w:hAnsi="Times New Roman" w:cs="Times New Roman"/>
          <w:sz w:val="26"/>
          <w:szCs w:val="26"/>
        </w:rPr>
        <w:t>đang khiến mức độ trưởng thành ESG trở thành yếu tố ảnh hưởng trực tiếp đến</w:t>
      </w:r>
      <w:r w:rsidR="00AE6254">
        <w:rPr>
          <w:rFonts w:ascii="Times New Roman" w:hAnsi="Times New Roman" w:cs="Times New Roman"/>
          <w:sz w:val="26"/>
          <w:szCs w:val="26"/>
        </w:rPr>
        <w:t xml:space="preserve"> k</w:t>
      </w:r>
      <w:r w:rsidRPr="000115F7">
        <w:rPr>
          <w:rFonts w:ascii="Times New Roman" w:hAnsi="Times New Roman" w:cs="Times New Roman"/>
          <w:sz w:val="26"/>
          <w:szCs w:val="26"/>
        </w:rPr>
        <w:t>hả năng tiếp cận thị trường</w:t>
      </w:r>
      <w:r w:rsidR="00AE6254">
        <w:rPr>
          <w:rFonts w:ascii="Times New Roman" w:hAnsi="Times New Roman" w:cs="Times New Roman"/>
          <w:sz w:val="26"/>
          <w:szCs w:val="26"/>
        </w:rPr>
        <w:t>, c</w:t>
      </w:r>
      <w:r w:rsidRPr="000115F7">
        <w:rPr>
          <w:rFonts w:ascii="Times New Roman" w:hAnsi="Times New Roman" w:cs="Times New Roman"/>
          <w:sz w:val="26"/>
          <w:szCs w:val="26"/>
        </w:rPr>
        <w:t>hi phí vốn</w:t>
      </w:r>
      <w:r w:rsidR="00AE6254">
        <w:rPr>
          <w:rFonts w:ascii="Times New Roman" w:hAnsi="Times New Roman" w:cs="Times New Roman"/>
          <w:sz w:val="26"/>
          <w:szCs w:val="26"/>
        </w:rPr>
        <w:t xml:space="preserve"> và q</w:t>
      </w:r>
      <w:r w:rsidRPr="000115F7">
        <w:rPr>
          <w:rFonts w:ascii="Times New Roman" w:hAnsi="Times New Roman" w:cs="Times New Roman"/>
          <w:sz w:val="26"/>
          <w:szCs w:val="26"/>
        </w:rPr>
        <w:t xml:space="preserve">uan hệ thương mại. </w:t>
      </w:r>
    </w:p>
    <w:p w14:paraId="3D7029D4" w14:textId="7C0F5FB5" w:rsidR="000115F7" w:rsidRPr="000115F7" w:rsidRDefault="000115F7" w:rsidP="00AE6254">
      <w:pPr>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 xml:space="preserve">Ngành đã thành công trong việc xây dựng </w:t>
      </w:r>
      <w:r w:rsidRPr="000115F7">
        <w:rPr>
          <w:rFonts w:ascii="Times New Roman" w:hAnsi="Times New Roman" w:cs="Times New Roman"/>
          <w:b/>
          <w:bCs/>
          <w:sz w:val="26"/>
          <w:szCs w:val="26"/>
        </w:rPr>
        <w:t>“</w:t>
      </w:r>
      <w:r w:rsidRPr="00AE6254">
        <w:rPr>
          <w:rFonts w:ascii="Times New Roman" w:hAnsi="Times New Roman" w:cs="Times New Roman"/>
          <w:color w:val="EE0000"/>
          <w:sz w:val="26"/>
          <w:szCs w:val="26"/>
        </w:rPr>
        <w:t>kiến trúc hữu hình</w:t>
      </w:r>
      <w:r w:rsidRPr="000115F7">
        <w:rPr>
          <w:rFonts w:ascii="Times New Roman" w:hAnsi="Times New Roman" w:cs="Times New Roman"/>
          <w:b/>
          <w:bCs/>
          <w:sz w:val="26"/>
          <w:szCs w:val="26"/>
        </w:rPr>
        <w:t>”</w:t>
      </w:r>
      <w:r w:rsidRPr="000115F7">
        <w:rPr>
          <w:rFonts w:ascii="Times New Roman" w:hAnsi="Times New Roman" w:cs="Times New Roman"/>
          <w:sz w:val="26"/>
          <w:szCs w:val="26"/>
        </w:rPr>
        <w:t xml:space="preserve"> cho quản trị ESG. Các ủy ban ESG, báo cáo phát triển bền vững, áp dụng các khuôn khổ báo cáo và tài liệu chiến lược ESG hiện đã trở nên phổ biến trong nhóm “Advanced”, chiếm gần một nửa mẫu khảo sát.</w:t>
      </w:r>
      <w:r w:rsidR="00AE6254">
        <w:rPr>
          <w:rFonts w:ascii="Times New Roman" w:hAnsi="Times New Roman" w:cs="Times New Roman"/>
          <w:sz w:val="26"/>
          <w:szCs w:val="26"/>
        </w:rPr>
        <w:t xml:space="preserve"> </w:t>
      </w:r>
      <w:r w:rsidRPr="000115F7">
        <w:rPr>
          <w:rFonts w:ascii="Times New Roman" w:hAnsi="Times New Roman" w:cs="Times New Roman"/>
          <w:sz w:val="26"/>
          <w:szCs w:val="26"/>
        </w:rPr>
        <w:t>Tuy nhiên, điều vẫn còn kém phát triển chính là các hoạt động thực tế mà những cấu trúc quản trị này được thiết kế để thúc đẩy.</w:t>
      </w:r>
    </w:p>
    <w:p w14:paraId="3A045310" w14:textId="77777777" w:rsidR="000115F7" w:rsidRPr="000115F7" w:rsidRDefault="000115F7" w:rsidP="00AE6254">
      <w:pPr>
        <w:spacing w:before="120" w:after="120"/>
        <w:jc w:val="both"/>
        <w:rPr>
          <w:rFonts w:ascii="Times New Roman" w:hAnsi="Times New Roman" w:cs="Times New Roman"/>
          <w:b/>
          <w:bCs/>
          <w:sz w:val="26"/>
          <w:szCs w:val="26"/>
        </w:rPr>
      </w:pPr>
      <w:r w:rsidRPr="000115F7">
        <w:rPr>
          <w:rFonts w:ascii="Times New Roman" w:hAnsi="Times New Roman" w:cs="Times New Roman"/>
          <w:b/>
          <w:bCs/>
          <w:sz w:val="26"/>
          <w:szCs w:val="26"/>
        </w:rPr>
        <w:t>Bốn phát hiện đặc biệt đáng chú ý</w:t>
      </w:r>
    </w:p>
    <w:p w14:paraId="52F357D1" w14:textId="77777777" w:rsidR="000115F7" w:rsidRPr="000115F7" w:rsidRDefault="000115F7" w:rsidP="00AE6254">
      <w:pPr>
        <w:spacing w:before="120" w:after="120"/>
        <w:jc w:val="both"/>
        <w:rPr>
          <w:rFonts w:ascii="Times New Roman" w:hAnsi="Times New Roman" w:cs="Times New Roman"/>
          <w:b/>
          <w:bCs/>
          <w:sz w:val="26"/>
          <w:szCs w:val="26"/>
        </w:rPr>
      </w:pPr>
      <w:r w:rsidRPr="000115F7">
        <w:rPr>
          <w:rFonts w:ascii="Times New Roman" w:hAnsi="Times New Roman" w:cs="Times New Roman"/>
          <w:b/>
          <w:bCs/>
          <w:sz w:val="26"/>
          <w:szCs w:val="26"/>
        </w:rPr>
        <w:t>1. Khoảng cách giữa quản trị và môi trường</w:t>
      </w:r>
    </w:p>
    <w:p w14:paraId="3FB8FFEB" w14:textId="35DC4600" w:rsidR="000115F7" w:rsidRPr="000115F7" w:rsidRDefault="000115F7" w:rsidP="00AE6254">
      <w:pPr>
        <w:tabs>
          <w:tab w:val="num" w:pos="720"/>
        </w:tabs>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Có 27/48 công ty đạt điểm quản trị cao hơn điểm hiệu quả môi trường thực tế.</w:t>
      </w:r>
      <w:r w:rsidR="00AE6254">
        <w:rPr>
          <w:rFonts w:ascii="Times New Roman" w:hAnsi="Times New Roman" w:cs="Times New Roman"/>
          <w:sz w:val="26"/>
          <w:szCs w:val="26"/>
        </w:rPr>
        <w:t xml:space="preserve"> </w:t>
      </w:r>
      <w:r w:rsidRPr="000115F7">
        <w:rPr>
          <w:rFonts w:ascii="Times New Roman" w:hAnsi="Times New Roman" w:cs="Times New Roman"/>
          <w:sz w:val="26"/>
          <w:szCs w:val="26"/>
        </w:rPr>
        <w:t xml:space="preserve">Điều này cho thấy ngành cần tập trung hơn vào </w:t>
      </w:r>
      <w:r w:rsidRPr="00AE6254">
        <w:rPr>
          <w:rFonts w:ascii="Times New Roman" w:hAnsi="Times New Roman" w:cs="Times New Roman"/>
          <w:sz w:val="26"/>
          <w:szCs w:val="26"/>
        </w:rPr>
        <w:t>chất lượng đầu tư ESG</w:t>
      </w:r>
      <w:r w:rsidRPr="000115F7">
        <w:rPr>
          <w:rFonts w:ascii="Times New Roman" w:hAnsi="Times New Roman" w:cs="Times New Roman"/>
          <w:sz w:val="26"/>
          <w:szCs w:val="26"/>
        </w:rPr>
        <w:t>.</w:t>
      </w:r>
      <w:r w:rsidR="00AE6254">
        <w:rPr>
          <w:rFonts w:ascii="Times New Roman" w:hAnsi="Times New Roman" w:cs="Times New Roman"/>
          <w:sz w:val="26"/>
          <w:szCs w:val="26"/>
        </w:rPr>
        <w:t xml:space="preserve"> </w:t>
      </w:r>
      <w:r w:rsidRPr="000115F7">
        <w:rPr>
          <w:rFonts w:ascii="Times New Roman" w:hAnsi="Times New Roman" w:cs="Times New Roman"/>
          <w:sz w:val="26"/>
          <w:szCs w:val="26"/>
        </w:rPr>
        <w:t>Những doanh nghiệp có vị thế tốt nhất sẽ là những đơn vị có hệ thống quản trị tinh vi đi kèm với các kết quả vận hành có thể kiểm chứng, chẳng hạn như</w:t>
      </w:r>
      <w:r w:rsidR="00AE6254">
        <w:rPr>
          <w:rFonts w:ascii="Times New Roman" w:hAnsi="Times New Roman" w:cs="Times New Roman"/>
          <w:sz w:val="26"/>
          <w:szCs w:val="26"/>
        </w:rPr>
        <w:t xml:space="preserve"> g</w:t>
      </w:r>
      <w:r w:rsidRPr="000115F7">
        <w:rPr>
          <w:rFonts w:ascii="Times New Roman" w:hAnsi="Times New Roman" w:cs="Times New Roman"/>
          <w:sz w:val="26"/>
          <w:szCs w:val="26"/>
        </w:rPr>
        <w:t>iảm phát thải được xác nhận độc lập</w:t>
      </w:r>
      <w:r w:rsidR="00AE6254">
        <w:rPr>
          <w:rFonts w:ascii="Times New Roman" w:hAnsi="Times New Roman" w:cs="Times New Roman"/>
          <w:sz w:val="26"/>
          <w:szCs w:val="26"/>
        </w:rPr>
        <w:t>, l</w:t>
      </w:r>
      <w:r w:rsidRPr="000115F7">
        <w:rPr>
          <w:rFonts w:ascii="Times New Roman" w:hAnsi="Times New Roman" w:cs="Times New Roman"/>
          <w:sz w:val="26"/>
          <w:szCs w:val="26"/>
        </w:rPr>
        <w:t xml:space="preserve">ộ trình </w:t>
      </w:r>
      <w:r w:rsidR="00AE6254">
        <w:rPr>
          <w:rFonts w:ascii="Times New Roman" w:hAnsi="Times New Roman" w:cs="Times New Roman"/>
          <w:sz w:val="26"/>
          <w:szCs w:val="26"/>
        </w:rPr>
        <w:t>loại bỏ khí thải</w:t>
      </w:r>
      <w:r w:rsidRPr="000115F7">
        <w:rPr>
          <w:rFonts w:ascii="Times New Roman" w:hAnsi="Times New Roman" w:cs="Times New Roman"/>
          <w:sz w:val="26"/>
          <w:szCs w:val="26"/>
        </w:rPr>
        <w:t xml:space="preserve"> carbon đáng tin cậy được hỗ trợ bằng các quyết định phân bổ vốn</w:t>
      </w:r>
      <w:r w:rsidR="00AE6254">
        <w:rPr>
          <w:rFonts w:ascii="Times New Roman" w:hAnsi="Times New Roman" w:cs="Times New Roman"/>
          <w:sz w:val="26"/>
          <w:szCs w:val="26"/>
        </w:rPr>
        <w:t xml:space="preserve"> và c</w:t>
      </w:r>
      <w:r w:rsidRPr="000115F7">
        <w:rPr>
          <w:rFonts w:ascii="Times New Roman" w:hAnsi="Times New Roman" w:cs="Times New Roman"/>
          <w:sz w:val="26"/>
          <w:szCs w:val="26"/>
        </w:rPr>
        <w:t xml:space="preserve">ác thực hành chuỗi cung ứng mở rộng trách nhiệm ESG ra ngoài đội tàu của chính doanh nghiệp. </w:t>
      </w:r>
    </w:p>
    <w:p w14:paraId="373EAD18" w14:textId="77777777" w:rsidR="000115F7" w:rsidRPr="000115F7" w:rsidRDefault="000115F7" w:rsidP="00AE6254">
      <w:pPr>
        <w:spacing w:before="120" w:after="120"/>
        <w:jc w:val="both"/>
        <w:rPr>
          <w:rFonts w:ascii="Times New Roman" w:hAnsi="Times New Roman" w:cs="Times New Roman"/>
          <w:b/>
          <w:bCs/>
          <w:sz w:val="26"/>
          <w:szCs w:val="26"/>
        </w:rPr>
      </w:pPr>
      <w:r w:rsidRPr="000115F7">
        <w:rPr>
          <w:rFonts w:ascii="Times New Roman" w:hAnsi="Times New Roman" w:cs="Times New Roman"/>
          <w:b/>
          <w:bCs/>
          <w:sz w:val="26"/>
          <w:szCs w:val="26"/>
        </w:rPr>
        <w:t>2. Lợi thế của công ty niêm yết: cao hơn 12,9 điểm</w:t>
      </w:r>
    </w:p>
    <w:p w14:paraId="311CFC79" w14:textId="7A6DA5BD" w:rsidR="000115F7" w:rsidRPr="000115F7" w:rsidRDefault="000115F7" w:rsidP="00AE6254">
      <w:pPr>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Các công ty niêm yết đạt điểm ESG cao hơn trung bình 12,9 điểm so với doanh nghiệp tư nhân.</w:t>
      </w:r>
      <w:r w:rsidR="00AE6254">
        <w:rPr>
          <w:rFonts w:ascii="Times New Roman" w:hAnsi="Times New Roman" w:cs="Times New Roman"/>
          <w:sz w:val="26"/>
          <w:szCs w:val="26"/>
        </w:rPr>
        <w:t xml:space="preserve"> </w:t>
      </w:r>
      <w:r w:rsidRPr="000115F7">
        <w:rPr>
          <w:rFonts w:ascii="Times New Roman" w:hAnsi="Times New Roman" w:cs="Times New Roman"/>
          <w:sz w:val="26"/>
          <w:szCs w:val="26"/>
        </w:rPr>
        <w:t>Mặc dù điều này được dự đoán trước, nhưng quy mô chênh lệch là rất đáng kể.</w:t>
      </w:r>
      <w:r w:rsidR="00AE6254">
        <w:rPr>
          <w:rFonts w:ascii="Times New Roman" w:hAnsi="Times New Roman" w:cs="Times New Roman"/>
          <w:sz w:val="26"/>
          <w:szCs w:val="26"/>
        </w:rPr>
        <w:t xml:space="preserve"> </w:t>
      </w:r>
      <w:r w:rsidRPr="000115F7">
        <w:rPr>
          <w:rFonts w:ascii="Times New Roman" w:hAnsi="Times New Roman" w:cs="Times New Roman"/>
          <w:sz w:val="26"/>
          <w:szCs w:val="26"/>
        </w:rPr>
        <w:t>Áp lực trách nhiệm từ thị trường vốn tạo ra các động lực ESG mạnh hơn so với việc chỉ tuân thủ quy định hoặc tham gia các sáng kiến tự nguyện.</w:t>
      </w:r>
      <w:r w:rsidR="00AE6254">
        <w:rPr>
          <w:rFonts w:ascii="Times New Roman" w:hAnsi="Times New Roman" w:cs="Times New Roman"/>
          <w:sz w:val="26"/>
          <w:szCs w:val="26"/>
        </w:rPr>
        <w:t xml:space="preserve"> </w:t>
      </w:r>
      <w:r w:rsidRPr="000115F7">
        <w:rPr>
          <w:rFonts w:ascii="Times New Roman" w:hAnsi="Times New Roman" w:cs="Times New Roman"/>
          <w:sz w:val="26"/>
          <w:szCs w:val="26"/>
        </w:rPr>
        <w:t>Khi các khoản vay liên kết với tính bền vững trở thành tiêu chuẩn phổ biến, lợi thế này có thể lan sang cả khối doanh nghiệp tư nhân.</w:t>
      </w:r>
    </w:p>
    <w:p w14:paraId="400E72AB" w14:textId="77777777" w:rsidR="000115F7" w:rsidRPr="000115F7" w:rsidRDefault="000115F7" w:rsidP="00AE6254">
      <w:pPr>
        <w:spacing w:before="120" w:after="120"/>
        <w:jc w:val="both"/>
        <w:rPr>
          <w:rFonts w:ascii="Times New Roman" w:hAnsi="Times New Roman" w:cs="Times New Roman"/>
          <w:b/>
          <w:bCs/>
          <w:sz w:val="26"/>
          <w:szCs w:val="26"/>
        </w:rPr>
      </w:pPr>
      <w:r w:rsidRPr="000115F7">
        <w:rPr>
          <w:rFonts w:ascii="Times New Roman" w:hAnsi="Times New Roman" w:cs="Times New Roman"/>
          <w:b/>
          <w:bCs/>
          <w:sz w:val="26"/>
          <w:szCs w:val="26"/>
        </w:rPr>
        <w:lastRenderedPageBreak/>
        <w:t>3. Nhóm “Compliance-Oriented” có cơ hội cải thiện lớn nhất</w:t>
      </w:r>
    </w:p>
    <w:p w14:paraId="2F2222E1" w14:textId="0027BABA" w:rsidR="000115F7" w:rsidRPr="000115F7" w:rsidRDefault="000115F7" w:rsidP="00AE6254">
      <w:pPr>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 xml:space="preserve">Đây là </w:t>
      </w:r>
      <w:r w:rsidR="00AE6254">
        <w:rPr>
          <w:rFonts w:ascii="Times New Roman" w:hAnsi="Times New Roman" w:cs="Times New Roman"/>
          <w:sz w:val="26"/>
          <w:szCs w:val="26"/>
        </w:rPr>
        <w:t>những</w:t>
      </w:r>
      <w:r w:rsidRPr="000115F7">
        <w:rPr>
          <w:rFonts w:ascii="Times New Roman" w:hAnsi="Times New Roman" w:cs="Times New Roman"/>
          <w:sz w:val="26"/>
          <w:szCs w:val="26"/>
        </w:rPr>
        <w:t xml:space="preserve"> công ty có nguồn lực và trình độ quản lý tương đối tốt, nhưng ESG vẫn được xem là nghĩa vụ tuân thủ thay vì lợi thế cạnh tranh.</w:t>
      </w:r>
      <w:r w:rsidR="00AE6254">
        <w:rPr>
          <w:rFonts w:ascii="Times New Roman" w:hAnsi="Times New Roman" w:cs="Times New Roman"/>
          <w:sz w:val="26"/>
          <w:szCs w:val="26"/>
        </w:rPr>
        <w:t xml:space="preserve"> </w:t>
      </w:r>
      <w:r w:rsidRPr="000115F7">
        <w:rPr>
          <w:rFonts w:ascii="Times New Roman" w:hAnsi="Times New Roman" w:cs="Times New Roman"/>
          <w:sz w:val="26"/>
          <w:szCs w:val="26"/>
        </w:rPr>
        <w:t>Ba yếu tố có thể giúp nhóm này cải thiện đáng kể:</w:t>
      </w:r>
    </w:p>
    <w:p w14:paraId="4BA0E967" w14:textId="77777777" w:rsidR="000115F7" w:rsidRPr="000115F7" w:rsidRDefault="000115F7" w:rsidP="00AE6254">
      <w:pPr>
        <w:numPr>
          <w:ilvl w:val="0"/>
          <w:numId w:val="11"/>
        </w:numPr>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 xml:space="preserve">Xác nhận độc lập dữ liệu phát thải; </w:t>
      </w:r>
    </w:p>
    <w:p w14:paraId="7727022F" w14:textId="77777777" w:rsidR="000115F7" w:rsidRPr="000115F7" w:rsidRDefault="000115F7" w:rsidP="00AE6254">
      <w:pPr>
        <w:numPr>
          <w:ilvl w:val="0"/>
          <w:numId w:val="11"/>
        </w:numPr>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 xml:space="preserve">Quy trình đánh giá trọng yếu kép chính thức; </w:t>
      </w:r>
    </w:p>
    <w:p w14:paraId="2E8BC940" w14:textId="77777777" w:rsidR="000115F7" w:rsidRPr="000115F7" w:rsidRDefault="000115F7" w:rsidP="00AE6254">
      <w:pPr>
        <w:numPr>
          <w:ilvl w:val="0"/>
          <w:numId w:val="11"/>
        </w:numPr>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 xml:space="preserve">Tiếp cận các nguồn tài chính liên kết với tính bền vững. </w:t>
      </w:r>
    </w:p>
    <w:p w14:paraId="307C854C" w14:textId="4E604C82" w:rsidR="000115F7" w:rsidRPr="000115F7" w:rsidRDefault="000115F7" w:rsidP="00AE6254">
      <w:pPr>
        <w:tabs>
          <w:tab w:val="num" w:pos="720"/>
        </w:tabs>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Hầu hết doanh nghiệp trong nhóm này có thể hoàn thành cả ba mục tiêu chỉ trong một chu kỳ báo cáo, từ đó mang lại lợi ích rõ rệt về</w:t>
      </w:r>
      <w:r w:rsidR="00AE6254">
        <w:rPr>
          <w:rFonts w:ascii="Times New Roman" w:hAnsi="Times New Roman" w:cs="Times New Roman"/>
          <w:sz w:val="26"/>
          <w:szCs w:val="26"/>
        </w:rPr>
        <w:t xml:space="preserve"> c</w:t>
      </w:r>
      <w:r w:rsidRPr="000115F7">
        <w:rPr>
          <w:rFonts w:ascii="Times New Roman" w:hAnsi="Times New Roman" w:cs="Times New Roman"/>
          <w:sz w:val="26"/>
          <w:szCs w:val="26"/>
        </w:rPr>
        <w:t>hi phí vay vốn</w:t>
      </w:r>
      <w:r w:rsidR="00AE6254">
        <w:rPr>
          <w:rFonts w:ascii="Times New Roman" w:hAnsi="Times New Roman" w:cs="Times New Roman"/>
          <w:sz w:val="26"/>
          <w:szCs w:val="26"/>
        </w:rPr>
        <w:t>, đ</w:t>
      </w:r>
      <w:r w:rsidRPr="000115F7">
        <w:rPr>
          <w:rFonts w:ascii="Times New Roman" w:hAnsi="Times New Roman" w:cs="Times New Roman"/>
          <w:sz w:val="26"/>
          <w:szCs w:val="26"/>
        </w:rPr>
        <w:t>iều kiện tham gia thị trường thuê tàu</w:t>
      </w:r>
      <w:r w:rsidR="00AE6254">
        <w:rPr>
          <w:rFonts w:ascii="Times New Roman" w:hAnsi="Times New Roman" w:cs="Times New Roman"/>
          <w:sz w:val="26"/>
          <w:szCs w:val="26"/>
        </w:rPr>
        <w:t>, h</w:t>
      </w:r>
      <w:r w:rsidRPr="000115F7">
        <w:rPr>
          <w:rFonts w:ascii="Times New Roman" w:hAnsi="Times New Roman" w:cs="Times New Roman"/>
          <w:sz w:val="26"/>
          <w:szCs w:val="26"/>
        </w:rPr>
        <w:t xml:space="preserve">Hình ảnh đối với nhà đầu tư. </w:t>
      </w:r>
    </w:p>
    <w:p w14:paraId="341275A6" w14:textId="77777777" w:rsidR="000115F7" w:rsidRPr="000115F7" w:rsidRDefault="000115F7" w:rsidP="00AE6254">
      <w:pPr>
        <w:spacing w:before="120" w:after="120"/>
        <w:jc w:val="both"/>
        <w:rPr>
          <w:rFonts w:ascii="Times New Roman" w:hAnsi="Times New Roman" w:cs="Times New Roman"/>
          <w:b/>
          <w:bCs/>
          <w:sz w:val="26"/>
          <w:szCs w:val="26"/>
        </w:rPr>
      </w:pPr>
      <w:r w:rsidRPr="000115F7">
        <w:rPr>
          <w:rFonts w:ascii="Times New Roman" w:hAnsi="Times New Roman" w:cs="Times New Roman"/>
          <w:b/>
          <w:bCs/>
          <w:sz w:val="26"/>
          <w:szCs w:val="26"/>
        </w:rPr>
        <w:t>4. “Điểm mù” về môi trường đặc thù hàng hải</w:t>
      </w:r>
    </w:p>
    <w:p w14:paraId="574AEE5A" w14:textId="09C16D62" w:rsidR="000115F7" w:rsidRPr="000115F7" w:rsidRDefault="000115F7" w:rsidP="00AE6254">
      <w:pPr>
        <w:tabs>
          <w:tab w:val="num" w:pos="720"/>
        </w:tabs>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Đây có thể là phát hiện có tính định hướng tương lai nhất của nghiên cứu.</w:t>
      </w:r>
      <w:r w:rsidR="00AE6254">
        <w:rPr>
          <w:rFonts w:ascii="Times New Roman" w:hAnsi="Times New Roman" w:cs="Times New Roman"/>
          <w:sz w:val="26"/>
          <w:szCs w:val="26"/>
        </w:rPr>
        <w:t xml:space="preserve"> </w:t>
      </w:r>
      <w:r w:rsidRPr="000115F7">
        <w:rPr>
          <w:rFonts w:ascii="Times New Roman" w:hAnsi="Times New Roman" w:cs="Times New Roman"/>
          <w:sz w:val="26"/>
          <w:szCs w:val="26"/>
        </w:rPr>
        <w:t>Một loạt tiêu chí môi trường đạt điểm gần như bằng không</w:t>
      </w:r>
      <w:r w:rsidR="00AE6254">
        <w:rPr>
          <w:rFonts w:ascii="Times New Roman" w:hAnsi="Times New Roman" w:cs="Times New Roman"/>
          <w:sz w:val="26"/>
          <w:szCs w:val="26"/>
        </w:rPr>
        <w:t>, gồm n</w:t>
      </w:r>
      <w:r w:rsidRPr="000115F7">
        <w:rPr>
          <w:rFonts w:ascii="Times New Roman" w:hAnsi="Times New Roman" w:cs="Times New Roman"/>
          <w:sz w:val="26"/>
          <w:szCs w:val="26"/>
        </w:rPr>
        <w:t>găn ngừa va chạm với cá voi</w:t>
      </w:r>
      <w:r w:rsidR="00AE6254">
        <w:rPr>
          <w:rFonts w:ascii="Times New Roman" w:hAnsi="Times New Roman" w:cs="Times New Roman"/>
          <w:sz w:val="26"/>
          <w:szCs w:val="26"/>
        </w:rPr>
        <w:t>, q</w:t>
      </w:r>
      <w:r w:rsidRPr="000115F7">
        <w:rPr>
          <w:rFonts w:ascii="Times New Roman" w:hAnsi="Times New Roman" w:cs="Times New Roman"/>
          <w:sz w:val="26"/>
          <w:szCs w:val="26"/>
        </w:rPr>
        <w:t>uản lý tiếng ồn dưới nước</w:t>
      </w:r>
      <w:r w:rsidR="00AE6254">
        <w:rPr>
          <w:rFonts w:ascii="Times New Roman" w:hAnsi="Times New Roman" w:cs="Times New Roman"/>
          <w:sz w:val="26"/>
          <w:szCs w:val="26"/>
        </w:rPr>
        <w:t>, t</w:t>
      </w:r>
      <w:r w:rsidRPr="000115F7">
        <w:rPr>
          <w:rFonts w:ascii="Times New Roman" w:hAnsi="Times New Roman" w:cs="Times New Roman"/>
          <w:sz w:val="26"/>
          <w:szCs w:val="26"/>
        </w:rPr>
        <w:t>uân thủ IHM</w:t>
      </w:r>
      <w:r w:rsidR="00AE6254">
        <w:rPr>
          <w:rFonts w:ascii="Times New Roman" w:hAnsi="Times New Roman" w:cs="Times New Roman"/>
          <w:sz w:val="26"/>
          <w:szCs w:val="26"/>
        </w:rPr>
        <w:t xml:space="preserve"> và hành hải </w:t>
      </w:r>
      <w:r w:rsidRPr="000115F7">
        <w:rPr>
          <w:rFonts w:ascii="Times New Roman" w:hAnsi="Times New Roman" w:cs="Times New Roman"/>
          <w:sz w:val="26"/>
          <w:szCs w:val="26"/>
        </w:rPr>
        <w:t xml:space="preserve">nhạy cảm với đa dạng sinh học. </w:t>
      </w:r>
    </w:p>
    <w:p w14:paraId="58292C34" w14:textId="4B4D2364" w:rsidR="000115F7" w:rsidRPr="000115F7" w:rsidRDefault="000115F7" w:rsidP="00AE6254">
      <w:pPr>
        <w:tabs>
          <w:tab w:val="num" w:pos="720"/>
        </w:tabs>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Hiện nay, các quy định của IMO, EU ETS và hầu hết các khuôn khổ ESG phổ biến chưa tạo động lực đủ mạnh để doanh nghiệp công bố các nội dung này.</w:t>
      </w:r>
      <w:r w:rsidR="00AE6254">
        <w:rPr>
          <w:rFonts w:ascii="Times New Roman" w:hAnsi="Times New Roman" w:cs="Times New Roman"/>
          <w:sz w:val="26"/>
          <w:szCs w:val="26"/>
        </w:rPr>
        <w:t xml:space="preserve"> </w:t>
      </w:r>
      <w:r w:rsidRPr="000115F7">
        <w:rPr>
          <w:rFonts w:ascii="Times New Roman" w:hAnsi="Times New Roman" w:cs="Times New Roman"/>
          <w:sz w:val="26"/>
          <w:szCs w:val="26"/>
        </w:rPr>
        <w:t>Tuy nhiên, các tiêu chuẩn sắp tới như</w:t>
      </w:r>
      <w:r w:rsidR="00AE6254">
        <w:rPr>
          <w:rFonts w:ascii="Times New Roman" w:hAnsi="Times New Roman" w:cs="Times New Roman"/>
          <w:sz w:val="26"/>
          <w:szCs w:val="26"/>
        </w:rPr>
        <w:t xml:space="preserve"> </w:t>
      </w:r>
      <w:r w:rsidRPr="000115F7">
        <w:rPr>
          <w:rFonts w:ascii="Times New Roman" w:hAnsi="Times New Roman" w:cs="Times New Roman"/>
          <w:sz w:val="26"/>
          <w:szCs w:val="26"/>
        </w:rPr>
        <w:t>Taskforce on Nature-related Financial Disclosures (TNFD)</w:t>
      </w:r>
      <w:r w:rsidR="00AE6254">
        <w:rPr>
          <w:rFonts w:ascii="Times New Roman" w:hAnsi="Times New Roman" w:cs="Times New Roman"/>
          <w:sz w:val="26"/>
          <w:szCs w:val="26"/>
        </w:rPr>
        <w:t xml:space="preserve">, </w:t>
      </w:r>
      <w:r w:rsidRPr="000115F7">
        <w:rPr>
          <w:rFonts w:ascii="Times New Roman" w:hAnsi="Times New Roman" w:cs="Times New Roman"/>
          <w:sz w:val="26"/>
          <w:szCs w:val="26"/>
        </w:rPr>
        <w:t>ESRS E3</w:t>
      </w:r>
      <w:r w:rsidR="00AE6254">
        <w:rPr>
          <w:rFonts w:ascii="Times New Roman" w:hAnsi="Times New Roman" w:cs="Times New Roman"/>
          <w:sz w:val="26"/>
          <w:szCs w:val="26"/>
        </w:rPr>
        <w:t xml:space="preserve">, </w:t>
      </w:r>
      <w:r w:rsidRPr="000115F7">
        <w:rPr>
          <w:rFonts w:ascii="Times New Roman" w:hAnsi="Times New Roman" w:cs="Times New Roman"/>
          <w:sz w:val="26"/>
          <w:szCs w:val="26"/>
        </w:rPr>
        <w:t>ESRS E4 sẽ thay đổi điều đó.</w:t>
      </w:r>
    </w:p>
    <w:p w14:paraId="3E91A081" w14:textId="77777777" w:rsidR="000115F7" w:rsidRDefault="000115F7" w:rsidP="00AE6254">
      <w:pPr>
        <w:spacing w:before="120" w:after="120"/>
        <w:jc w:val="both"/>
        <w:rPr>
          <w:rFonts w:ascii="Times New Roman" w:hAnsi="Times New Roman" w:cs="Times New Roman"/>
          <w:sz w:val="26"/>
          <w:szCs w:val="26"/>
        </w:rPr>
      </w:pPr>
      <w:r w:rsidRPr="000115F7">
        <w:rPr>
          <w:rFonts w:ascii="Times New Roman" w:hAnsi="Times New Roman" w:cs="Times New Roman"/>
          <w:sz w:val="26"/>
          <w:szCs w:val="26"/>
        </w:rPr>
        <w:t>Các doanh nghiệp sớm triển khai các biện pháp liên quan đến những lĩnh vực này sẽ có lợi thế tiên phong và nhiều khả năng trở thành thế hệ lãnh đạo ESG tiếp theo của ngành hàng hải, thay vì chỉ đơn thuần đáp ứng các yêu cầu pháp lý hiện hành.</w:t>
      </w:r>
    </w:p>
    <w:p w14:paraId="54FEC9BB" w14:textId="704621A8" w:rsidR="000115F7" w:rsidRPr="00AE6254" w:rsidRDefault="00AE6254" w:rsidP="00AE6254">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0115F7" w:rsidRPr="00AE6254" w:rsidSect="000115F7">
      <w:pgSz w:w="12240" w:h="15840"/>
      <w:pgMar w:top="90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D67"/>
    <w:multiLevelType w:val="multilevel"/>
    <w:tmpl w:val="56A2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63EC4"/>
    <w:multiLevelType w:val="multilevel"/>
    <w:tmpl w:val="2A6A8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9265E"/>
    <w:multiLevelType w:val="multilevel"/>
    <w:tmpl w:val="48C4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5193A"/>
    <w:multiLevelType w:val="multilevel"/>
    <w:tmpl w:val="DD0A70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C071F"/>
    <w:multiLevelType w:val="multilevel"/>
    <w:tmpl w:val="E1B6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01BEA"/>
    <w:multiLevelType w:val="multilevel"/>
    <w:tmpl w:val="2A1A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64A83"/>
    <w:multiLevelType w:val="multilevel"/>
    <w:tmpl w:val="9FDE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F41657"/>
    <w:multiLevelType w:val="multilevel"/>
    <w:tmpl w:val="8DC8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685844"/>
    <w:multiLevelType w:val="multilevel"/>
    <w:tmpl w:val="FB36DC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D41C45"/>
    <w:multiLevelType w:val="multilevel"/>
    <w:tmpl w:val="8EFC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E15812"/>
    <w:multiLevelType w:val="multilevel"/>
    <w:tmpl w:val="FC18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A51E3E"/>
    <w:multiLevelType w:val="multilevel"/>
    <w:tmpl w:val="DD9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303536"/>
    <w:multiLevelType w:val="multilevel"/>
    <w:tmpl w:val="32CA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06100"/>
    <w:multiLevelType w:val="multilevel"/>
    <w:tmpl w:val="F40E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307272">
    <w:abstractNumId w:val="8"/>
  </w:num>
  <w:num w:numId="2" w16cid:durableId="652637449">
    <w:abstractNumId w:val="3"/>
  </w:num>
  <w:num w:numId="3" w16cid:durableId="1928420163">
    <w:abstractNumId w:val="7"/>
  </w:num>
  <w:num w:numId="4" w16cid:durableId="177816285">
    <w:abstractNumId w:val="12"/>
  </w:num>
  <w:num w:numId="5" w16cid:durableId="1967194158">
    <w:abstractNumId w:val="10"/>
  </w:num>
  <w:num w:numId="6" w16cid:durableId="1376588858">
    <w:abstractNumId w:val="1"/>
  </w:num>
  <w:num w:numId="7" w16cid:durableId="501118868">
    <w:abstractNumId w:val="11"/>
  </w:num>
  <w:num w:numId="8" w16cid:durableId="526992483">
    <w:abstractNumId w:val="6"/>
  </w:num>
  <w:num w:numId="9" w16cid:durableId="1050568214">
    <w:abstractNumId w:val="9"/>
  </w:num>
  <w:num w:numId="10" w16cid:durableId="590087484">
    <w:abstractNumId w:val="4"/>
  </w:num>
  <w:num w:numId="11" w16cid:durableId="590239457">
    <w:abstractNumId w:val="13"/>
  </w:num>
  <w:num w:numId="12" w16cid:durableId="28264098">
    <w:abstractNumId w:val="5"/>
  </w:num>
  <w:num w:numId="13" w16cid:durableId="1305089753">
    <w:abstractNumId w:val="0"/>
  </w:num>
  <w:num w:numId="14" w16cid:durableId="859274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F7"/>
    <w:rsid w:val="000115F7"/>
    <w:rsid w:val="000501D0"/>
    <w:rsid w:val="000F55A1"/>
    <w:rsid w:val="00AE6254"/>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6E74"/>
  <w15:chartTrackingRefBased/>
  <w15:docId w15:val="{447A9A5A-7F41-4A00-A45C-04143B60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5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5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5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5F7"/>
    <w:rPr>
      <w:rFonts w:eastAsiaTheme="majorEastAsia" w:cstheme="majorBidi"/>
      <w:color w:val="272727" w:themeColor="text1" w:themeTint="D8"/>
    </w:rPr>
  </w:style>
  <w:style w:type="paragraph" w:styleId="Title">
    <w:name w:val="Title"/>
    <w:basedOn w:val="Normal"/>
    <w:next w:val="Normal"/>
    <w:link w:val="TitleChar"/>
    <w:uiPriority w:val="10"/>
    <w:qFormat/>
    <w:rsid w:val="00011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5F7"/>
    <w:pPr>
      <w:spacing w:before="160"/>
      <w:jc w:val="center"/>
    </w:pPr>
    <w:rPr>
      <w:i/>
      <w:iCs/>
      <w:color w:val="404040" w:themeColor="text1" w:themeTint="BF"/>
    </w:rPr>
  </w:style>
  <w:style w:type="character" w:customStyle="1" w:styleId="QuoteChar">
    <w:name w:val="Quote Char"/>
    <w:basedOn w:val="DefaultParagraphFont"/>
    <w:link w:val="Quote"/>
    <w:uiPriority w:val="29"/>
    <w:rsid w:val="000115F7"/>
    <w:rPr>
      <w:i/>
      <w:iCs/>
      <w:color w:val="404040" w:themeColor="text1" w:themeTint="BF"/>
    </w:rPr>
  </w:style>
  <w:style w:type="paragraph" w:styleId="ListParagraph">
    <w:name w:val="List Paragraph"/>
    <w:basedOn w:val="Normal"/>
    <w:uiPriority w:val="34"/>
    <w:qFormat/>
    <w:rsid w:val="000115F7"/>
    <w:pPr>
      <w:ind w:left="720"/>
      <w:contextualSpacing/>
    </w:pPr>
  </w:style>
  <w:style w:type="character" w:styleId="IntenseEmphasis">
    <w:name w:val="Intense Emphasis"/>
    <w:basedOn w:val="DefaultParagraphFont"/>
    <w:uiPriority w:val="21"/>
    <w:qFormat/>
    <w:rsid w:val="000115F7"/>
    <w:rPr>
      <w:i/>
      <w:iCs/>
      <w:color w:val="0F4761" w:themeColor="accent1" w:themeShade="BF"/>
    </w:rPr>
  </w:style>
  <w:style w:type="paragraph" w:styleId="IntenseQuote">
    <w:name w:val="Intense Quote"/>
    <w:basedOn w:val="Normal"/>
    <w:next w:val="Normal"/>
    <w:link w:val="IntenseQuoteChar"/>
    <w:uiPriority w:val="30"/>
    <w:qFormat/>
    <w:rsid w:val="00011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5F7"/>
    <w:rPr>
      <w:i/>
      <w:iCs/>
      <w:color w:val="0F4761" w:themeColor="accent1" w:themeShade="BF"/>
    </w:rPr>
  </w:style>
  <w:style w:type="character" w:styleId="IntenseReference">
    <w:name w:val="Intense Reference"/>
    <w:basedOn w:val="DefaultParagraphFont"/>
    <w:uiPriority w:val="32"/>
    <w:qFormat/>
    <w:rsid w:val="000115F7"/>
    <w:rPr>
      <w:b/>
      <w:bCs/>
      <w:smallCaps/>
      <w:color w:val="0F4761" w:themeColor="accent1" w:themeShade="BF"/>
      <w:spacing w:val="5"/>
    </w:rPr>
  </w:style>
  <w:style w:type="character" w:styleId="Hyperlink">
    <w:name w:val="Hyperlink"/>
    <w:basedOn w:val="DefaultParagraphFont"/>
    <w:uiPriority w:val="99"/>
    <w:unhideWhenUsed/>
    <w:rsid w:val="000115F7"/>
    <w:rPr>
      <w:color w:val="467886" w:themeColor="hyperlink"/>
      <w:u w:val="single"/>
    </w:rPr>
  </w:style>
  <w:style w:type="character" w:styleId="UnresolvedMention">
    <w:name w:val="Unresolved Mention"/>
    <w:basedOn w:val="DefaultParagraphFont"/>
    <w:uiPriority w:val="99"/>
    <w:semiHidden/>
    <w:unhideWhenUsed/>
    <w:rsid w:val="00011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shipping-industry-esg-progress-under-scrutiny-in-new-global-index/lr-industry-snapshot-esg/" TargetMode="External"/><Relationship Id="rId3" Type="http://schemas.openxmlformats.org/officeDocument/2006/relationships/settings" Target="settings.xml"/><Relationship Id="rId7" Type="http://schemas.openxmlformats.org/officeDocument/2006/relationships/hyperlink" Target="https://www.lr.org?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safety4sea.com/category/others/sustainabili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2026-06-07T08:41:00Z</dcterms:created>
  <dcterms:modified xsi:type="dcterms:W3CDTF">2026-06-07T08:59:00Z</dcterms:modified>
</cp:coreProperties>
</file>