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F6FE" w14:textId="4C818E61" w:rsidR="007E3D0B" w:rsidRPr="006A0471" w:rsidRDefault="007E3D0B" w:rsidP="007E3D0B">
      <w:pPr>
        <w:jc w:val="center"/>
        <w:rPr>
          <w:rFonts w:ascii="Times New Roman" w:hAnsi="Times New Roman" w:cs="Times New Roman"/>
          <w:b/>
          <w:bCs/>
          <w:color w:val="EE0000"/>
          <w:sz w:val="40"/>
          <w:szCs w:val="40"/>
        </w:rPr>
      </w:pPr>
      <w:r w:rsidRPr="006A0471">
        <w:rPr>
          <w:rFonts w:ascii="Times New Roman" w:hAnsi="Times New Roman" w:cs="Times New Roman"/>
          <w:b/>
          <w:bCs/>
          <w:color w:val="EE0000"/>
          <w:sz w:val="40"/>
          <w:szCs w:val="40"/>
        </w:rPr>
        <w:t>INTERCARGO: 17 tàu hàng rời bị tổn thất toàn bộ trong giai đoạn 2016–2025</w:t>
      </w:r>
    </w:p>
    <w:p w14:paraId="758172E1" w14:textId="4CE53775" w:rsidR="007E3D0B" w:rsidRPr="007E3D0B" w:rsidRDefault="007E3D0B" w:rsidP="007E3D0B">
      <w:pPr>
        <w:jc w:val="right"/>
      </w:pPr>
      <w:hyperlink r:id="rId7" w:history="1">
        <w:r w:rsidRPr="007E3D0B">
          <w:rPr>
            <w:rStyle w:val="Hyperlink"/>
          </w:rPr>
          <w:t>Safety</w:t>
        </w:r>
      </w:hyperlink>
      <w:r w:rsidRPr="007E3D0B">
        <w:t> </w:t>
      </w:r>
    </w:p>
    <w:p w14:paraId="022106F8" w14:textId="38A00461" w:rsidR="007E3D0B" w:rsidRPr="007E3D0B" w:rsidRDefault="007E3D0B" w:rsidP="007E3D0B">
      <w:r w:rsidRPr="007E3D0B">
        <w:drawing>
          <wp:inline distT="0" distB="0" distL="0" distR="0" wp14:anchorId="64756462" wp14:editId="302FE63A">
            <wp:extent cx="5943600" cy="2974975"/>
            <wp:effectExtent l="0" t="0" r="0" b="0"/>
            <wp:docPr id="32033186" name="Picture 6" descr="bulk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k carr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7FFCCAE" w14:textId="77777777" w:rsidR="007E3D0B" w:rsidRPr="007E3D0B" w:rsidRDefault="007E3D0B" w:rsidP="007E3D0B">
      <w:pPr>
        <w:spacing w:before="120" w:after="120"/>
        <w:jc w:val="both"/>
        <w:rPr>
          <w:rFonts w:ascii="Times New Roman" w:hAnsi="Times New Roman" w:cs="Times New Roman"/>
          <w:sz w:val="26"/>
          <w:szCs w:val="26"/>
        </w:rPr>
      </w:pPr>
      <w:r w:rsidRPr="007E3D0B">
        <w:rPr>
          <w:rFonts w:ascii="Times New Roman" w:hAnsi="Times New Roman" w:cs="Times New Roman"/>
          <w:b/>
          <w:bCs/>
          <w:sz w:val="26"/>
          <w:szCs w:val="26"/>
        </w:rPr>
        <w:t>INTERCARGO</w:t>
      </w:r>
      <w:r w:rsidRPr="007E3D0B">
        <w:rPr>
          <w:rFonts w:ascii="Times New Roman" w:hAnsi="Times New Roman" w:cs="Times New Roman"/>
          <w:sz w:val="26"/>
          <w:szCs w:val="26"/>
        </w:rPr>
        <w:t xml:space="preserve"> đã công bố Báo cáo Tai nạn Tàu hàng rời (Bulk Carrier Casualty Report) phiên bản mới nhất, cung cấp cái nhìn toàn diện về tình hình an toàn của đội tàu hàng rời trong giai đoạn 2016–2025 và chỉ ra những xu hướng tai nạn đáng chú ý.</w:t>
      </w:r>
    </w:p>
    <w:p w14:paraId="4B5BF977" w14:textId="2916C827" w:rsidR="007E3D0B" w:rsidRPr="007E3D0B" w:rsidRDefault="007E3D0B" w:rsidP="007E3D0B">
      <w:p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Báo cáo đánh giá hiệu quả an toàn của tàu hàng rời theo chu kỳ 10 năm liên tục nhằm xác định </w:t>
      </w:r>
      <w:r>
        <w:rPr>
          <w:rFonts w:ascii="Times New Roman" w:hAnsi="Times New Roman" w:cs="Times New Roman"/>
          <w:sz w:val="26"/>
          <w:szCs w:val="26"/>
        </w:rPr>
        <w:t xml:space="preserve">ra </w:t>
      </w:r>
      <w:r w:rsidRPr="007E3D0B">
        <w:rPr>
          <w:rFonts w:ascii="Times New Roman" w:hAnsi="Times New Roman" w:cs="Times New Roman"/>
          <w:sz w:val="26"/>
          <w:szCs w:val="26"/>
        </w:rPr>
        <w:t>các rủi ro và cải thiện an toàn cho thuyền viên cũng như hoạt động khai thác tàu.</w:t>
      </w:r>
    </w:p>
    <w:p w14:paraId="19C166AE" w14:textId="2C15B81C"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 xml:space="preserve">Phiên bản </w:t>
      </w:r>
      <w:r w:rsidRPr="007E3D0B">
        <w:rPr>
          <w:rFonts w:ascii="Times New Roman" w:hAnsi="Times New Roman" w:cs="Times New Roman"/>
          <w:b/>
          <w:bCs/>
          <w:sz w:val="26"/>
          <w:szCs w:val="26"/>
        </w:rPr>
        <w:t>Bulk Carrier Casualty Report 2026</w:t>
      </w:r>
      <w:r w:rsidRPr="007E3D0B">
        <w:rPr>
          <w:rFonts w:ascii="Times New Roman" w:hAnsi="Times New Roman" w:cs="Times New Roman"/>
          <w:sz w:val="26"/>
          <w:szCs w:val="26"/>
        </w:rPr>
        <w:t xml:space="preserve"> cho thấy trong giai đoạn từ năm 2016 đến năm 2025</w:t>
      </w:r>
      <w:r>
        <w:rPr>
          <w:rFonts w:ascii="Times New Roman" w:hAnsi="Times New Roman" w:cs="Times New Roman"/>
          <w:sz w:val="26"/>
          <w:szCs w:val="26"/>
        </w:rPr>
        <w:t xml:space="preserve"> c</w:t>
      </w:r>
      <w:r w:rsidRPr="007E3D0B">
        <w:rPr>
          <w:rFonts w:ascii="Times New Roman" w:hAnsi="Times New Roman" w:cs="Times New Roman"/>
          <w:sz w:val="26"/>
          <w:szCs w:val="26"/>
        </w:rPr>
        <w:t>ó 17 tàu hàng rời trên 10.000 DWT được ghi nhận là tổn thất toàn bộ</w:t>
      </w:r>
      <w:r w:rsidRPr="007E3D0B">
        <w:rPr>
          <w:rFonts w:ascii="Times New Roman" w:hAnsi="Times New Roman" w:cs="Times New Roman"/>
          <w:sz w:val="26"/>
          <w:szCs w:val="26"/>
        </w:rPr>
        <w:t xml:space="preserve">, </w:t>
      </w:r>
      <w:r w:rsidRPr="007E3D0B">
        <w:rPr>
          <w:rFonts w:ascii="Times New Roman" w:hAnsi="Times New Roman" w:cs="Times New Roman"/>
          <w:sz w:val="26"/>
          <w:szCs w:val="26"/>
        </w:rPr>
        <w:t xml:space="preserve">71 thuyền viên đã thiệt mạng trong các tai nạn này. </w:t>
      </w:r>
    </w:p>
    <w:p w14:paraId="58F58580" w14:textId="77777777" w:rsidR="007E3D0B" w:rsidRPr="007E3D0B" w:rsidRDefault="007E3D0B" w:rsidP="007E3D0B">
      <w:pPr>
        <w:spacing w:before="120" w:after="120"/>
        <w:jc w:val="both"/>
        <w:rPr>
          <w:rFonts w:ascii="Times New Roman" w:hAnsi="Times New Roman" w:cs="Times New Roman"/>
          <w:b/>
          <w:bCs/>
          <w:sz w:val="26"/>
          <w:szCs w:val="26"/>
        </w:rPr>
      </w:pPr>
      <w:r w:rsidRPr="007E3D0B">
        <w:rPr>
          <w:rFonts w:ascii="Times New Roman" w:hAnsi="Times New Roman" w:cs="Times New Roman"/>
          <w:b/>
          <w:bCs/>
          <w:sz w:val="26"/>
          <w:szCs w:val="26"/>
        </w:rPr>
        <w:t>Phân tích tổn thất toàn bộ giai đoạn 2016–2025</w:t>
      </w:r>
    </w:p>
    <w:p w14:paraId="6799B7A6" w14:textId="08E2E5A4" w:rsidR="007E3D0B" w:rsidRPr="007E3D0B" w:rsidRDefault="007E3D0B" w:rsidP="007E3D0B">
      <w:p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Phân tích dữ liệu trong giai đoạn 2016–2025 cho thấy tỷ lệ tai nạn tàu hàng rời tính theo trung bình động 10 năm tiếp tục giảm một cách ổn định.</w:t>
      </w:r>
      <w:r>
        <w:rPr>
          <w:rFonts w:ascii="Times New Roman" w:hAnsi="Times New Roman" w:cs="Times New Roman"/>
          <w:sz w:val="26"/>
          <w:szCs w:val="26"/>
        </w:rPr>
        <w:t xml:space="preserve"> </w:t>
      </w:r>
      <w:r w:rsidRPr="007E3D0B">
        <w:rPr>
          <w:rFonts w:ascii="Times New Roman" w:hAnsi="Times New Roman" w:cs="Times New Roman"/>
          <w:sz w:val="26"/>
          <w:szCs w:val="26"/>
        </w:rPr>
        <w:t>Xu hướng suy giảm này phản ánh sự cải thiện bền vững về mức độ an toàn của ngành vận tải hàng rời.</w:t>
      </w:r>
      <w:r>
        <w:rPr>
          <w:rFonts w:ascii="Times New Roman" w:hAnsi="Times New Roman" w:cs="Times New Roman"/>
          <w:sz w:val="26"/>
          <w:szCs w:val="26"/>
        </w:rPr>
        <w:t xml:space="preserve"> </w:t>
      </w:r>
      <w:r w:rsidRPr="007E3D0B">
        <w:rPr>
          <w:rFonts w:ascii="Times New Roman" w:hAnsi="Times New Roman" w:cs="Times New Roman"/>
          <w:sz w:val="26"/>
          <w:szCs w:val="26"/>
        </w:rPr>
        <w:t>Đáng chú ý</w:t>
      </w:r>
      <w:r>
        <w:rPr>
          <w:rFonts w:ascii="Times New Roman" w:hAnsi="Times New Roman" w:cs="Times New Roman"/>
          <w:sz w:val="26"/>
          <w:szCs w:val="26"/>
        </w:rPr>
        <w:t xml:space="preserve"> là</w:t>
      </w:r>
      <w:r w:rsidRPr="007E3D0B">
        <w:rPr>
          <w:rFonts w:ascii="Times New Roman" w:hAnsi="Times New Roman" w:cs="Times New Roman"/>
          <w:sz w:val="26"/>
          <w:szCs w:val="26"/>
        </w:rPr>
        <w:t xml:space="preserve"> các kết quả trên diễn ra trong bối cảnh đội tàu hàng rời toàn cầu tăng trưởng đáng kể.</w:t>
      </w:r>
    </w:p>
    <w:p w14:paraId="0F275524"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Theo số liệu ngành:</w:t>
      </w:r>
    </w:p>
    <w:p w14:paraId="72FA06E3" w14:textId="77777777" w:rsidR="007E3D0B" w:rsidRPr="007E3D0B" w:rsidRDefault="007E3D0B" w:rsidP="007E3D0B">
      <w:pPr>
        <w:numPr>
          <w:ilvl w:val="0"/>
          <w:numId w:val="6"/>
        </w:numPr>
        <w:spacing w:after="0"/>
        <w:jc w:val="both"/>
        <w:rPr>
          <w:rFonts w:ascii="Times New Roman" w:hAnsi="Times New Roman" w:cs="Times New Roman"/>
          <w:sz w:val="26"/>
          <w:szCs w:val="26"/>
        </w:rPr>
      </w:pPr>
      <w:r w:rsidRPr="007E3D0B">
        <w:rPr>
          <w:rFonts w:ascii="Times New Roman" w:hAnsi="Times New Roman" w:cs="Times New Roman"/>
          <w:sz w:val="26"/>
          <w:szCs w:val="26"/>
        </w:rPr>
        <w:t xml:space="preserve">Năm 2013 có khoảng 10.400 tàu hàng rời đang hoạt động; </w:t>
      </w:r>
    </w:p>
    <w:p w14:paraId="7CE7373C" w14:textId="77777777" w:rsidR="007E3D0B" w:rsidRPr="007E3D0B" w:rsidRDefault="007E3D0B" w:rsidP="007E3D0B">
      <w:pPr>
        <w:numPr>
          <w:ilvl w:val="0"/>
          <w:numId w:val="6"/>
        </w:numPr>
        <w:spacing w:after="0"/>
        <w:jc w:val="both"/>
        <w:rPr>
          <w:rFonts w:ascii="Times New Roman" w:hAnsi="Times New Roman" w:cs="Times New Roman"/>
          <w:sz w:val="26"/>
          <w:szCs w:val="26"/>
        </w:rPr>
      </w:pPr>
      <w:r w:rsidRPr="007E3D0B">
        <w:rPr>
          <w:rFonts w:ascii="Times New Roman" w:hAnsi="Times New Roman" w:cs="Times New Roman"/>
          <w:sz w:val="26"/>
          <w:szCs w:val="26"/>
        </w:rPr>
        <w:t xml:space="preserve">Đến tháng 12 năm 2024, con số này tăng lên 12.544 tàu; </w:t>
      </w:r>
    </w:p>
    <w:p w14:paraId="4D3EF3E7" w14:textId="77777777" w:rsidR="007E3D0B" w:rsidRPr="007E3D0B" w:rsidRDefault="007E3D0B" w:rsidP="007E3D0B">
      <w:pPr>
        <w:numPr>
          <w:ilvl w:val="0"/>
          <w:numId w:val="6"/>
        </w:numPr>
        <w:spacing w:after="0"/>
        <w:jc w:val="both"/>
        <w:rPr>
          <w:rFonts w:ascii="Times New Roman" w:hAnsi="Times New Roman" w:cs="Times New Roman"/>
          <w:sz w:val="26"/>
          <w:szCs w:val="26"/>
        </w:rPr>
      </w:pPr>
      <w:r w:rsidRPr="007E3D0B">
        <w:rPr>
          <w:rFonts w:ascii="Times New Roman" w:hAnsi="Times New Roman" w:cs="Times New Roman"/>
          <w:sz w:val="26"/>
          <w:szCs w:val="26"/>
        </w:rPr>
        <w:t xml:space="preserve">Đến tháng 12 năm 2025, đội tàu đã đạt 13.669 tàu, theo dữ liệu của MIS. </w:t>
      </w:r>
    </w:p>
    <w:p w14:paraId="139D8E16" w14:textId="653A2126" w:rsidR="007E3D0B" w:rsidRDefault="007E3D0B" w:rsidP="007E3D0B">
      <w:p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lastRenderedPageBreak/>
        <w:t>Mặc dù quy mô đội tàu tăng mạnh, số vụ tổn thất hàng năm của các tàu hàng rời trên 10.000 DWT vẫn duy trì ở mức thấp kể từ năm 2018.</w:t>
      </w:r>
      <w:r>
        <w:rPr>
          <w:rFonts w:ascii="Times New Roman" w:hAnsi="Times New Roman" w:cs="Times New Roman"/>
          <w:sz w:val="26"/>
          <w:szCs w:val="26"/>
        </w:rPr>
        <w:t xml:space="preserve"> </w:t>
      </w:r>
      <w:r w:rsidRPr="007E3D0B">
        <w:rPr>
          <w:rFonts w:ascii="Times New Roman" w:hAnsi="Times New Roman" w:cs="Times New Roman"/>
          <w:sz w:val="26"/>
          <w:szCs w:val="26"/>
        </w:rPr>
        <w:t>Đây là một thành tựu đáng ghi nhận nếu xét đến những thách thức khai thác ngày càng lớn như</w:t>
      </w:r>
      <w:r>
        <w:rPr>
          <w:rFonts w:ascii="Times New Roman" w:hAnsi="Times New Roman" w:cs="Times New Roman"/>
          <w:sz w:val="26"/>
          <w:szCs w:val="26"/>
        </w:rPr>
        <w:t xml:space="preserve"> k</w:t>
      </w:r>
      <w:r w:rsidRPr="007E3D0B">
        <w:rPr>
          <w:rFonts w:ascii="Times New Roman" w:hAnsi="Times New Roman" w:cs="Times New Roman"/>
          <w:sz w:val="26"/>
          <w:szCs w:val="26"/>
        </w:rPr>
        <w:t>hối lượng thương mại toàn cầu gia tăng</w:t>
      </w:r>
      <w:r>
        <w:rPr>
          <w:rFonts w:ascii="Times New Roman" w:hAnsi="Times New Roman" w:cs="Times New Roman"/>
          <w:sz w:val="26"/>
          <w:szCs w:val="26"/>
        </w:rPr>
        <w:t>, t</w:t>
      </w:r>
      <w:r w:rsidRPr="007E3D0B">
        <w:rPr>
          <w:rFonts w:ascii="Times New Roman" w:hAnsi="Times New Roman" w:cs="Times New Roman"/>
          <w:sz w:val="26"/>
          <w:szCs w:val="26"/>
        </w:rPr>
        <w:t>ình trạng ùn tắc cảng</w:t>
      </w:r>
      <w:r>
        <w:rPr>
          <w:rFonts w:ascii="Times New Roman" w:hAnsi="Times New Roman" w:cs="Times New Roman"/>
          <w:sz w:val="26"/>
          <w:szCs w:val="26"/>
        </w:rPr>
        <w:t>, t</w:t>
      </w:r>
      <w:r w:rsidRPr="007E3D0B">
        <w:rPr>
          <w:rFonts w:ascii="Times New Roman" w:hAnsi="Times New Roman" w:cs="Times New Roman"/>
          <w:sz w:val="26"/>
          <w:szCs w:val="26"/>
        </w:rPr>
        <w:t>uổi tàu ngày càng cao</w:t>
      </w:r>
      <w:r>
        <w:rPr>
          <w:rFonts w:ascii="Times New Roman" w:hAnsi="Times New Roman" w:cs="Times New Roman"/>
          <w:sz w:val="26"/>
          <w:szCs w:val="26"/>
        </w:rPr>
        <w:t>, đ</w:t>
      </w:r>
      <w:r w:rsidRPr="007E3D0B">
        <w:rPr>
          <w:rFonts w:ascii="Times New Roman" w:hAnsi="Times New Roman" w:cs="Times New Roman"/>
          <w:sz w:val="26"/>
          <w:szCs w:val="26"/>
        </w:rPr>
        <w:t xml:space="preserve">iều kiện thời tiết bất lợi. </w:t>
      </w:r>
    </w:p>
    <w:p w14:paraId="6BFC585B" w14:textId="05C8B4C9" w:rsidR="0094108A" w:rsidRPr="007E3D0B" w:rsidRDefault="0094108A" w:rsidP="007E3D0B">
      <w:pPr>
        <w:spacing w:before="120" w:after="120"/>
        <w:jc w:val="both"/>
        <w:rPr>
          <w:rFonts w:ascii="Times New Roman" w:hAnsi="Times New Roman" w:cs="Times New Roman"/>
          <w:sz w:val="26"/>
          <w:szCs w:val="26"/>
        </w:rPr>
      </w:pPr>
      <w:r w:rsidRPr="007E3D0B">
        <w:drawing>
          <wp:inline distT="0" distB="0" distL="0" distR="0" wp14:anchorId="7FCC2901" wp14:editId="5FF400F2">
            <wp:extent cx="5943600" cy="4453255"/>
            <wp:effectExtent l="0" t="0" r="0" b="4445"/>
            <wp:docPr id="2120730000" name="Picture 5" descr="INTERCAR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ERCARG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3255"/>
                    </a:xfrm>
                    <a:prstGeom prst="rect">
                      <a:avLst/>
                    </a:prstGeom>
                    <a:noFill/>
                    <a:ln>
                      <a:noFill/>
                    </a:ln>
                  </pic:spPr>
                </pic:pic>
              </a:graphicData>
            </a:graphic>
          </wp:inline>
        </w:drawing>
      </w:r>
    </w:p>
    <w:p w14:paraId="7B024660" w14:textId="77777777" w:rsidR="007E3D0B" w:rsidRPr="007E3D0B" w:rsidRDefault="007E3D0B" w:rsidP="007E3D0B">
      <w:pPr>
        <w:spacing w:before="120" w:after="120"/>
        <w:jc w:val="both"/>
        <w:rPr>
          <w:rFonts w:ascii="Times New Roman" w:hAnsi="Times New Roman" w:cs="Times New Roman"/>
          <w:b/>
          <w:bCs/>
          <w:sz w:val="26"/>
          <w:szCs w:val="26"/>
        </w:rPr>
      </w:pPr>
      <w:r w:rsidRPr="007E3D0B">
        <w:rPr>
          <w:rFonts w:ascii="Times New Roman" w:hAnsi="Times New Roman" w:cs="Times New Roman"/>
          <w:b/>
          <w:bCs/>
          <w:sz w:val="26"/>
          <w:szCs w:val="26"/>
        </w:rPr>
        <w:t>Những yếu tố góp phần cải thiện an toàn</w:t>
      </w:r>
    </w:p>
    <w:p w14:paraId="2152BB6D" w14:textId="77777777" w:rsidR="007E3D0B" w:rsidRPr="007E3D0B" w:rsidRDefault="007E3D0B" w:rsidP="007E3D0B">
      <w:p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Theo báo cáo, sự cải thiện này có thể được lý giải bởi nhiều yếu tố, bao gồm:</w:t>
      </w:r>
    </w:p>
    <w:p w14:paraId="7DED0376" w14:textId="77777777" w:rsidR="007E3D0B" w:rsidRPr="007E3D0B" w:rsidRDefault="007E3D0B" w:rsidP="007E3D0B">
      <w:pPr>
        <w:numPr>
          <w:ilvl w:val="0"/>
          <w:numId w:val="8"/>
        </w:num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Nâng cao các quy trình an toàn; </w:t>
      </w:r>
    </w:p>
    <w:p w14:paraId="08AAAEEC" w14:textId="77777777" w:rsidR="007E3D0B" w:rsidRPr="007E3D0B" w:rsidRDefault="007E3D0B" w:rsidP="007E3D0B">
      <w:pPr>
        <w:numPr>
          <w:ilvl w:val="0"/>
          <w:numId w:val="8"/>
        </w:num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Chương trình đào tạo thuyền viên hiệu quả hơn; </w:t>
      </w:r>
    </w:p>
    <w:p w14:paraId="17053A53" w14:textId="77777777" w:rsidR="007E3D0B" w:rsidRPr="007E3D0B" w:rsidRDefault="007E3D0B" w:rsidP="007E3D0B">
      <w:pPr>
        <w:numPr>
          <w:ilvl w:val="0"/>
          <w:numId w:val="8"/>
        </w:num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Thiết kế tàu tiên tiến; </w:t>
      </w:r>
    </w:p>
    <w:p w14:paraId="3E9B4A89" w14:textId="77777777" w:rsidR="007E3D0B" w:rsidRPr="007E3D0B" w:rsidRDefault="007E3D0B" w:rsidP="007E3D0B">
      <w:pPr>
        <w:numPr>
          <w:ilvl w:val="0"/>
          <w:numId w:val="8"/>
        </w:num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Ứng dụng công nghệ mới; </w:t>
      </w:r>
    </w:p>
    <w:p w14:paraId="66872F14" w14:textId="77777777" w:rsidR="007E3D0B" w:rsidRPr="007E3D0B" w:rsidRDefault="007E3D0B" w:rsidP="007E3D0B">
      <w:pPr>
        <w:numPr>
          <w:ilvl w:val="0"/>
          <w:numId w:val="8"/>
        </w:num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Tăng cường tuân thủ các quy định quốc tế. </w:t>
      </w:r>
    </w:p>
    <w:p w14:paraId="6B25ECC7" w14:textId="77777777" w:rsidR="007E3D0B" w:rsidRPr="007E3D0B" w:rsidRDefault="007E3D0B" w:rsidP="007E3D0B">
      <w:p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Tuy nhiên, INTERCARGO nhấn mạnh rằng ngành vẫn cần duy trì sự cảnh giác cao độ, đặc biệt đối với:</w:t>
      </w:r>
    </w:p>
    <w:p w14:paraId="28F97851" w14:textId="2F819864" w:rsidR="007E3D0B" w:rsidRPr="007E3D0B" w:rsidRDefault="007E3D0B" w:rsidP="007E3D0B">
      <w:pPr>
        <w:numPr>
          <w:ilvl w:val="0"/>
          <w:numId w:val="9"/>
        </w:num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Nguy cơ </w:t>
      </w:r>
      <w:r w:rsidRPr="0094108A">
        <w:rPr>
          <w:rFonts w:ascii="Times New Roman" w:hAnsi="Times New Roman" w:cs="Times New Roman"/>
          <w:sz w:val="26"/>
          <w:szCs w:val="26"/>
        </w:rPr>
        <w:t xml:space="preserve">hóa lỏng </w:t>
      </w:r>
      <w:r w:rsidR="0094108A">
        <w:rPr>
          <w:rFonts w:ascii="Times New Roman" w:hAnsi="Times New Roman" w:cs="Times New Roman"/>
          <w:sz w:val="26"/>
          <w:szCs w:val="26"/>
        </w:rPr>
        <w:t xml:space="preserve">của </w:t>
      </w:r>
      <w:r w:rsidRPr="0094108A">
        <w:rPr>
          <w:rFonts w:ascii="Times New Roman" w:hAnsi="Times New Roman" w:cs="Times New Roman"/>
          <w:sz w:val="26"/>
          <w:szCs w:val="26"/>
        </w:rPr>
        <w:t>hàng rời (cargo liquefaction);</w:t>
      </w:r>
      <w:r w:rsidRPr="007E3D0B">
        <w:rPr>
          <w:rFonts w:ascii="Times New Roman" w:hAnsi="Times New Roman" w:cs="Times New Roman"/>
          <w:sz w:val="26"/>
          <w:szCs w:val="26"/>
        </w:rPr>
        <w:t xml:space="preserve"> </w:t>
      </w:r>
    </w:p>
    <w:p w14:paraId="0589962B" w14:textId="7B76E7B5" w:rsidR="007E3D0B" w:rsidRPr="007E3D0B" w:rsidRDefault="007E3D0B" w:rsidP="007E3D0B">
      <w:pPr>
        <w:numPr>
          <w:ilvl w:val="0"/>
          <w:numId w:val="9"/>
        </w:num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Dịch chuyển</w:t>
      </w:r>
      <w:r w:rsidR="0094108A">
        <w:rPr>
          <w:rFonts w:ascii="Times New Roman" w:hAnsi="Times New Roman" w:cs="Times New Roman"/>
          <w:sz w:val="26"/>
          <w:szCs w:val="26"/>
        </w:rPr>
        <w:t xml:space="preserve"> của</w:t>
      </w:r>
      <w:r w:rsidRPr="007E3D0B">
        <w:rPr>
          <w:rFonts w:ascii="Times New Roman" w:hAnsi="Times New Roman" w:cs="Times New Roman"/>
          <w:sz w:val="26"/>
          <w:szCs w:val="26"/>
        </w:rPr>
        <w:t xml:space="preserve"> hàng hóa (cargo shift); </w:t>
      </w:r>
    </w:p>
    <w:p w14:paraId="0A52A1D4" w14:textId="1266744D" w:rsidR="007E3D0B" w:rsidRPr="0094108A" w:rsidRDefault="007E3D0B" w:rsidP="007E3D0B">
      <w:pPr>
        <w:numPr>
          <w:ilvl w:val="0"/>
          <w:numId w:val="9"/>
        </w:numPr>
        <w:spacing w:before="120" w:after="120"/>
        <w:jc w:val="both"/>
        <w:rPr>
          <w:rFonts w:ascii="Times New Roman" w:hAnsi="Times New Roman" w:cs="Times New Roman"/>
          <w:sz w:val="26"/>
          <w:szCs w:val="26"/>
        </w:rPr>
      </w:pPr>
      <w:proofErr w:type="gramStart"/>
      <w:r w:rsidRPr="007E3D0B">
        <w:rPr>
          <w:rFonts w:ascii="Times New Roman" w:hAnsi="Times New Roman" w:cs="Times New Roman"/>
          <w:sz w:val="26"/>
          <w:szCs w:val="26"/>
        </w:rPr>
        <w:lastRenderedPageBreak/>
        <w:t>An</w:t>
      </w:r>
      <w:proofErr w:type="gramEnd"/>
      <w:r w:rsidRPr="007E3D0B">
        <w:rPr>
          <w:rFonts w:ascii="Times New Roman" w:hAnsi="Times New Roman" w:cs="Times New Roman"/>
          <w:sz w:val="26"/>
          <w:szCs w:val="26"/>
        </w:rPr>
        <w:t xml:space="preserve"> toàn hàng hải với trọng tâm là </w:t>
      </w:r>
      <w:r w:rsidRPr="0094108A">
        <w:rPr>
          <w:rFonts w:ascii="Times New Roman" w:hAnsi="Times New Roman" w:cs="Times New Roman"/>
          <w:sz w:val="26"/>
          <w:szCs w:val="26"/>
        </w:rPr>
        <w:t xml:space="preserve">lập </w:t>
      </w:r>
      <w:r w:rsidR="0094108A">
        <w:rPr>
          <w:rFonts w:ascii="Times New Roman" w:hAnsi="Times New Roman" w:cs="Times New Roman"/>
          <w:sz w:val="26"/>
          <w:szCs w:val="26"/>
        </w:rPr>
        <w:t>tuyến</w:t>
      </w:r>
      <w:r w:rsidRPr="0094108A">
        <w:rPr>
          <w:rFonts w:ascii="Times New Roman" w:hAnsi="Times New Roman" w:cs="Times New Roman"/>
          <w:sz w:val="26"/>
          <w:szCs w:val="26"/>
        </w:rPr>
        <w:t xml:space="preserve"> hành trình từ cầu cảng đến cầu cảng (berth-to-berth passage planning). </w:t>
      </w:r>
    </w:p>
    <w:p w14:paraId="4D1A085C" w14:textId="77777777" w:rsidR="007E3D0B" w:rsidRPr="007E3D0B" w:rsidRDefault="007E3D0B" w:rsidP="007E3D0B">
      <w:pPr>
        <w:spacing w:before="120" w:after="120"/>
        <w:jc w:val="both"/>
        <w:rPr>
          <w:rFonts w:ascii="Times New Roman" w:hAnsi="Times New Roman" w:cs="Times New Roman"/>
          <w:b/>
          <w:bCs/>
          <w:sz w:val="26"/>
          <w:szCs w:val="26"/>
        </w:rPr>
      </w:pPr>
      <w:r w:rsidRPr="007E3D0B">
        <w:rPr>
          <w:rFonts w:ascii="Times New Roman" w:hAnsi="Times New Roman" w:cs="Times New Roman"/>
          <w:b/>
          <w:bCs/>
          <w:sz w:val="26"/>
          <w:szCs w:val="26"/>
        </w:rPr>
        <w:t>Các số liệu chính về tổn thất</w:t>
      </w:r>
    </w:p>
    <w:p w14:paraId="00D6DDE5" w14:textId="26BFA7B7" w:rsidR="007E3D0B" w:rsidRPr="0094108A" w:rsidRDefault="0094108A" w:rsidP="006A0471">
      <w:pPr>
        <w:tabs>
          <w:tab w:val="num" w:pos="720"/>
        </w:tabs>
        <w:spacing w:before="120" w:after="120"/>
        <w:jc w:val="both"/>
        <w:rPr>
          <w:rFonts w:ascii="Times New Roman" w:hAnsi="Times New Roman" w:cs="Times New Roman"/>
          <w:sz w:val="26"/>
          <w:szCs w:val="26"/>
        </w:rPr>
      </w:pPr>
      <w:r>
        <w:rPr>
          <w:rFonts w:ascii="Times New Roman" w:hAnsi="Times New Roman" w:cs="Times New Roman"/>
          <w:b/>
          <w:bCs/>
          <w:sz w:val="26"/>
          <w:szCs w:val="26"/>
        </w:rPr>
        <w:t>Số lượng</w:t>
      </w:r>
      <w:r w:rsidR="007E3D0B" w:rsidRPr="007E3D0B">
        <w:rPr>
          <w:rFonts w:ascii="Times New Roman" w:hAnsi="Times New Roman" w:cs="Times New Roman"/>
          <w:b/>
          <w:bCs/>
          <w:sz w:val="26"/>
          <w:szCs w:val="26"/>
        </w:rPr>
        <w:t xml:space="preserve"> tàu</w:t>
      </w:r>
      <w:r>
        <w:rPr>
          <w:rFonts w:ascii="Times New Roman" w:hAnsi="Times New Roman" w:cs="Times New Roman"/>
          <w:b/>
          <w:bCs/>
          <w:sz w:val="26"/>
          <w:szCs w:val="26"/>
        </w:rPr>
        <w:t xml:space="preserve"> bị tổn thất</w:t>
      </w:r>
      <w:r w:rsidR="006A0471">
        <w:rPr>
          <w:rFonts w:ascii="Times New Roman" w:hAnsi="Times New Roman" w:cs="Times New Roman"/>
          <w:b/>
          <w:bCs/>
          <w:sz w:val="26"/>
          <w:szCs w:val="26"/>
        </w:rPr>
        <w:t xml:space="preserve">: </w:t>
      </w:r>
      <w:r w:rsidR="007E3D0B" w:rsidRPr="0094108A">
        <w:rPr>
          <w:rFonts w:ascii="Times New Roman" w:hAnsi="Times New Roman" w:cs="Times New Roman"/>
          <w:sz w:val="26"/>
          <w:szCs w:val="26"/>
        </w:rPr>
        <w:t>Có 17 tàu hàng rời trên 10.000 DWT bị tổn thất toàn bộ</w:t>
      </w:r>
      <w:r w:rsidRPr="0094108A">
        <w:rPr>
          <w:rFonts w:ascii="Times New Roman" w:hAnsi="Times New Roman" w:cs="Times New Roman"/>
          <w:sz w:val="26"/>
          <w:szCs w:val="26"/>
        </w:rPr>
        <w:t xml:space="preserve">, </w:t>
      </w:r>
      <w:r>
        <w:rPr>
          <w:rFonts w:ascii="Times New Roman" w:hAnsi="Times New Roman" w:cs="Times New Roman"/>
          <w:sz w:val="26"/>
          <w:szCs w:val="26"/>
        </w:rPr>
        <w:t>t</w:t>
      </w:r>
      <w:r w:rsidR="007E3D0B" w:rsidRPr="0094108A">
        <w:rPr>
          <w:rFonts w:ascii="Times New Roman" w:hAnsi="Times New Roman" w:cs="Times New Roman"/>
          <w:sz w:val="26"/>
          <w:szCs w:val="26"/>
        </w:rPr>
        <w:t xml:space="preserve">rung bình 1,7 tàu/năm. </w:t>
      </w:r>
    </w:p>
    <w:p w14:paraId="48BED874" w14:textId="7D8C86FF" w:rsidR="007E3D0B" w:rsidRPr="0094108A" w:rsidRDefault="007E3D0B" w:rsidP="006A0471">
      <w:pPr>
        <w:tabs>
          <w:tab w:val="num" w:pos="720"/>
        </w:tabs>
        <w:spacing w:before="120" w:after="120"/>
        <w:jc w:val="both"/>
        <w:rPr>
          <w:rFonts w:ascii="Times New Roman" w:hAnsi="Times New Roman" w:cs="Times New Roman"/>
          <w:sz w:val="26"/>
          <w:szCs w:val="26"/>
        </w:rPr>
      </w:pPr>
      <w:r w:rsidRPr="007E3D0B">
        <w:rPr>
          <w:rFonts w:ascii="Times New Roman" w:hAnsi="Times New Roman" w:cs="Times New Roman"/>
          <w:b/>
          <w:bCs/>
          <w:sz w:val="26"/>
          <w:szCs w:val="26"/>
        </w:rPr>
        <w:t xml:space="preserve">Tổn thất </w:t>
      </w:r>
      <w:r w:rsidR="0094108A">
        <w:rPr>
          <w:rFonts w:ascii="Times New Roman" w:hAnsi="Times New Roman" w:cs="Times New Roman"/>
          <w:b/>
          <w:bCs/>
          <w:sz w:val="26"/>
          <w:szCs w:val="26"/>
        </w:rPr>
        <w:t>về sinh</w:t>
      </w:r>
      <w:r w:rsidRPr="007E3D0B">
        <w:rPr>
          <w:rFonts w:ascii="Times New Roman" w:hAnsi="Times New Roman" w:cs="Times New Roman"/>
          <w:b/>
          <w:bCs/>
          <w:sz w:val="26"/>
          <w:szCs w:val="26"/>
        </w:rPr>
        <w:t xml:space="preserve"> mạng</w:t>
      </w:r>
      <w:r w:rsidR="006A0471">
        <w:rPr>
          <w:rFonts w:ascii="Times New Roman" w:hAnsi="Times New Roman" w:cs="Times New Roman"/>
          <w:b/>
          <w:bCs/>
          <w:sz w:val="26"/>
          <w:szCs w:val="26"/>
        </w:rPr>
        <w:t xml:space="preserve">: </w:t>
      </w:r>
      <w:r w:rsidRPr="0094108A">
        <w:rPr>
          <w:rFonts w:ascii="Times New Roman" w:hAnsi="Times New Roman" w:cs="Times New Roman"/>
          <w:sz w:val="26"/>
          <w:szCs w:val="26"/>
        </w:rPr>
        <w:t xml:space="preserve">71 thuyền viên thiệt mạng; Trung bình khoảng 7 người/năm. </w:t>
      </w:r>
    </w:p>
    <w:p w14:paraId="1DA9D113" w14:textId="119F8325" w:rsidR="007E3D0B" w:rsidRPr="007E3D0B" w:rsidRDefault="007E3D0B" w:rsidP="006A0471">
      <w:pPr>
        <w:tabs>
          <w:tab w:val="num" w:pos="720"/>
        </w:tabs>
        <w:spacing w:before="120" w:after="120"/>
        <w:jc w:val="both"/>
        <w:rPr>
          <w:rFonts w:ascii="Times New Roman" w:hAnsi="Times New Roman" w:cs="Times New Roman"/>
          <w:sz w:val="26"/>
          <w:szCs w:val="26"/>
        </w:rPr>
      </w:pPr>
      <w:r w:rsidRPr="007E3D0B">
        <w:rPr>
          <w:rFonts w:ascii="Times New Roman" w:hAnsi="Times New Roman" w:cs="Times New Roman"/>
          <w:b/>
          <w:bCs/>
          <w:sz w:val="26"/>
          <w:szCs w:val="26"/>
        </w:rPr>
        <w:t>Tuổi tàu</w:t>
      </w:r>
      <w:r w:rsidR="006A0471">
        <w:rPr>
          <w:rFonts w:ascii="Times New Roman" w:hAnsi="Times New Roman" w:cs="Times New Roman"/>
          <w:b/>
          <w:bCs/>
          <w:sz w:val="26"/>
          <w:szCs w:val="26"/>
        </w:rPr>
        <w:t xml:space="preserve">: </w:t>
      </w:r>
      <w:r w:rsidRPr="007E3D0B">
        <w:rPr>
          <w:rFonts w:ascii="Times New Roman" w:hAnsi="Times New Roman" w:cs="Times New Roman"/>
          <w:sz w:val="26"/>
          <w:szCs w:val="26"/>
        </w:rPr>
        <w:t xml:space="preserve">Tuổi trung bình của các tàu bị tổn thất là </w:t>
      </w:r>
      <w:r w:rsidRPr="0094108A">
        <w:rPr>
          <w:rFonts w:ascii="Times New Roman" w:hAnsi="Times New Roman" w:cs="Times New Roman"/>
          <w:sz w:val="26"/>
          <w:szCs w:val="26"/>
        </w:rPr>
        <w:t>18,1 năm</w:t>
      </w:r>
      <w:r w:rsidRPr="007E3D0B">
        <w:rPr>
          <w:rFonts w:ascii="Times New Roman" w:hAnsi="Times New Roman" w:cs="Times New Roman"/>
          <w:sz w:val="26"/>
          <w:szCs w:val="26"/>
        </w:rPr>
        <w:t xml:space="preserve">. </w:t>
      </w:r>
    </w:p>
    <w:p w14:paraId="37925C45" w14:textId="057F1D53" w:rsidR="007E3D0B" w:rsidRPr="0094108A" w:rsidRDefault="007E3D0B" w:rsidP="006A0471">
      <w:pPr>
        <w:tabs>
          <w:tab w:val="num" w:pos="720"/>
        </w:tabs>
        <w:spacing w:before="120" w:after="120"/>
        <w:jc w:val="both"/>
        <w:rPr>
          <w:rFonts w:ascii="Times New Roman" w:hAnsi="Times New Roman" w:cs="Times New Roman"/>
          <w:sz w:val="26"/>
          <w:szCs w:val="26"/>
        </w:rPr>
      </w:pPr>
      <w:r w:rsidRPr="007E3D0B">
        <w:rPr>
          <w:rFonts w:ascii="Times New Roman" w:hAnsi="Times New Roman" w:cs="Times New Roman"/>
          <w:b/>
          <w:bCs/>
          <w:sz w:val="26"/>
          <w:szCs w:val="26"/>
        </w:rPr>
        <w:t>Tổng trọng tải bị mất</w:t>
      </w:r>
      <w:r w:rsidR="006A0471">
        <w:rPr>
          <w:rFonts w:ascii="Times New Roman" w:hAnsi="Times New Roman" w:cs="Times New Roman"/>
          <w:b/>
          <w:bCs/>
          <w:sz w:val="26"/>
          <w:szCs w:val="26"/>
        </w:rPr>
        <w:t xml:space="preserve">: </w:t>
      </w:r>
      <w:r w:rsidRPr="0094108A">
        <w:rPr>
          <w:rFonts w:ascii="Times New Roman" w:hAnsi="Times New Roman" w:cs="Times New Roman"/>
          <w:sz w:val="26"/>
          <w:szCs w:val="26"/>
        </w:rPr>
        <w:t>Tổng trọng tải của các tàu bị tổn thất đạt 1,63 triệu DWT</w:t>
      </w:r>
      <w:r w:rsidR="0094108A" w:rsidRPr="0094108A">
        <w:rPr>
          <w:rFonts w:ascii="Times New Roman" w:hAnsi="Times New Roman" w:cs="Times New Roman"/>
          <w:sz w:val="26"/>
          <w:szCs w:val="26"/>
        </w:rPr>
        <w:t xml:space="preserve">, </w:t>
      </w:r>
      <w:r w:rsidR="0094108A">
        <w:rPr>
          <w:rFonts w:ascii="Times New Roman" w:hAnsi="Times New Roman" w:cs="Times New Roman"/>
          <w:sz w:val="26"/>
          <w:szCs w:val="26"/>
        </w:rPr>
        <w:t>t</w:t>
      </w:r>
      <w:r w:rsidRPr="0094108A">
        <w:rPr>
          <w:rFonts w:ascii="Times New Roman" w:hAnsi="Times New Roman" w:cs="Times New Roman"/>
          <w:sz w:val="26"/>
          <w:szCs w:val="26"/>
        </w:rPr>
        <w:t xml:space="preserve">rung bình khoảng 163.030 DWT/năm. </w:t>
      </w:r>
    </w:p>
    <w:p w14:paraId="36395179" w14:textId="16000463" w:rsidR="007E3D0B" w:rsidRPr="007E3D0B" w:rsidRDefault="0094108A" w:rsidP="007E3D0B">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H</w:t>
      </w:r>
      <w:r w:rsidRPr="007E3D0B">
        <w:rPr>
          <w:rFonts w:ascii="Times New Roman" w:hAnsi="Times New Roman" w:cs="Times New Roman"/>
          <w:b/>
          <w:bCs/>
          <w:sz w:val="26"/>
          <w:szCs w:val="26"/>
        </w:rPr>
        <w:t>àng rời</w:t>
      </w:r>
      <w:r w:rsidRPr="007E3D0B">
        <w:rPr>
          <w:rFonts w:ascii="Times New Roman" w:hAnsi="Times New Roman" w:cs="Times New Roman"/>
          <w:b/>
          <w:bCs/>
          <w:sz w:val="26"/>
          <w:szCs w:val="26"/>
        </w:rPr>
        <w:t xml:space="preserve"> </w:t>
      </w:r>
      <w:r>
        <w:rPr>
          <w:rFonts w:ascii="Times New Roman" w:hAnsi="Times New Roman" w:cs="Times New Roman"/>
          <w:b/>
          <w:bCs/>
          <w:sz w:val="26"/>
          <w:szCs w:val="26"/>
        </w:rPr>
        <w:t>bị h</w:t>
      </w:r>
      <w:r w:rsidR="007E3D0B" w:rsidRPr="007E3D0B">
        <w:rPr>
          <w:rFonts w:ascii="Times New Roman" w:hAnsi="Times New Roman" w:cs="Times New Roman"/>
          <w:b/>
          <w:bCs/>
          <w:sz w:val="26"/>
          <w:szCs w:val="26"/>
        </w:rPr>
        <w:t>óa lỏng vẫn là nguyên nhân gây chết người lớn nhất</w:t>
      </w:r>
    </w:p>
    <w:p w14:paraId="4FF76426" w14:textId="608D8263" w:rsidR="007E3D0B" w:rsidRPr="007E3D0B" w:rsidRDefault="007E3D0B" w:rsidP="007E3D0B">
      <w:p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Hiện tượng </w:t>
      </w:r>
      <w:r w:rsidRPr="0094108A">
        <w:rPr>
          <w:rFonts w:ascii="Times New Roman" w:hAnsi="Times New Roman" w:cs="Times New Roman"/>
          <w:sz w:val="26"/>
          <w:szCs w:val="26"/>
        </w:rPr>
        <w:t xml:space="preserve">hóa lỏng </w:t>
      </w:r>
      <w:r w:rsidR="0094108A" w:rsidRPr="0094108A">
        <w:rPr>
          <w:rFonts w:ascii="Times New Roman" w:hAnsi="Times New Roman" w:cs="Times New Roman"/>
          <w:sz w:val="26"/>
          <w:szCs w:val="26"/>
        </w:rPr>
        <w:t xml:space="preserve">của </w:t>
      </w:r>
      <w:r w:rsidRPr="0094108A">
        <w:rPr>
          <w:rFonts w:ascii="Times New Roman" w:hAnsi="Times New Roman" w:cs="Times New Roman"/>
          <w:sz w:val="26"/>
          <w:szCs w:val="26"/>
        </w:rPr>
        <w:t>hàng rời (cargo liquefaction)</w:t>
      </w:r>
      <w:r w:rsidRPr="007E3D0B">
        <w:rPr>
          <w:rFonts w:ascii="Times New Roman" w:hAnsi="Times New Roman" w:cs="Times New Roman"/>
          <w:sz w:val="26"/>
          <w:szCs w:val="26"/>
        </w:rPr>
        <w:t xml:space="preserve"> tiếp tục là nguyên nhân gây thiệt hại nhân mạng nghiêm trọng nhất.</w:t>
      </w:r>
      <w:r w:rsidR="0094108A">
        <w:rPr>
          <w:rFonts w:ascii="Times New Roman" w:hAnsi="Times New Roman" w:cs="Times New Roman"/>
          <w:sz w:val="26"/>
          <w:szCs w:val="26"/>
        </w:rPr>
        <w:t xml:space="preserve"> </w:t>
      </w:r>
    </w:p>
    <w:p w14:paraId="538A3B03" w14:textId="1712FC3F" w:rsidR="007E3D0B" w:rsidRPr="0094108A" w:rsidRDefault="007E3D0B" w:rsidP="0094108A">
      <w:pPr>
        <w:tabs>
          <w:tab w:val="num" w:pos="720"/>
        </w:tabs>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Trong 10 năm qua</w:t>
      </w:r>
      <w:r w:rsidR="0094108A">
        <w:rPr>
          <w:rFonts w:ascii="Times New Roman" w:hAnsi="Times New Roman" w:cs="Times New Roman"/>
          <w:sz w:val="26"/>
          <w:szCs w:val="26"/>
        </w:rPr>
        <w:t xml:space="preserve"> có </w:t>
      </w:r>
      <w:r w:rsidRPr="0094108A">
        <w:rPr>
          <w:rFonts w:ascii="Times New Roman" w:hAnsi="Times New Roman" w:cs="Times New Roman"/>
          <w:sz w:val="26"/>
          <w:szCs w:val="26"/>
        </w:rPr>
        <w:t>37 người thiệt mạng liên quan đến hiện tượng này</w:t>
      </w:r>
      <w:r w:rsidR="0094108A" w:rsidRPr="0094108A">
        <w:rPr>
          <w:rFonts w:ascii="Times New Roman" w:hAnsi="Times New Roman" w:cs="Times New Roman"/>
          <w:sz w:val="26"/>
          <w:szCs w:val="26"/>
        </w:rPr>
        <w:t xml:space="preserve">, </w:t>
      </w:r>
      <w:r w:rsidR="0094108A">
        <w:rPr>
          <w:rFonts w:ascii="Times New Roman" w:hAnsi="Times New Roman" w:cs="Times New Roman"/>
          <w:sz w:val="26"/>
          <w:szCs w:val="26"/>
        </w:rPr>
        <w:t>c</w:t>
      </w:r>
      <w:r w:rsidRPr="0094108A">
        <w:rPr>
          <w:rFonts w:ascii="Times New Roman" w:hAnsi="Times New Roman" w:cs="Times New Roman"/>
          <w:sz w:val="26"/>
          <w:szCs w:val="26"/>
        </w:rPr>
        <w:t xml:space="preserve">hiếm 52,1% tổng số người tử vong. </w:t>
      </w:r>
    </w:p>
    <w:p w14:paraId="357C2542" w14:textId="207CE1DC" w:rsidR="007E3D0B" w:rsidRPr="007E3D0B" w:rsidRDefault="007E3D0B" w:rsidP="006A0471">
      <w:pPr>
        <w:tabs>
          <w:tab w:val="num" w:pos="720"/>
        </w:tabs>
        <w:spacing w:after="0"/>
        <w:jc w:val="both"/>
        <w:rPr>
          <w:rFonts w:ascii="Times New Roman" w:hAnsi="Times New Roman" w:cs="Times New Roman"/>
          <w:sz w:val="26"/>
          <w:szCs w:val="26"/>
        </w:rPr>
      </w:pPr>
      <w:r w:rsidRPr="007E3D0B">
        <w:rPr>
          <w:rFonts w:ascii="Times New Roman" w:hAnsi="Times New Roman" w:cs="Times New Roman"/>
          <w:sz w:val="26"/>
          <w:szCs w:val="26"/>
        </w:rPr>
        <w:t>Điều này một lần nữa cho thấy tầm quan trọng của việc tuân thủ</w:t>
      </w:r>
      <w:r w:rsidR="006A0471">
        <w:rPr>
          <w:rFonts w:ascii="Times New Roman" w:hAnsi="Times New Roman" w:cs="Times New Roman"/>
          <w:sz w:val="26"/>
          <w:szCs w:val="26"/>
        </w:rPr>
        <w:t xml:space="preserve"> </w:t>
      </w:r>
      <w:r w:rsidRPr="007E3D0B">
        <w:rPr>
          <w:rFonts w:ascii="Times New Roman" w:hAnsi="Times New Roman" w:cs="Times New Roman"/>
          <w:sz w:val="26"/>
          <w:szCs w:val="26"/>
        </w:rPr>
        <w:t>Bộ luật IMSBC;</w:t>
      </w:r>
      <w:r w:rsidR="006A0471">
        <w:rPr>
          <w:rFonts w:ascii="Times New Roman" w:hAnsi="Times New Roman" w:cs="Times New Roman"/>
          <w:sz w:val="26"/>
          <w:szCs w:val="26"/>
        </w:rPr>
        <w:t xml:space="preserve"> </w:t>
      </w:r>
      <w:r w:rsidRPr="007E3D0B">
        <w:rPr>
          <w:rFonts w:ascii="Times New Roman" w:hAnsi="Times New Roman" w:cs="Times New Roman"/>
          <w:sz w:val="26"/>
          <w:szCs w:val="26"/>
        </w:rPr>
        <w:t>Quy trình kiểm soát độ ẩm hàng hóa; Kiểm tra TML (Transportable Moisture Limit)</w:t>
      </w:r>
      <w:r w:rsidR="006A0471">
        <w:rPr>
          <w:rFonts w:ascii="Times New Roman" w:hAnsi="Times New Roman" w:cs="Times New Roman"/>
          <w:sz w:val="26"/>
          <w:szCs w:val="26"/>
        </w:rPr>
        <w:t xml:space="preserve"> và </w:t>
      </w:r>
      <w:r w:rsidRPr="007E3D0B">
        <w:rPr>
          <w:rFonts w:ascii="Times New Roman" w:hAnsi="Times New Roman" w:cs="Times New Roman"/>
          <w:sz w:val="26"/>
          <w:szCs w:val="26"/>
        </w:rPr>
        <w:t xml:space="preserve">Thẩm định chứng từ của người gửi hàng. </w:t>
      </w:r>
    </w:p>
    <w:p w14:paraId="10475C22" w14:textId="77777777" w:rsidR="007E3D0B" w:rsidRPr="007E3D0B" w:rsidRDefault="007E3D0B" w:rsidP="0094108A">
      <w:pPr>
        <w:spacing w:after="120"/>
        <w:jc w:val="both"/>
        <w:rPr>
          <w:rFonts w:ascii="Times New Roman" w:hAnsi="Times New Roman" w:cs="Times New Roman"/>
          <w:b/>
          <w:bCs/>
          <w:sz w:val="26"/>
          <w:szCs w:val="26"/>
        </w:rPr>
      </w:pPr>
      <w:r w:rsidRPr="007E3D0B">
        <w:rPr>
          <w:rFonts w:ascii="Times New Roman" w:hAnsi="Times New Roman" w:cs="Times New Roman"/>
          <w:b/>
          <w:bCs/>
          <w:sz w:val="26"/>
          <w:szCs w:val="26"/>
        </w:rPr>
        <w:t>Mắc cạn vẫn là nguyên nhân gây tổn thất tàu phổ biến nhất</w:t>
      </w:r>
    </w:p>
    <w:p w14:paraId="0AB150AE" w14:textId="74D434FE" w:rsidR="007E3D0B" w:rsidRPr="007E3D0B" w:rsidRDefault="007E3D0B" w:rsidP="0094108A">
      <w:pPr>
        <w:tabs>
          <w:tab w:val="num" w:pos="720"/>
        </w:tabs>
        <w:spacing w:after="0"/>
        <w:jc w:val="both"/>
        <w:rPr>
          <w:rFonts w:ascii="Times New Roman" w:hAnsi="Times New Roman" w:cs="Times New Roman"/>
          <w:sz w:val="26"/>
          <w:szCs w:val="26"/>
        </w:rPr>
      </w:pPr>
      <w:r w:rsidRPr="007E3D0B">
        <w:rPr>
          <w:rFonts w:ascii="Times New Roman" w:hAnsi="Times New Roman" w:cs="Times New Roman"/>
          <w:sz w:val="26"/>
          <w:szCs w:val="26"/>
        </w:rPr>
        <w:t xml:space="preserve">Tai nạn </w:t>
      </w:r>
      <w:r w:rsidRPr="0094108A">
        <w:rPr>
          <w:rFonts w:ascii="Times New Roman" w:hAnsi="Times New Roman" w:cs="Times New Roman"/>
          <w:sz w:val="26"/>
          <w:szCs w:val="26"/>
        </w:rPr>
        <w:t>mắc cạn (grounding)</w:t>
      </w:r>
      <w:r w:rsidRPr="007E3D0B">
        <w:rPr>
          <w:rFonts w:ascii="Times New Roman" w:hAnsi="Times New Roman" w:cs="Times New Roman"/>
          <w:sz w:val="26"/>
          <w:szCs w:val="26"/>
        </w:rPr>
        <w:t xml:space="preserve"> tiếp tục là nguyên nhân hàng đầu dẫn đến mất tàu.</w:t>
      </w:r>
      <w:r w:rsidR="0094108A">
        <w:rPr>
          <w:rFonts w:ascii="Times New Roman" w:hAnsi="Times New Roman" w:cs="Times New Roman"/>
          <w:sz w:val="26"/>
          <w:szCs w:val="26"/>
        </w:rPr>
        <w:t xml:space="preserve"> </w:t>
      </w:r>
      <w:r w:rsidRPr="007E3D0B">
        <w:rPr>
          <w:rFonts w:ascii="Times New Roman" w:hAnsi="Times New Roman" w:cs="Times New Roman"/>
          <w:sz w:val="26"/>
          <w:szCs w:val="26"/>
        </w:rPr>
        <w:t>Trong giai đoạn nghiên cứu</w:t>
      </w:r>
      <w:r w:rsidR="0094108A">
        <w:rPr>
          <w:rFonts w:ascii="Times New Roman" w:hAnsi="Times New Roman" w:cs="Times New Roman"/>
          <w:sz w:val="26"/>
          <w:szCs w:val="26"/>
        </w:rPr>
        <w:t xml:space="preserve"> c</w:t>
      </w:r>
      <w:r w:rsidRPr="007E3D0B">
        <w:rPr>
          <w:rFonts w:ascii="Times New Roman" w:hAnsi="Times New Roman" w:cs="Times New Roman"/>
          <w:sz w:val="26"/>
          <w:szCs w:val="26"/>
        </w:rPr>
        <w:t xml:space="preserve">ó </w:t>
      </w:r>
      <w:r w:rsidRPr="0094108A">
        <w:rPr>
          <w:rFonts w:ascii="Times New Roman" w:hAnsi="Times New Roman" w:cs="Times New Roman"/>
          <w:sz w:val="26"/>
          <w:szCs w:val="26"/>
        </w:rPr>
        <w:t>7 vụ mắc cạn dẫn đến tổn thất toàn bộ</w:t>
      </w:r>
      <w:r w:rsidR="0094108A">
        <w:rPr>
          <w:rFonts w:ascii="Times New Roman" w:hAnsi="Times New Roman" w:cs="Times New Roman"/>
          <w:sz w:val="26"/>
          <w:szCs w:val="26"/>
        </w:rPr>
        <w:t>, c</w:t>
      </w:r>
      <w:r w:rsidRPr="007E3D0B">
        <w:rPr>
          <w:rFonts w:ascii="Times New Roman" w:hAnsi="Times New Roman" w:cs="Times New Roman"/>
          <w:sz w:val="26"/>
          <w:szCs w:val="26"/>
        </w:rPr>
        <w:t xml:space="preserve">hiếm </w:t>
      </w:r>
      <w:r w:rsidRPr="0094108A">
        <w:rPr>
          <w:rFonts w:ascii="Times New Roman" w:hAnsi="Times New Roman" w:cs="Times New Roman"/>
          <w:sz w:val="26"/>
          <w:szCs w:val="26"/>
        </w:rPr>
        <w:t xml:space="preserve">41,1% tổng số tàu bị mất. </w:t>
      </w:r>
    </w:p>
    <w:p w14:paraId="4D4B4752" w14:textId="01BF63A4" w:rsidR="007E3D0B" w:rsidRPr="007E3D0B" w:rsidRDefault="007E3D0B" w:rsidP="0094108A">
      <w:pPr>
        <w:tabs>
          <w:tab w:val="num" w:pos="720"/>
        </w:tabs>
        <w:spacing w:after="120"/>
        <w:jc w:val="both"/>
        <w:rPr>
          <w:rFonts w:ascii="Times New Roman" w:hAnsi="Times New Roman" w:cs="Times New Roman"/>
          <w:sz w:val="26"/>
          <w:szCs w:val="26"/>
        </w:rPr>
      </w:pPr>
      <w:r w:rsidRPr="007E3D0B">
        <w:rPr>
          <w:rFonts w:ascii="Times New Roman" w:hAnsi="Times New Roman" w:cs="Times New Roman"/>
          <w:sz w:val="26"/>
          <w:szCs w:val="26"/>
        </w:rPr>
        <w:t>Kết quả này cho thấy các vấn đề liên quan đến</w:t>
      </w:r>
      <w:r w:rsidR="0094108A">
        <w:rPr>
          <w:rFonts w:ascii="Times New Roman" w:hAnsi="Times New Roman" w:cs="Times New Roman"/>
          <w:sz w:val="26"/>
          <w:szCs w:val="26"/>
        </w:rPr>
        <w:t xml:space="preserve"> l</w:t>
      </w:r>
      <w:r w:rsidRPr="007E3D0B">
        <w:rPr>
          <w:rFonts w:ascii="Times New Roman" w:hAnsi="Times New Roman" w:cs="Times New Roman"/>
          <w:sz w:val="26"/>
          <w:szCs w:val="26"/>
        </w:rPr>
        <w:t xml:space="preserve">ập </w:t>
      </w:r>
      <w:r w:rsidR="0094108A">
        <w:rPr>
          <w:rFonts w:ascii="Times New Roman" w:hAnsi="Times New Roman" w:cs="Times New Roman"/>
          <w:sz w:val="26"/>
          <w:szCs w:val="26"/>
        </w:rPr>
        <w:t>tuyến</w:t>
      </w:r>
      <w:r w:rsidRPr="007E3D0B">
        <w:rPr>
          <w:rFonts w:ascii="Times New Roman" w:hAnsi="Times New Roman" w:cs="Times New Roman"/>
          <w:sz w:val="26"/>
          <w:szCs w:val="26"/>
        </w:rPr>
        <w:t xml:space="preserve"> hành trình</w:t>
      </w:r>
      <w:r w:rsidR="0094108A">
        <w:rPr>
          <w:rFonts w:ascii="Times New Roman" w:hAnsi="Times New Roman" w:cs="Times New Roman"/>
          <w:sz w:val="26"/>
          <w:szCs w:val="26"/>
        </w:rPr>
        <w:t>, g</w:t>
      </w:r>
      <w:r w:rsidRPr="007E3D0B">
        <w:rPr>
          <w:rFonts w:ascii="Times New Roman" w:hAnsi="Times New Roman" w:cs="Times New Roman"/>
          <w:sz w:val="26"/>
          <w:szCs w:val="26"/>
        </w:rPr>
        <w:t>iám sát hải đồ điện tử</w:t>
      </w:r>
      <w:r w:rsidR="0094108A">
        <w:rPr>
          <w:rFonts w:ascii="Times New Roman" w:hAnsi="Times New Roman" w:cs="Times New Roman"/>
          <w:sz w:val="26"/>
          <w:szCs w:val="26"/>
        </w:rPr>
        <w:t>, q</w:t>
      </w:r>
      <w:r w:rsidRPr="007E3D0B">
        <w:rPr>
          <w:rFonts w:ascii="Times New Roman" w:hAnsi="Times New Roman" w:cs="Times New Roman"/>
          <w:sz w:val="26"/>
          <w:szCs w:val="26"/>
        </w:rPr>
        <w:t>uản lý nguồn lực buồng lái (BRM)</w:t>
      </w:r>
      <w:r w:rsidR="0094108A">
        <w:rPr>
          <w:rFonts w:ascii="Times New Roman" w:hAnsi="Times New Roman" w:cs="Times New Roman"/>
          <w:sz w:val="26"/>
          <w:szCs w:val="26"/>
        </w:rPr>
        <w:t xml:space="preserve"> và n</w:t>
      </w:r>
      <w:r w:rsidRPr="007E3D0B">
        <w:rPr>
          <w:rFonts w:ascii="Times New Roman" w:hAnsi="Times New Roman" w:cs="Times New Roman"/>
          <w:sz w:val="26"/>
          <w:szCs w:val="26"/>
        </w:rPr>
        <w:t>hận thức tình huống vẫn là các lĩnh vực cần được chú trọng.</w:t>
      </w:r>
    </w:p>
    <w:p w14:paraId="6E2903B0" w14:textId="2BB89270" w:rsidR="007E3D0B" w:rsidRPr="007E3D0B" w:rsidRDefault="007E3D0B" w:rsidP="0094108A">
      <w:pPr>
        <w:spacing w:after="120"/>
        <w:jc w:val="both"/>
        <w:rPr>
          <w:rFonts w:ascii="Times New Roman" w:hAnsi="Times New Roman" w:cs="Times New Roman"/>
          <w:b/>
          <w:bCs/>
          <w:sz w:val="26"/>
          <w:szCs w:val="26"/>
        </w:rPr>
      </w:pPr>
      <w:r w:rsidRPr="007E3D0B">
        <w:rPr>
          <w:rFonts w:ascii="Times New Roman" w:hAnsi="Times New Roman" w:cs="Times New Roman"/>
          <w:b/>
          <w:bCs/>
          <w:sz w:val="26"/>
          <w:szCs w:val="26"/>
        </w:rPr>
        <w:t xml:space="preserve">Nước </w:t>
      </w:r>
      <w:r w:rsidR="0094108A">
        <w:rPr>
          <w:rFonts w:ascii="Times New Roman" w:hAnsi="Times New Roman" w:cs="Times New Roman"/>
          <w:b/>
          <w:bCs/>
          <w:sz w:val="26"/>
          <w:szCs w:val="26"/>
        </w:rPr>
        <w:t xml:space="preserve">tràn vào tàu </w:t>
      </w:r>
      <w:r w:rsidRPr="007E3D0B">
        <w:rPr>
          <w:rFonts w:ascii="Times New Roman" w:hAnsi="Times New Roman" w:cs="Times New Roman"/>
          <w:b/>
          <w:bCs/>
          <w:sz w:val="26"/>
          <w:szCs w:val="26"/>
        </w:rPr>
        <w:t>gây thiệt hại nhân mạng rất lớn</w:t>
      </w:r>
    </w:p>
    <w:p w14:paraId="6C881592" w14:textId="40A1E990" w:rsidR="007E3D0B" w:rsidRPr="007E3D0B" w:rsidRDefault="007E3D0B" w:rsidP="0094108A">
      <w:pPr>
        <w:tabs>
          <w:tab w:val="num" w:pos="720"/>
        </w:tabs>
        <w:spacing w:after="120"/>
        <w:jc w:val="both"/>
        <w:rPr>
          <w:rFonts w:ascii="Times New Roman" w:hAnsi="Times New Roman" w:cs="Times New Roman"/>
          <w:sz w:val="26"/>
          <w:szCs w:val="26"/>
        </w:rPr>
      </w:pPr>
      <w:r w:rsidRPr="007E3D0B">
        <w:rPr>
          <w:rFonts w:ascii="Times New Roman" w:hAnsi="Times New Roman" w:cs="Times New Roman"/>
          <w:sz w:val="26"/>
          <w:szCs w:val="26"/>
        </w:rPr>
        <w:t>Báo cáo ghi nhận</w:t>
      </w:r>
      <w:r w:rsidR="0094108A">
        <w:rPr>
          <w:rFonts w:ascii="Times New Roman" w:hAnsi="Times New Roman" w:cs="Times New Roman"/>
          <w:sz w:val="26"/>
          <w:szCs w:val="26"/>
        </w:rPr>
        <w:t xml:space="preserve"> có </w:t>
      </w:r>
      <w:r w:rsidRPr="0094108A">
        <w:rPr>
          <w:rFonts w:ascii="Times New Roman" w:hAnsi="Times New Roman" w:cs="Times New Roman"/>
          <w:sz w:val="26"/>
          <w:szCs w:val="26"/>
        </w:rPr>
        <w:t xml:space="preserve">4 vụ tai nạn </w:t>
      </w:r>
      <w:r w:rsidR="0094108A" w:rsidRPr="0094108A">
        <w:rPr>
          <w:rFonts w:ascii="Times New Roman" w:hAnsi="Times New Roman" w:cs="Times New Roman"/>
          <w:sz w:val="26"/>
          <w:szCs w:val="26"/>
        </w:rPr>
        <w:t xml:space="preserve">do </w:t>
      </w:r>
      <w:r w:rsidRPr="0094108A">
        <w:rPr>
          <w:rFonts w:ascii="Times New Roman" w:hAnsi="Times New Roman" w:cs="Times New Roman"/>
          <w:sz w:val="26"/>
          <w:szCs w:val="26"/>
        </w:rPr>
        <w:t xml:space="preserve">nước </w:t>
      </w:r>
      <w:r w:rsidR="0094108A" w:rsidRPr="0094108A">
        <w:rPr>
          <w:rFonts w:ascii="Times New Roman" w:hAnsi="Times New Roman" w:cs="Times New Roman"/>
          <w:sz w:val="26"/>
          <w:szCs w:val="26"/>
        </w:rPr>
        <w:t>tràn vào tàu</w:t>
      </w:r>
      <w:r w:rsidR="0094108A">
        <w:rPr>
          <w:rFonts w:ascii="Times New Roman" w:hAnsi="Times New Roman" w:cs="Times New Roman"/>
          <w:b/>
          <w:bCs/>
          <w:sz w:val="26"/>
          <w:szCs w:val="26"/>
        </w:rPr>
        <w:t>, c</w:t>
      </w:r>
      <w:r w:rsidRPr="007E3D0B">
        <w:rPr>
          <w:rFonts w:ascii="Times New Roman" w:hAnsi="Times New Roman" w:cs="Times New Roman"/>
          <w:sz w:val="26"/>
          <w:szCs w:val="26"/>
        </w:rPr>
        <w:t xml:space="preserve">hiếm </w:t>
      </w:r>
      <w:r w:rsidRPr="0094108A">
        <w:rPr>
          <w:rFonts w:ascii="Times New Roman" w:hAnsi="Times New Roman" w:cs="Times New Roman"/>
          <w:sz w:val="26"/>
          <w:szCs w:val="26"/>
        </w:rPr>
        <w:t xml:space="preserve">23,5% tổng số vụ </w:t>
      </w:r>
      <w:r w:rsidR="0094108A" w:rsidRPr="0094108A">
        <w:rPr>
          <w:rFonts w:ascii="Times New Roman" w:hAnsi="Times New Roman" w:cs="Times New Roman"/>
          <w:sz w:val="26"/>
          <w:szCs w:val="26"/>
        </w:rPr>
        <w:t>m</w:t>
      </w:r>
      <w:r w:rsidRPr="0094108A">
        <w:rPr>
          <w:rFonts w:ascii="Times New Roman" w:hAnsi="Times New Roman" w:cs="Times New Roman"/>
          <w:sz w:val="26"/>
          <w:szCs w:val="26"/>
        </w:rPr>
        <w:t>ất tàu.</w:t>
      </w:r>
      <w:r w:rsidRPr="007E3D0B">
        <w:rPr>
          <w:rFonts w:ascii="Times New Roman" w:hAnsi="Times New Roman" w:cs="Times New Roman"/>
          <w:sz w:val="26"/>
          <w:szCs w:val="26"/>
        </w:rPr>
        <w:t xml:space="preserve"> </w:t>
      </w:r>
      <w:r w:rsidR="009E3046">
        <w:rPr>
          <w:rFonts w:ascii="Times New Roman" w:hAnsi="Times New Roman" w:cs="Times New Roman"/>
          <w:sz w:val="26"/>
          <w:szCs w:val="26"/>
        </w:rPr>
        <w:t xml:space="preserve"> </w:t>
      </w:r>
      <w:r w:rsidRPr="007E3D0B">
        <w:rPr>
          <w:rFonts w:ascii="Times New Roman" w:hAnsi="Times New Roman" w:cs="Times New Roman"/>
          <w:sz w:val="26"/>
          <w:szCs w:val="26"/>
        </w:rPr>
        <w:t xml:space="preserve">Tuy nhiên hậu quả về người </w:t>
      </w:r>
      <w:r w:rsidR="0094108A">
        <w:rPr>
          <w:rFonts w:ascii="Times New Roman" w:hAnsi="Times New Roman" w:cs="Times New Roman"/>
          <w:sz w:val="26"/>
          <w:szCs w:val="26"/>
        </w:rPr>
        <w:t xml:space="preserve">là </w:t>
      </w:r>
      <w:r w:rsidRPr="007E3D0B">
        <w:rPr>
          <w:rFonts w:ascii="Times New Roman" w:hAnsi="Times New Roman" w:cs="Times New Roman"/>
          <w:sz w:val="26"/>
          <w:szCs w:val="26"/>
        </w:rPr>
        <w:t>đặc biệt nghiêm trọng:</w:t>
      </w:r>
      <w:r w:rsidR="0094108A">
        <w:rPr>
          <w:rFonts w:ascii="Times New Roman" w:hAnsi="Times New Roman" w:cs="Times New Roman"/>
          <w:sz w:val="26"/>
          <w:szCs w:val="26"/>
        </w:rPr>
        <w:t xml:space="preserve"> </w:t>
      </w:r>
      <w:r w:rsidRPr="007E3D0B">
        <w:rPr>
          <w:rFonts w:ascii="Times New Roman" w:hAnsi="Times New Roman" w:cs="Times New Roman"/>
          <w:sz w:val="26"/>
          <w:szCs w:val="26"/>
        </w:rPr>
        <w:t>34 thuyền viên thiệt mạng</w:t>
      </w:r>
      <w:r w:rsidR="0094108A">
        <w:rPr>
          <w:rFonts w:ascii="Times New Roman" w:hAnsi="Times New Roman" w:cs="Times New Roman"/>
          <w:sz w:val="26"/>
          <w:szCs w:val="26"/>
        </w:rPr>
        <w:t>, c</w:t>
      </w:r>
      <w:r w:rsidRPr="007E3D0B">
        <w:rPr>
          <w:rFonts w:ascii="Times New Roman" w:hAnsi="Times New Roman" w:cs="Times New Roman"/>
          <w:sz w:val="26"/>
          <w:szCs w:val="26"/>
        </w:rPr>
        <w:t xml:space="preserve">hiếm </w:t>
      </w:r>
      <w:r w:rsidRPr="0094108A">
        <w:rPr>
          <w:rFonts w:ascii="Times New Roman" w:hAnsi="Times New Roman" w:cs="Times New Roman"/>
          <w:sz w:val="26"/>
          <w:szCs w:val="26"/>
        </w:rPr>
        <w:t xml:space="preserve">47,9% tổng số người tử vong. </w:t>
      </w:r>
      <w:r w:rsidRPr="007E3D0B">
        <w:rPr>
          <w:rFonts w:ascii="Times New Roman" w:hAnsi="Times New Roman" w:cs="Times New Roman"/>
          <w:sz w:val="26"/>
          <w:szCs w:val="26"/>
        </w:rPr>
        <w:t>Điều này cho thấy khi xảy ra ngập nước hoặc hư hỏng kết cấu nghiêm trọng, cơ hội sống sót của thuyền viên thường rất thấp.</w:t>
      </w:r>
    </w:p>
    <w:p w14:paraId="7AB87657" w14:textId="77777777" w:rsidR="007E3D0B" w:rsidRPr="007E3D0B" w:rsidRDefault="007E3D0B" w:rsidP="009E3046">
      <w:pPr>
        <w:spacing w:before="120" w:after="120"/>
        <w:jc w:val="both"/>
        <w:rPr>
          <w:rFonts w:ascii="Times New Roman" w:hAnsi="Times New Roman" w:cs="Times New Roman"/>
          <w:b/>
          <w:bCs/>
          <w:sz w:val="26"/>
          <w:szCs w:val="26"/>
        </w:rPr>
      </w:pPr>
      <w:r w:rsidRPr="007E3D0B">
        <w:rPr>
          <w:rFonts w:ascii="Times New Roman" w:hAnsi="Times New Roman" w:cs="Times New Roman"/>
          <w:b/>
          <w:bCs/>
          <w:sz w:val="26"/>
          <w:szCs w:val="26"/>
        </w:rPr>
        <w:t>Xu hướng tử vong trên mỗi vụ tổn thất tàu</w:t>
      </w:r>
    </w:p>
    <w:p w14:paraId="11A0E08B"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Số người tử vong trung bình trên mỗi vụ tổn thất tàu trong các giai đoạn 10 năm liên tiếp như sau:</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3775"/>
      </w:tblGrid>
      <w:tr w:rsidR="007E3D0B" w:rsidRPr="007E3D0B" w14:paraId="43AAEAC2" w14:textId="77777777" w:rsidTr="009E3046">
        <w:trPr>
          <w:tblHeader/>
          <w:tblCellSpacing w:w="15" w:type="dxa"/>
          <w:jc w:val="center"/>
        </w:trPr>
        <w:tc>
          <w:tcPr>
            <w:tcW w:w="2115" w:type="dxa"/>
            <w:vAlign w:val="center"/>
            <w:hideMark/>
          </w:tcPr>
          <w:p w14:paraId="63D2EE90" w14:textId="77777777" w:rsidR="007E3D0B" w:rsidRPr="007E3D0B" w:rsidRDefault="007E3D0B" w:rsidP="007E3D0B">
            <w:pPr>
              <w:spacing w:after="0"/>
              <w:jc w:val="both"/>
              <w:rPr>
                <w:rFonts w:ascii="Times New Roman" w:hAnsi="Times New Roman" w:cs="Times New Roman"/>
                <w:b/>
                <w:bCs/>
                <w:sz w:val="26"/>
                <w:szCs w:val="26"/>
              </w:rPr>
            </w:pPr>
            <w:r w:rsidRPr="007E3D0B">
              <w:rPr>
                <w:rFonts w:ascii="Times New Roman" w:hAnsi="Times New Roman" w:cs="Times New Roman"/>
                <w:b/>
                <w:bCs/>
                <w:sz w:val="26"/>
                <w:szCs w:val="26"/>
              </w:rPr>
              <w:t>Giai đoạn</w:t>
            </w:r>
          </w:p>
        </w:tc>
        <w:tc>
          <w:tcPr>
            <w:tcW w:w="3730" w:type="dxa"/>
            <w:vAlign w:val="center"/>
            <w:hideMark/>
          </w:tcPr>
          <w:p w14:paraId="2E1701C0" w14:textId="77777777" w:rsidR="007E3D0B" w:rsidRPr="007E3D0B" w:rsidRDefault="007E3D0B" w:rsidP="007E3D0B">
            <w:pPr>
              <w:spacing w:after="0"/>
              <w:jc w:val="both"/>
              <w:rPr>
                <w:rFonts w:ascii="Times New Roman" w:hAnsi="Times New Roman" w:cs="Times New Roman"/>
                <w:b/>
                <w:bCs/>
                <w:sz w:val="26"/>
                <w:szCs w:val="26"/>
              </w:rPr>
            </w:pPr>
            <w:r w:rsidRPr="007E3D0B">
              <w:rPr>
                <w:rFonts w:ascii="Times New Roman" w:hAnsi="Times New Roman" w:cs="Times New Roman"/>
                <w:b/>
                <w:bCs/>
                <w:sz w:val="26"/>
                <w:szCs w:val="26"/>
              </w:rPr>
              <w:t>Số người tử vong trung bình/vụ</w:t>
            </w:r>
          </w:p>
        </w:tc>
      </w:tr>
      <w:tr w:rsidR="007E3D0B" w:rsidRPr="007E3D0B" w14:paraId="715C924A" w14:textId="77777777" w:rsidTr="009E3046">
        <w:trPr>
          <w:tblCellSpacing w:w="15" w:type="dxa"/>
          <w:jc w:val="center"/>
        </w:trPr>
        <w:tc>
          <w:tcPr>
            <w:tcW w:w="2115" w:type="dxa"/>
            <w:vAlign w:val="center"/>
            <w:hideMark/>
          </w:tcPr>
          <w:p w14:paraId="0EFCDD4F"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2011–2020</w:t>
            </w:r>
          </w:p>
        </w:tc>
        <w:tc>
          <w:tcPr>
            <w:tcW w:w="3730" w:type="dxa"/>
            <w:vAlign w:val="center"/>
            <w:hideMark/>
          </w:tcPr>
          <w:p w14:paraId="15C2E875" w14:textId="77777777" w:rsidR="007E3D0B" w:rsidRPr="007E3D0B" w:rsidRDefault="007E3D0B" w:rsidP="009E3046">
            <w:pPr>
              <w:spacing w:after="0"/>
              <w:jc w:val="center"/>
              <w:rPr>
                <w:rFonts w:ascii="Times New Roman" w:hAnsi="Times New Roman" w:cs="Times New Roman"/>
                <w:sz w:val="26"/>
                <w:szCs w:val="26"/>
              </w:rPr>
            </w:pPr>
            <w:r w:rsidRPr="007E3D0B">
              <w:rPr>
                <w:rFonts w:ascii="Times New Roman" w:hAnsi="Times New Roman" w:cs="Times New Roman"/>
                <w:sz w:val="26"/>
                <w:szCs w:val="26"/>
              </w:rPr>
              <w:t>3,56</w:t>
            </w:r>
          </w:p>
        </w:tc>
      </w:tr>
      <w:tr w:rsidR="007E3D0B" w:rsidRPr="007E3D0B" w14:paraId="55EB9E1A" w14:textId="77777777" w:rsidTr="009E3046">
        <w:trPr>
          <w:tblCellSpacing w:w="15" w:type="dxa"/>
          <w:jc w:val="center"/>
        </w:trPr>
        <w:tc>
          <w:tcPr>
            <w:tcW w:w="2115" w:type="dxa"/>
            <w:vAlign w:val="center"/>
            <w:hideMark/>
          </w:tcPr>
          <w:p w14:paraId="07650D28"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lastRenderedPageBreak/>
              <w:t>2012–2021</w:t>
            </w:r>
          </w:p>
        </w:tc>
        <w:tc>
          <w:tcPr>
            <w:tcW w:w="3730" w:type="dxa"/>
            <w:vAlign w:val="center"/>
            <w:hideMark/>
          </w:tcPr>
          <w:p w14:paraId="4AB67D24" w14:textId="77777777" w:rsidR="007E3D0B" w:rsidRPr="007E3D0B" w:rsidRDefault="007E3D0B" w:rsidP="009E3046">
            <w:pPr>
              <w:spacing w:after="0"/>
              <w:jc w:val="center"/>
              <w:rPr>
                <w:rFonts w:ascii="Times New Roman" w:hAnsi="Times New Roman" w:cs="Times New Roman"/>
                <w:sz w:val="26"/>
                <w:szCs w:val="26"/>
              </w:rPr>
            </w:pPr>
            <w:r w:rsidRPr="007E3D0B">
              <w:rPr>
                <w:rFonts w:ascii="Times New Roman" w:hAnsi="Times New Roman" w:cs="Times New Roman"/>
                <w:sz w:val="26"/>
                <w:szCs w:val="26"/>
              </w:rPr>
              <w:t>3,41</w:t>
            </w:r>
          </w:p>
        </w:tc>
      </w:tr>
      <w:tr w:rsidR="007E3D0B" w:rsidRPr="007E3D0B" w14:paraId="599B10A0" w14:textId="77777777" w:rsidTr="009E3046">
        <w:trPr>
          <w:tblCellSpacing w:w="15" w:type="dxa"/>
          <w:jc w:val="center"/>
        </w:trPr>
        <w:tc>
          <w:tcPr>
            <w:tcW w:w="2115" w:type="dxa"/>
            <w:vAlign w:val="center"/>
            <w:hideMark/>
          </w:tcPr>
          <w:p w14:paraId="4B1D24FC"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2013–2022</w:t>
            </w:r>
          </w:p>
        </w:tc>
        <w:tc>
          <w:tcPr>
            <w:tcW w:w="3730" w:type="dxa"/>
            <w:vAlign w:val="center"/>
            <w:hideMark/>
          </w:tcPr>
          <w:p w14:paraId="3820B3B6" w14:textId="77777777" w:rsidR="007E3D0B" w:rsidRPr="007E3D0B" w:rsidRDefault="007E3D0B" w:rsidP="009E3046">
            <w:pPr>
              <w:spacing w:after="0"/>
              <w:jc w:val="center"/>
              <w:rPr>
                <w:rFonts w:ascii="Times New Roman" w:hAnsi="Times New Roman" w:cs="Times New Roman"/>
                <w:sz w:val="26"/>
                <w:szCs w:val="26"/>
              </w:rPr>
            </w:pPr>
            <w:r w:rsidRPr="007E3D0B">
              <w:rPr>
                <w:rFonts w:ascii="Times New Roman" w:hAnsi="Times New Roman" w:cs="Times New Roman"/>
                <w:sz w:val="26"/>
                <w:szCs w:val="26"/>
              </w:rPr>
              <w:t>4,00</w:t>
            </w:r>
          </w:p>
        </w:tc>
      </w:tr>
      <w:tr w:rsidR="007E3D0B" w:rsidRPr="007E3D0B" w14:paraId="0DBE09F7" w14:textId="77777777" w:rsidTr="009E3046">
        <w:trPr>
          <w:tblCellSpacing w:w="15" w:type="dxa"/>
          <w:jc w:val="center"/>
        </w:trPr>
        <w:tc>
          <w:tcPr>
            <w:tcW w:w="2115" w:type="dxa"/>
            <w:vAlign w:val="center"/>
            <w:hideMark/>
          </w:tcPr>
          <w:p w14:paraId="2CD9BD37"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2014–2023</w:t>
            </w:r>
          </w:p>
        </w:tc>
        <w:tc>
          <w:tcPr>
            <w:tcW w:w="3730" w:type="dxa"/>
            <w:vAlign w:val="center"/>
            <w:hideMark/>
          </w:tcPr>
          <w:p w14:paraId="383CC0D2" w14:textId="77777777" w:rsidR="007E3D0B" w:rsidRPr="007E3D0B" w:rsidRDefault="007E3D0B" w:rsidP="009E3046">
            <w:pPr>
              <w:spacing w:after="0"/>
              <w:jc w:val="center"/>
              <w:rPr>
                <w:rFonts w:ascii="Times New Roman" w:hAnsi="Times New Roman" w:cs="Times New Roman"/>
                <w:sz w:val="26"/>
                <w:szCs w:val="26"/>
              </w:rPr>
            </w:pPr>
            <w:r w:rsidRPr="007E3D0B">
              <w:rPr>
                <w:rFonts w:ascii="Times New Roman" w:hAnsi="Times New Roman" w:cs="Times New Roman"/>
                <w:sz w:val="26"/>
                <w:szCs w:val="26"/>
              </w:rPr>
              <w:t>4,24</w:t>
            </w:r>
          </w:p>
        </w:tc>
      </w:tr>
      <w:tr w:rsidR="007E3D0B" w:rsidRPr="007E3D0B" w14:paraId="2EC23825" w14:textId="77777777" w:rsidTr="009E3046">
        <w:trPr>
          <w:tblCellSpacing w:w="15" w:type="dxa"/>
          <w:jc w:val="center"/>
        </w:trPr>
        <w:tc>
          <w:tcPr>
            <w:tcW w:w="2115" w:type="dxa"/>
            <w:vAlign w:val="center"/>
            <w:hideMark/>
          </w:tcPr>
          <w:p w14:paraId="4E90FBC2"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2015–2024</w:t>
            </w:r>
          </w:p>
        </w:tc>
        <w:tc>
          <w:tcPr>
            <w:tcW w:w="3730" w:type="dxa"/>
            <w:vAlign w:val="center"/>
            <w:hideMark/>
          </w:tcPr>
          <w:p w14:paraId="2B170FB4" w14:textId="77777777" w:rsidR="007E3D0B" w:rsidRPr="007E3D0B" w:rsidRDefault="007E3D0B" w:rsidP="009E3046">
            <w:pPr>
              <w:spacing w:after="0"/>
              <w:jc w:val="center"/>
              <w:rPr>
                <w:rFonts w:ascii="Times New Roman" w:hAnsi="Times New Roman" w:cs="Times New Roman"/>
                <w:sz w:val="26"/>
                <w:szCs w:val="26"/>
              </w:rPr>
            </w:pPr>
            <w:r w:rsidRPr="007E3D0B">
              <w:rPr>
                <w:rFonts w:ascii="Times New Roman" w:hAnsi="Times New Roman" w:cs="Times New Roman"/>
                <w:sz w:val="26"/>
                <w:szCs w:val="26"/>
              </w:rPr>
              <w:t>4,45</w:t>
            </w:r>
          </w:p>
        </w:tc>
      </w:tr>
      <w:tr w:rsidR="007E3D0B" w:rsidRPr="007E3D0B" w14:paraId="416CCCB5" w14:textId="77777777" w:rsidTr="009E3046">
        <w:trPr>
          <w:tblCellSpacing w:w="15" w:type="dxa"/>
          <w:jc w:val="center"/>
        </w:trPr>
        <w:tc>
          <w:tcPr>
            <w:tcW w:w="2115" w:type="dxa"/>
            <w:vAlign w:val="center"/>
            <w:hideMark/>
          </w:tcPr>
          <w:p w14:paraId="6BF0AF6B" w14:textId="77777777" w:rsidR="007E3D0B" w:rsidRPr="007E3D0B" w:rsidRDefault="007E3D0B" w:rsidP="007E3D0B">
            <w:pPr>
              <w:spacing w:after="0"/>
              <w:jc w:val="both"/>
              <w:rPr>
                <w:rFonts w:ascii="Times New Roman" w:hAnsi="Times New Roman" w:cs="Times New Roman"/>
                <w:sz w:val="26"/>
                <w:szCs w:val="26"/>
              </w:rPr>
            </w:pPr>
            <w:r w:rsidRPr="007E3D0B">
              <w:rPr>
                <w:rFonts w:ascii="Times New Roman" w:hAnsi="Times New Roman" w:cs="Times New Roman"/>
                <w:sz w:val="26"/>
                <w:szCs w:val="26"/>
              </w:rPr>
              <w:t>2016–2025</w:t>
            </w:r>
          </w:p>
        </w:tc>
        <w:tc>
          <w:tcPr>
            <w:tcW w:w="3730" w:type="dxa"/>
            <w:vAlign w:val="center"/>
            <w:hideMark/>
          </w:tcPr>
          <w:p w14:paraId="0B867CC2" w14:textId="77777777" w:rsidR="007E3D0B" w:rsidRPr="007E3D0B" w:rsidRDefault="007E3D0B" w:rsidP="009E3046">
            <w:pPr>
              <w:spacing w:after="0"/>
              <w:jc w:val="center"/>
              <w:rPr>
                <w:rFonts w:ascii="Times New Roman" w:hAnsi="Times New Roman" w:cs="Times New Roman"/>
                <w:sz w:val="26"/>
                <w:szCs w:val="26"/>
              </w:rPr>
            </w:pPr>
            <w:r w:rsidRPr="007E3D0B">
              <w:rPr>
                <w:rFonts w:ascii="Times New Roman" w:hAnsi="Times New Roman" w:cs="Times New Roman"/>
                <w:sz w:val="26"/>
                <w:szCs w:val="26"/>
              </w:rPr>
              <w:t>4,18</w:t>
            </w:r>
          </w:p>
        </w:tc>
      </w:tr>
    </w:tbl>
    <w:p w14:paraId="05F6185F" w14:textId="12E79EEC" w:rsidR="007E3D0B" w:rsidRPr="007E3D0B" w:rsidRDefault="007E3D0B" w:rsidP="009E3046">
      <w:pPr>
        <w:spacing w:before="120" w:after="120"/>
        <w:jc w:val="both"/>
        <w:rPr>
          <w:rFonts w:ascii="Times New Roman" w:hAnsi="Times New Roman" w:cs="Times New Roman"/>
          <w:sz w:val="26"/>
          <w:szCs w:val="26"/>
        </w:rPr>
      </w:pPr>
      <w:r w:rsidRPr="007E3D0B">
        <w:rPr>
          <w:rFonts w:ascii="Times New Roman" w:hAnsi="Times New Roman" w:cs="Times New Roman"/>
          <w:sz w:val="26"/>
          <w:szCs w:val="26"/>
        </w:rPr>
        <w:t xml:space="preserve">Mặc dù số vụ tổn thất tàu đã giảm đáng kể, các số liệu trên cho thấy khi tai nạn nghiêm trọng xảy ra thì hậu quả về </w:t>
      </w:r>
      <w:r w:rsidR="009E3046">
        <w:rPr>
          <w:rFonts w:ascii="Times New Roman" w:hAnsi="Times New Roman" w:cs="Times New Roman"/>
          <w:sz w:val="26"/>
          <w:szCs w:val="26"/>
        </w:rPr>
        <w:t xml:space="preserve">con </w:t>
      </w:r>
      <w:r w:rsidRPr="007E3D0B">
        <w:rPr>
          <w:rFonts w:ascii="Times New Roman" w:hAnsi="Times New Roman" w:cs="Times New Roman"/>
          <w:sz w:val="26"/>
          <w:szCs w:val="26"/>
        </w:rPr>
        <w:t>người vẫn rất lớn.</w:t>
      </w:r>
    </w:p>
    <w:p w14:paraId="3268C187" w14:textId="58CE5610" w:rsidR="007E3D0B" w:rsidRPr="007E3D0B" w:rsidRDefault="007E3D0B" w:rsidP="007E3D0B">
      <w:r w:rsidRPr="007E3D0B">
        <w:drawing>
          <wp:inline distT="0" distB="0" distL="0" distR="0" wp14:anchorId="328ADD2E" wp14:editId="3CAE8455">
            <wp:extent cx="5943600" cy="3575050"/>
            <wp:effectExtent l="0" t="0" r="0" b="6350"/>
            <wp:docPr id="22855503" name="Picture 4" descr="INTERCAR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ERCAR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75050"/>
                    </a:xfrm>
                    <a:prstGeom prst="rect">
                      <a:avLst/>
                    </a:prstGeom>
                    <a:noFill/>
                    <a:ln>
                      <a:noFill/>
                    </a:ln>
                  </pic:spPr>
                </pic:pic>
              </a:graphicData>
            </a:graphic>
          </wp:inline>
        </w:drawing>
      </w:r>
    </w:p>
    <w:p w14:paraId="07FF2572"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Những phát hiện đáng chú ý</w:t>
      </w:r>
    </w:p>
    <w:p w14:paraId="624C3E02"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Theo phân khúc trọng tải</w:t>
      </w:r>
    </w:p>
    <w:p w14:paraId="6B35B834" w14:textId="4C6698BF" w:rsidR="009E3046" w:rsidRPr="009E3046" w:rsidRDefault="009E3046" w:rsidP="009E3046">
      <w:pPr>
        <w:spacing w:after="120"/>
        <w:jc w:val="both"/>
        <w:rPr>
          <w:rFonts w:ascii="Times New Roman" w:hAnsi="Times New Roman" w:cs="Times New Roman"/>
          <w:sz w:val="26"/>
          <w:szCs w:val="26"/>
        </w:rPr>
      </w:pPr>
      <w:r>
        <w:rPr>
          <w:rFonts w:ascii="Times New Roman" w:hAnsi="Times New Roman" w:cs="Times New Roman"/>
          <w:b/>
          <w:bCs/>
          <w:sz w:val="26"/>
          <w:szCs w:val="26"/>
        </w:rPr>
        <w:t xml:space="preserve">Từ </w:t>
      </w:r>
      <w:r w:rsidRPr="009E3046">
        <w:rPr>
          <w:rFonts w:ascii="Times New Roman" w:hAnsi="Times New Roman" w:cs="Times New Roman"/>
          <w:b/>
          <w:bCs/>
          <w:sz w:val="26"/>
          <w:szCs w:val="26"/>
        </w:rPr>
        <w:t xml:space="preserve">10.000 </w:t>
      </w:r>
      <w:r>
        <w:rPr>
          <w:rFonts w:ascii="Times New Roman" w:hAnsi="Times New Roman" w:cs="Times New Roman"/>
          <w:b/>
          <w:bCs/>
          <w:sz w:val="26"/>
          <w:szCs w:val="26"/>
        </w:rPr>
        <w:t>đến</w:t>
      </w:r>
      <w:r w:rsidRPr="009E3046">
        <w:rPr>
          <w:rFonts w:ascii="Times New Roman" w:hAnsi="Times New Roman" w:cs="Times New Roman"/>
          <w:b/>
          <w:bCs/>
          <w:sz w:val="26"/>
          <w:szCs w:val="26"/>
        </w:rPr>
        <w:t xml:space="preserve"> 34.999 DWT</w:t>
      </w:r>
      <w:r>
        <w:rPr>
          <w:rFonts w:ascii="Times New Roman" w:hAnsi="Times New Roman" w:cs="Times New Roman"/>
          <w:b/>
          <w:bCs/>
          <w:sz w:val="26"/>
          <w:szCs w:val="26"/>
        </w:rPr>
        <w:t xml:space="preserve">: </w:t>
      </w:r>
      <w:r w:rsidRPr="009E3046">
        <w:rPr>
          <w:rFonts w:ascii="Times New Roman" w:hAnsi="Times New Roman" w:cs="Times New Roman"/>
          <w:sz w:val="26"/>
          <w:szCs w:val="26"/>
        </w:rPr>
        <w:t xml:space="preserve">Có 4 tàu bị tổn thất toàn bộ, chiếm 23,5% trong tổng số 17 vụ tổn thất. </w:t>
      </w:r>
      <w:r>
        <w:rPr>
          <w:rFonts w:ascii="Times New Roman" w:hAnsi="Times New Roman" w:cs="Times New Roman"/>
          <w:sz w:val="26"/>
          <w:szCs w:val="26"/>
        </w:rPr>
        <w:t xml:space="preserve"> </w:t>
      </w:r>
      <w:r w:rsidRPr="009E3046">
        <w:rPr>
          <w:rFonts w:ascii="Times New Roman" w:hAnsi="Times New Roman" w:cs="Times New Roman"/>
          <w:sz w:val="26"/>
          <w:szCs w:val="26"/>
        </w:rPr>
        <w:t xml:space="preserve">Các vụ tai nạn này làm 12 thuyền viên thiệt mạng, tương đương 16,9% tổng số người tử vong. </w:t>
      </w:r>
    </w:p>
    <w:p w14:paraId="693CF7BF" w14:textId="7672B1E3" w:rsidR="009E3046" w:rsidRPr="009E3046" w:rsidRDefault="009E3046" w:rsidP="009E3046">
      <w:pPr>
        <w:spacing w:after="120"/>
        <w:jc w:val="both"/>
        <w:rPr>
          <w:rFonts w:ascii="Times New Roman" w:hAnsi="Times New Roman" w:cs="Times New Roman"/>
          <w:sz w:val="26"/>
          <w:szCs w:val="26"/>
        </w:rPr>
      </w:pPr>
      <w:r>
        <w:rPr>
          <w:rFonts w:ascii="Times New Roman" w:hAnsi="Times New Roman" w:cs="Times New Roman"/>
          <w:b/>
          <w:bCs/>
          <w:sz w:val="26"/>
          <w:szCs w:val="26"/>
        </w:rPr>
        <w:t xml:space="preserve">Từ </w:t>
      </w:r>
      <w:r w:rsidRPr="009E3046">
        <w:rPr>
          <w:rFonts w:ascii="Times New Roman" w:hAnsi="Times New Roman" w:cs="Times New Roman"/>
          <w:b/>
          <w:bCs/>
          <w:sz w:val="26"/>
          <w:szCs w:val="26"/>
        </w:rPr>
        <w:t xml:space="preserve">50.000 </w:t>
      </w:r>
      <w:r>
        <w:rPr>
          <w:rFonts w:ascii="Times New Roman" w:hAnsi="Times New Roman" w:cs="Times New Roman"/>
          <w:b/>
          <w:bCs/>
          <w:sz w:val="26"/>
          <w:szCs w:val="26"/>
        </w:rPr>
        <w:t>đến</w:t>
      </w:r>
      <w:r w:rsidRPr="009E3046">
        <w:rPr>
          <w:rFonts w:ascii="Times New Roman" w:hAnsi="Times New Roman" w:cs="Times New Roman"/>
          <w:b/>
          <w:bCs/>
          <w:sz w:val="26"/>
          <w:szCs w:val="26"/>
        </w:rPr>
        <w:t xml:space="preserve"> 59.999 DWT</w:t>
      </w:r>
      <w:r>
        <w:rPr>
          <w:rFonts w:ascii="Times New Roman" w:hAnsi="Times New Roman" w:cs="Times New Roman"/>
          <w:b/>
          <w:bCs/>
          <w:sz w:val="26"/>
          <w:szCs w:val="26"/>
        </w:rPr>
        <w:t xml:space="preserve">: </w:t>
      </w:r>
      <w:r w:rsidRPr="009E3046">
        <w:rPr>
          <w:rFonts w:ascii="Times New Roman" w:hAnsi="Times New Roman" w:cs="Times New Roman"/>
          <w:sz w:val="26"/>
          <w:szCs w:val="26"/>
        </w:rPr>
        <w:t xml:space="preserve">Có 4 tàu bị tổn thất trong phân khúc này. Đây là nhóm có số người tử vong cao nhất với 37 thuyền viên thiệt mạng, chiếm 52,1% tổng số 71 người tử vong trong giai đoạn nghiên cứu. </w:t>
      </w:r>
    </w:p>
    <w:p w14:paraId="5CFC95E3" w14:textId="621639FD"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Từ 80.000 DWT trở lên</w:t>
      </w:r>
      <w:r>
        <w:rPr>
          <w:rFonts w:ascii="Times New Roman" w:hAnsi="Times New Roman" w:cs="Times New Roman"/>
          <w:b/>
          <w:bCs/>
          <w:sz w:val="26"/>
          <w:szCs w:val="26"/>
        </w:rPr>
        <w:t xml:space="preserve">: </w:t>
      </w:r>
      <w:r w:rsidRPr="009E3046">
        <w:rPr>
          <w:rFonts w:ascii="Times New Roman" w:hAnsi="Times New Roman" w:cs="Times New Roman"/>
          <w:sz w:val="26"/>
          <w:szCs w:val="26"/>
        </w:rPr>
        <w:t xml:space="preserve">Có 5 tàu bị tổn thất, chiếm 29,4% tổng số vụ tổn thất. 22 thuyền viên thiệt mạng, tương đương 31,0% tổng số người tử vong. </w:t>
      </w:r>
    </w:p>
    <w:p w14:paraId="1B789611" w14:textId="5355E731"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lastRenderedPageBreak/>
        <w:t>Năm 2020</w:t>
      </w:r>
      <w:r>
        <w:rPr>
          <w:rFonts w:ascii="Times New Roman" w:hAnsi="Times New Roman" w:cs="Times New Roman"/>
          <w:b/>
          <w:bCs/>
          <w:sz w:val="26"/>
          <w:szCs w:val="26"/>
        </w:rPr>
        <w:t xml:space="preserve">: </w:t>
      </w:r>
      <w:r w:rsidRPr="009E3046">
        <w:rPr>
          <w:rFonts w:ascii="Times New Roman" w:hAnsi="Times New Roman" w:cs="Times New Roman"/>
          <w:sz w:val="26"/>
          <w:szCs w:val="26"/>
        </w:rPr>
        <w:t xml:space="preserve">Một tàu </w:t>
      </w:r>
      <w:r>
        <w:rPr>
          <w:rFonts w:ascii="Times New Roman" w:hAnsi="Times New Roman" w:cs="Times New Roman"/>
          <w:sz w:val="26"/>
          <w:szCs w:val="26"/>
        </w:rPr>
        <w:t xml:space="preserve">cỡ </w:t>
      </w:r>
      <w:r w:rsidRPr="009E3046">
        <w:rPr>
          <w:rFonts w:ascii="Times New Roman" w:hAnsi="Times New Roman" w:cs="Times New Roman"/>
          <w:sz w:val="26"/>
          <w:szCs w:val="26"/>
        </w:rPr>
        <w:t xml:space="preserve">Capesize là Wakashio và một tàu VLOC (Very Large Ore Carrier) </w:t>
      </w:r>
      <w:r>
        <w:rPr>
          <w:rFonts w:ascii="Times New Roman" w:hAnsi="Times New Roman" w:cs="Times New Roman"/>
          <w:sz w:val="26"/>
          <w:szCs w:val="26"/>
        </w:rPr>
        <w:t xml:space="preserve">là tàu </w:t>
      </w:r>
      <w:r w:rsidRPr="009E3046">
        <w:rPr>
          <w:rFonts w:ascii="Times New Roman" w:hAnsi="Times New Roman" w:cs="Times New Roman"/>
          <w:sz w:val="26"/>
          <w:szCs w:val="26"/>
        </w:rPr>
        <w:t>Stellar Banner</w:t>
      </w:r>
      <w:r w:rsidRPr="009E3046">
        <w:rPr>
          <w:rFonts w:ascii="Times New Roman" w:hAnsi="Times New Roman" w:cs="Times New Roman"/>
          <w:sz w:val="26"/>
          <w:szCs w:val="26"/>
        </w:rPr>
        <w:t xml:space="preserve"> </w:t>
      </w:r>
      <w:r w:rsidRPr="009E3046">
        <w:rPr>
          <w:rFonts w:ascii="Times New Roman" w:hAnsi="Times New Roman" w:cs="Times New Roman"/>
          <w:sz w:val="26"/>
          <w:szCs w:val="26"/>
        </w:rPr>
        <w:t xml:space="preserve">bị </w:t>
      </w:r>
      <w:r>
        <w:rPr>
          <w:rFonts w:ascii="Times New Roman" w:hAnsi="Times New Roman" w:cs="Times New Roman"/>
          <w:sz w:val="26"/>
          <w:szCs w:val="26"/>
        </w:rPr>
        <w:t>mất</w:t>
      </w:r>
      <w:r w:rsidRPr="009E3046">
        <w:rPr>
          <w:rFonts w:ascii="Times New Roman" w:hAnsi="Times New Roman" w:cs="Times New Roman"/>
          <w:sz w:val="26"/>
          <w:szCs w:val="26"/>
        </w:rPr>
        <w:t xml:space="preserve"> làm dấy lên nhiều quan ngại về an toàn của các tàu hàng rời cỡ lớn. </w:t>
      </w:r>
    </w:p>
    <w:p w14:paraId="356CE1BB" w14:textId="1DBE8D55"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60.000 – 79.999 DWT</w:t>
      </w:r>
      <w:r>
        <w:rPr>
          <w:rFonts w:ascii="Times New Roman" w:hAnsi="Times New Roman" w:cs="Times New Roman"/>
          <w:b/>
          <w:bCs/>
          <w:sz w:val="26"/>
          <w:szCs w:val="26"/>
        </w:rPr>
        <w:t xml:space="preserve">: </w:t>
      </w:r>
      <w:r w:rsidRPr="009E3046">
        <w:rPr>
          <w:rFonts w:ascii="Times New Roman" w:hAnsi="Times New Roman" w:cs="Times New Roman"/>
          <w:sz w:val="26"/>
          <w:szCs w:val="26"/>
        </w:rPr>
        <w:t xml:space="preserve">Chỉ ghi nhận 1 vụ tổn thất, mức thấp nhất trong các nhóm trọng tải. </w:t>
      </w:r>
    </w:p>
    <w:p w14:paraId="15F238D3" w14:textId="15D32027"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35.000 – 49.999 DWT</w:t>
      </w:r>
      <w:r>
        <w:rPr>
          <w:rFonts w:ascii="Times New Roman" w:hAnsi="Times New Roman" w:cs="Times New Roman"/>
          <w:b/>
          <w:bCs/>
          <w:sz w:val="26"/>
          <w:szCs w:val="26"/>
        </w:rPr>
        <w:t xml:space="preserve">: </w:t>
      </w:r>
      <w:r w:rsidRPr="009E3046">
        <w:rPr>
          <w:rFonts w:ascii="Times New Roman" w:hAnsi="Times New Roman" w:cs="Times New Roman"/>
          <w:sz w:val="26"/>
          <w:szCs w:val="26"/>
        </w:rPr>
        <w:t xml:space="preserve">Ghi nhận 3 vụ tổn thất. Đáng chú ý là không có thiệt hại về người trong các vụ tổn thất thuộc hai nhóm trọng tải này. </w:t>
      </w:r>
    </w:p>
    <w:p w14:paraId="665BD475"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Dữ liệu 10 năm cho thấy những khoảng trống về an toàn</w:t>
      </w:r>
    </w:p>
    <w:p w14:paraId="6BF2813D" w14:textId="77777777"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sz w:val="26"/>
          <w:szCs w:val="26"/>
        </w:rPr>
        <w:t>Phân tích ban đầu từ dữ liệu tai nạn tàu hàng rời trong 10 năm qua cho thấy một số lĩnh vực vẫn tồn tại rủi ro đáng kể.</w:t>
      </w:r>
    </w:p>
    <w:p w14:paraId="51550136"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1. Hóa lỏng hàng rời vẫn là nguyên nhân gây tử vong lớn nhất</w:t>
      </w:r>
    </w:p>
    <w:p w14:paraId="4271782A" w14:textId="2A3AAC2B"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sz w:val="26"/>
          <w:szCs w:val="26"/>
        </w:rPr>
        <w:t xml:space="preserve">Hiện tượng </w:t>
      </w:r>
      <w:r w:rsidRPr="009E3046">
        <w:rPr>
          <w:rFonts w:ascii="Times New Roman" w:hAnsi="Times New Roman" w:cs="Times New Roman"/>
          <w:b/>
          <w:bCs/>
          <w:sz w:val="26"/>
          <w:szCs w:val="26"/>
        </w:rPr>
        <w:t>hóa lỏng hàng rời (cargo liquefaction)</w:t>
      </w:r>
      <w:r w:rsidRPr="009E3046">
        <w:rPr>
          <w:rFonts w:ascii="Times New Roman" w:hAnsi="Times New Roman" w:cs="Times New Roman"/>
          <w:sz w:val="26"/>
          <w:szCs w:val="26"/>
        </w:rPr>
        <w:t xml:space="preserve"> tiếp tục là nguyên nhân hàng đầu gây thiệt hại nhân mạng, với</w:t>
      </w:r>
      <w:r>
        <w:rPr>
          <w:rFonts w:ascii="Times New Roman" w:hAnsi="Times New Roman" w:cs="Times New Roman"/>
          <w:sz w:val="26"/>
          <w:szCs w:val="26"/>
        </w:rPr>
        <w:t xml:space="preserve"> </w:t>
      </w:r>
      <w:r w:rsidRPr="009E3046">
        <w:rPr>
          <w:rFonts w:ascii="Times New Roman" w:hAnsi="Times New Roman" w:cs="Times New Roman"/>
          <w:sz w:val="26"/>
          <w:szCs w:val="26"/>
        </w:rPr>
        <w:t>37 người tử vong</w:t>
      </w:r>
      <w:r>
        <w:rPr>
          <w:rFonts w:ascii="Times New Roman" w:hAnsi="Times New Roman" w:cs="Times New Roman"/>
          <w:sz w:val="26"/>
          <w:szCs w:val="26"/>
        </w:rPr>
        <w:t>, c</w:t>
      </w:r>
      <w:r w:rsidRPr="009E3046">
        <w:rPr>
          <w:rFonts w:ascii="Times New Roman" w:hAnsi="Times New Roman" w:cs="Times New Roman"/>
          <w:sz w:val="26"/>
          <w:szCs w:val="26"/>
        </w:rPr>
        <w:t xml:space="preserve">hiếm 52,1% tổng số người thiệt mạng trong 10 năm qua. </w:t>
      </w:r>
      <w:r>
        <w:rPr>
          <w:rFonts w:ascii="Times New Roman" w:hAnsi="Times New Roman" w:cs="Times New Roman"/>
          <w:sz w:val="26"/>
          <w:szCs w:val="26"/>
        </w:rPr>
        <w:t xml:space="preserve"> </w:t>
      </w:r>
      <w:r w:rsidRPr="009E3046">
        <w:rPr>
          <w:rFonts w:ascii="Times New Roman" w:hAnsi="Times New Roman" w:cs="Times New Roman"/>
          <w:sz w:val="26"/>
          <w:szCs w:val="26"/>
        </w:rPr>
        <w:t>Các vụ việc liên quan bao gồm:</w:t>
      </w:r>
    </w:p>
    <w:p w14:paraId="3D16B38C" w14:textId="46F04EB9" w:rsidR="009E3046" w:rsidRPr="009E3046" w:rsidRDefault="009E3046" w:rsidP="009E3046">
      <w:pPr>
        <w:spacing w:after="120"/>
        <w:jc w:val="both"/>
        <w:rPr>
          <w:rFonts w:ascii="Times New Roman" w:hAnsi="Times New Roman" w:cs="Times New Roman"/>
          <w:sz w:val="26"/>
          <w:szCs w:val="26"/>
        </w:rPr>
      </w:pPr>
      <w:r w:rsidRPr="00653986">
        <w:rPr>
          <w:rFonts w:ascii="Times New Roman" w:hAnsi="Times New Roman" w:cs="Times New Roman"/>
          <w:sz w:val="26"/>
          <w:szCs w:val="26"/>
        </w:rPr>
        <w:t>Quặng sắt mịn (Iron Ore Fines) từ Ấn Độ</w:t>
      </w:r>
      <w:r>
        <w:rPr>
          <w:rFonts w:ascii="Times New Roman" w:hAnsi="Times New Roman" w:cs="Times New Roman"/>
          <w:b/>
          <w:bCs/>
          <w:sz w:val="26"/>
          <w:szCs w:val="26"/>
        </w:rPr>
        <w:t xml:space="preserve">: </w:t>
      </w:r>
      <w:r w:rsidRPr="009E3046">
        <w:rPr>
          <w:rFonts w:ascii="Times New Roman" w:hAnsi="Times New Roman" w:cs="Times New Roman"/>
          <w:sz w:val="26"/>
          <w:szCs w:val="26"/>
        </w:rPr>
        <w:t>2 vụ tai nạn</w:t>
      </w:r>
      <w:r>
        <w:rPr>
          <w:rFonts w:ascii="Times New Roman" w:hAnsi="Times New Roman" w:cs="Times New Roman"/>
          <w:sz w:val="26"/>
          <w:szCs w:val="26"/>
        </w:rPr>
        <w:t xml:space="preserve">, </w:t>
      </w:r>
      <w:r w:rsidRPr="009E3046">
        <w:rPr>
          <w:rFonts w:ascii="Times New Roman" w:hAnsi="Times New Roman" w:cs="Times New Roman"/>
          <w:sz w:val="26"/>
          <w:szCs w:val="26"/>
        </w:rPr>
        <w:t xml:space="preserve">1 người thiệt mạng. </w:t>
      </w:r>
    </w:p>
    <w:p w14:paraId="038DFB9A" w14:textId="1682B4E0" w:rsidR="009E3046" w:rsidRPr="009E3046" w:rsidRDefault="009E3046" w:rsidP="00653986">
      <w:pPr>
        <w:spacing w:after="120"/>
        <w:jc w:val="both"/>
        <w:rPr>
          <w:rFonts w:ascii="Times New Roman" w:hAnsi="Times New Roman" w:cs="Times New Roman"/>
          <w:sz w:val="26"/>
          <w:szCs w:val="26"/>
        </w:rPr>
      </w:pPr>
      <w:r w:rsidRPr="00653986">
        <w:rPr>
          <w:rFonts w:ascii="Times New Roman" w:hAnsi="Times New Roman" w:cs="Times New Roman"/>
          <w:sz w:val="26"/>
          <w:szCs w:val="26"/>
        </w:rPr>
        <w:t>Quặng Nickel từ Indonesia</w:t>
      </w:r>
      <w:r w:rsidR="00653986" w:rsidRPr="00653986">
        <w:rPr>
          <w:rFonts w:ascii="Times New Roman" w:hAnsi="Times New Roman" w:cs="Times New Roman"/>
          <w:sz w:val="26"/>
          <w:szCs w:val="26"/>
        </w:rPr>
        <w:t>:</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8 vụ tai nạn</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 xml:space="preserve">119 người thiệt mạng. </w:t>
      </w:r>
    </w:p>
    <w:p w14:paraId="65141FA4" w14:textId="68A68E10" w:rsidR="009E3046" w:rsidRPr="009E3046" w:rsidRDefault="009E3046" w:rsidP="00653986">
      <w:pPr>
        <w:spacing w:after="120"/>
        <w:jc w:val="both"/>
        <w:rPr>
          <w:rFonts w:ascii="Times New Roman" w:hAnsi="Times New Roman" w:cs="Times New Roman"/>
          <w:sz w:val="26"/>
          <w:szCs w:val="26"/>
        </w:rPr>
      </w:pPr>
      <w:r w:rsidRPr="00653986">
        <w:rPr>
          <w:rFonts w:ascii="Times New Roman" w:hAnsi="Times New Roman" w:cs="Times New Roman"/>
          <w:sz w:val="26"/>
          <w:szCs w:val="26"/>
        </w:rPr>
        <w:t>Bauxite từ Malaysia</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1 vụ tai nạn</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 xml:space="preserve">18 người thiệt mạng. </w:t>
      </w:r>
    </w:p>
    <w:p w14:paraId="55F86E1F" w14:textId="74F435CC" w:rsidR="009E3046" w:rsidRPr="009E3046" w:rsidRDefault="009E3046" w:rsidP="00653986">
      <w:pPr>
        <w:spacing w:after="120"/>
        <w:jc w:val="both"/>
        <w:rPr>
          <w:rFonts w:ascii="Times New Roman" w:hAnsi="Times New Roman" w:cs="Times New Roman"/>
          <w:sz w:val="26"/>
          <w:szCs w:val="26"/>
        </w:rPr>
      </w:pPr>
      <w:r w:rsidRPr="00653986">
        <w:rPr>
          <w:rFonts w:ascii="Times New Roman" w:hAnsi="Times New Roman" w:cs="Times New Roman"/>
          <w:sz w:val="26"/>
          <w:szCs w:val="26"/>
        </w:rPr>
        <w:t>Quặng Nickel từ Philippines</w:t>
      </w:r>
      <w:r w:rsidR="00653986" w:rsidRPr="00653986">
        <w:rPr>
          <w:rFonts w:ascii="Times New Roman" w:hAnsi="Times New Roman" w:cs="Times New Roman"/>
          <w:sz w:val="26"/>
          <w:szCs w:val="26"/>
        </w:rPr>
        <w:t>:</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1 vụ tai nạn trong năm 2026</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 xml:space="preserve">6 người thiệt mạng. </w:t>
      </w:r>
    </w:p>
    <w:p w14:paraId="36A58416" w14:textId="77777777"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i/>
          <w:iCs/>
          <w:sz w:val="26"/>
          <w:szCs w:val="26"/>
        </w:rPr>
        <w:t>(Lưu ý: các số liệu trên phản ánh thống kê lịch sử tích lũy liên quan đến các loại hàng hóa này, không chỉ giới hạn trong giai đoạn 2016–2025.)</w:t>
      </w:r>
    </w:p>
    <w:p w14:paraId="6C9A6A6B"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2. Mắc cạn vẫn là nguyên nhân hàng đầu gây mất tàu</w:t>
      </w:r>
    </w:p>
    <w:p w14:paraId="3818BB70" w14:textId="7FF0102F" w:rsidR="009E3046" w:rsidRPr="009E3046" w:rsidRDefault="009E3046" w:rsidP="00653986">
      <w:pPr>
        <w:spacing w:after="120"/>
        <w:jc w:val="both"/>
        <w:rPr>
          <w:rFonts w:ascii="Times New Roman" w:hAnsi="Times New Roman" w:cs="Times New Roman"/>
          <w:sz w:val="26"/>
          <w:szCs w:val="26"/>
        </w:rPr>
      </w:pPr>
      <w:r w:rsidRPr="009E3046">
        <w:rPr>
          <w:rFonts w:ascii="Times New Roman" w:hAnsi="Times New Roman" w:cs="Times New Roman"/>
          <w:sz w:val="26"/>
          <w:szCs w:val="26"/>
        </w:rPr>
        <w:t xml:space="preserve">Tai nạn </w:t>
      </w:r>
      <w:r w:rsidRPr="00653986">
        <w:rPr>
          <w:rFonts w:ascii="Times New Roman" w:hAnsi="Times New Roman" w:cs="Times New Roman"/>
          <w:sz w:val="26"/>
          <w:szCs w:val="26"/>
        </w:rPr>
        <w:t>mắc cạn (grounding)</w:t>
      </w:r>
      <w:r w:rsidRPr="009E3046">
        <w:rPr>
          <w:rFonts w:ascii="Times New Roman" w:hAnsi="Times New Roman" w:cs="Times New Roman"/>
          <w:sz w:val="26"/>
          <w:szCs w:val="26"/>
        </w:rPr>
        <w:t xml:space="preserve"> tiếp tục là nguyên nhân phổ biến nhất dẫn đến tổn thất toàn bộ tàu</w:t>
      </w:r>
      <w:r w:rsidR="00653986">
        <w:rPr>
          <w:rFonts w:ascii="Times New Roman" w:hAnsi="Times New Roman" w:cs="Times New Roman"/>
          <w:sz w:val="26"/>
          <w:szCs w:val="26"/>
        </w:rPr>
        <w:t xml:space="preserve"> với </w:t>
      </w:r>
      <w:r w:rsidRPr="009E3046">
        <w:rPr>
          <w:rFonts w:ascii="Times New Roman" w:hAnsi="Times New Roman" w:cs="Times New Roman"/>
          <w:sz w:val="26"/>
          <w:szCs w:val="26"/>
        </w:rPr>
        <w:t>7 vụ tổn thất</w:t>
      </w:r>
      <w:r w:rsidR="00653986">
        <w:rPr>
          <w:rFonts w:ascii="Times New Roman" w:hAnsi="Times New Roman" w:cs="Times New Roman"/>
          <w:sz w:val="26"/>
          <w:szCs w:val="26"/>
        </w:rPr>
        <w:t>, c</w:t>
      </w:r>
      <w:r w:rsidRPr="009E3046">
        <w:rPr>
          <w:rFonts w:ascii="Times New Roman" w:hAnsi="Times New Roman" w:cs="Times New Roman"/>
          <w:sz w:val="26"/>
          <w:szCs w:val="26"/>
        </w:rPr>
        <w:t xml:space="preserve">hiếm </w:t>
      </w:r>
      <w:r w:rsidRPr="00653986">
        <w:rPr>
          <w:rFonts w:ascii="Times New Roman" w:hAnsi="Times New Roman" w:cs="Times New Roman"/>
          <w:sz w:val="26"/>
          <w:szCs w:val="26"/>
        </w:rPr>
        <w:t>41,1%</w:t>
      </w:r>
      <w:r w:rsidRPr="009E3046">
        <w:rPr>
          <w:rFonts w:ascii="Times New Roman" w:hAnsi="Times New Roman" w:cs="Times New Roman"/>
          <w:sz w:val="26"/>
          <w:szCs w:val="26"/>
        </w:rPr>
        <w:t xml:space="preserve"> tổng số vụ mất tàu. </w:t>
      </w:r>
    </w:p>
    <w:p w14:paraId="2E2B510D"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3. Ngập nước gây thiệt hại nhân mạng đặc biệt nghiêm trọng</w:t>
      </w:r>
    </w:p>
    <w:p w14:paraId="5A9BCCA2" w14:textId="5B1329F6" w:rsidR="009E3046" w:rsidRPr="009E3046" w:rsidRDefault="009E3046" w:rsidP="00653986">
      <w:pPr>
        <w:spacing w:after="120"/>
        <w:jc w:val="both"/>
        <w:rPr>
          <w:rFonts w:ascii="Times New Roman" w:hAnsi="Times New Roman" w:cs="Times New Roman"/>
          <w:sz w:val="26"/>
          <w:szCs w:val="26"/>
        </w:rPr>
      </w:pPr>
      <w:r w:rsidRPr="009E3046">
        <w:rPr>
          <w:rFonts w:ascii="Times New Roman" w:hAnsi="Times New Roman" w:cs="Times New Roman"/>
          <w:sz w:val="26"/>
          <w:szCs w:val="26"/>
        </w:rPr>
        <w:t>Có</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 xml:space="preserve">4 vụ tai nạn </w:t>
      </w:r>
      <w:r w:rsidR="00653986">
        <w:rPr>
          <w:rFonts w:ascii="Times New Roman" w:hAnsi="Times New Roman" w:cs="Times New Roman"/>
          <w:sz w:val="26"/>
          <w:szCs w:val="26"/>
        </w:rPr>
        <w:t xml:space="preserve">do </w:t>
      </w:r>
      <w:r w:rsidRPr="009E3046">
        <w:rPr>
          <w:rFonts w:ascii="Times New Roman" w:hAnsi="Times New Roman" w:cs="Times New Roman"/>
          <w:sz w:val="26"/>
          <w:szCs w:val="26"/>
        </w:rPr>
        <w:t>ngập nước (flooding)</w:t>
      </w:r>
      <w:r w:rsidR="00653986">
        <w:rPr>
          <w:rFonts w:ascii="Times New Roman" w:hAnsi="Times New Roman" w:cs="Times New Roman"/>
          <w:sz w:val="26"/>
          <w:szCs w:val="26"/>
        </w:rPr>
        <w:t>, c</w:t>
      </w:r>
      <w:r w:rsidRPr="009E3046">
        <w:rPr>
          <w:rFonts w:ascii="Times New Roman" w:hAnsi="Times New Roman" w:cs="Times New Roman"/>
          <w:sz w:val="26"/>
          <w:szCs w:val="26"/>
        </w:rPr>
        <w:t xml:space="preserve">hiếm </w:t>
      </w:r>
      <w:r w:rsidRPr="00653986">
        <w:rPr>
          <w:rFonts w:ascii="Times New Roman" w:hAnsi="Times New Roman" w:cs="Times New Roman"/>
          <w:sz w:val="26"/>
          <w:szCs w:val="26"/>
        </w:rPr>
        <w:t>23,5%</w:t>
      </w:r>
      <w:r w:rsidRPr="009E3046">
        <w:rPr>
          <w:rFonts w:ascii="Times New Roman" w:hAnsi="Times New Roman" w:cs="Times New Roman"/>
          <w:sz w:val="26"/>
          <w:szCs w:val="26"/>
        </w:rPr>
        <w:t xml:space="preserve"> tổng số vụ tổn thất. </w:t>
      </w:r>
    </w:p>
    <w:p w14:paraId="68760853" w14:textId="45764C29" w:rsidR="009E3046" w:rsidRPr="009E3046" w:rsidRDefault="009E3046" w:rsidP="00653986">
      <w:pPr>
        <w:spacing w:after="120"/>
        <w:jc w:val="both"/>
        <w:rPr>
          <w:rFonts w:ascii="Times New Roman" w:hAnsi="Times New Roman" w:cs="Times New Roman"/>
          <w:sz w:val="26"/>
          <w:szCs w:val="26"/>
        </w:rPr>
      </w:pPr>
      <w:r w:rsidRPr="009E3046">
        <w:rPr>
          <w:rFonts w:ascii="Times New Roman" w:hAnsi="Times New Roman" w:cs="Times New Roman"/>
          <w:sz w:val="26"/>
          <w:szCs w:val="26"/>
        </w:rPr>
        <w:t>Nhưng các vụ này làm</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34 thuyền viên thiệt mạng</w:t>
      </w:r>
      <w:r w:rsidR="00653986">
        <w:rPr>
          <w:rFonts w:ascii="Times New Roman" w:hAnsi="Times New Roman" w:cs="Times New Roman"/>
          <w:sz w:val="26"/>
          <w:szCs w:val="26"/>
        </w:rPr>
        <w:t>, c</w:t>
      </w:r>
      <w:r w:rsidRPr="009E3046">
        <w:rPr>
          <w:rFonts w:ascii="Times New Roman" w:hAnsi="Times New Roman" w:cs="Times New Roman"/>
          <w:sz w:val="26"/>
          <w:szCs w:val="26"/>
        </w:rPr>
        <w:t xml:space="preserve">hiếm </w:t>
      </w:r>
      <w:r w:rsidRPr="00653986">
        <w:rPr>
          <w:rFonts w:ascii="Times New Roman" w:hAnsi="Times New Roman" w:cs="Times New Roman"/>
          <w:sz w:val="26"/>
          <w:szCs w:val="26"/>
        </w:rPr>
        <w:t>47,9%</w:t>
      </w:r>
      <w:r w:rsidRPr="009E3046">
        <w:rPr>
          <w:rFonts w:ascii="Times New Roman" w:hAnsi="Times New Roman" w:cs="Times New Roman"/>
          <w:sz w:val="26"/>
          <w:szCs w:val="26"/>
        </w:rPr>
        <w:t xml:space="preserve"> tổng số người tử vong. </w:t>
      </w:r>
    </w:p>
    <w:p w14:paraId="58815BCB" w14:textId="023C147D" w:rsidR="0065398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sz w:val="26"/>
          <w:szCs w:val="26"/>
        </w:rPr>
        <w:t>Điều này cho thấy các sự cố mất kín nước hoặc hư hỏng kết cấu thường dẫn đến hậu quả đặc biệt nghiêm trọng.</w:t>
      </w:r>
    </w:p>
    <w:p w14:paraId="28C93589" w14:textId="77777777" w:rsidR="006A0471" w:rsidRPr="009E3046" w:rsidRDefault="006A0471" w:rsidP="009E3046">
      <w:pPr>
        <w:spacing w:after="120"/>
        <w:jc w:val="both"/>
        <w:rPr>
          <w:rFonts w:ascii="Times New Roman" w:hAnsi="Times New Roman" w:cs="Times New Roman"/>
          <w:sz w:val="26"/>
          <w:szCs w:val="26"/>
        </w:rPr>
      </w:pPr>
    </w:p>
    <w:p w14:paraId="4C6D6B9E" w14:textId="2A075B04"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 xml:space="preserve">Những </w:t>
      </w:r>
      <w:r w:rsidR="00653986">
        <w:rPr>
          <w:rFonts w:ascii="Times New Roman" w:hAnsi="Times New Roman" w:cs="Times New Roman"/>
          <w:b/>
          <w:bCs/>
          <w:sz w:val="26"/>
          <w:szCs w:val="26"/>
        </w:rPr>
        <w:t>vấn đề</w:t>
      </w:r>
      <w:r w:rsidRPr="009E3046">
        <w:rPr>
          <w:rFonts w:ascii="Times New Roman" w:hAnsi="Times New Roman" w:cs="Times New Roman"/>
          <w:b/>
          <w:bCs/>
          <w:sz w:val="26"/>
          <w:szCs w:val="26"/>
        </w:rPr>
        <w:t xml:space="preserve"> quan trọng</w:t>
      </w:r>
    </w:p>
    <w:p w14:paraId="4552D5E4" w14:textId="0466F029" w:rsidR="009E3046" w:rsidRPr="009E3046" w:rsidRDefault="009E3046" w:rsidP="0065398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Cập nhật thường xuyên hơn các lịch trình hàng hóa (Cargo Schedules)</w:t>
      </w:r>
      <w:r w:rsidR="00653986">
        <w:rPr>
          <w:rFonts w:ascii="Times New Roman" w:hAnsi="Times New Roman" w:cs="Times New Roman"/>
          <w:b/>
          <w:bCs/>
          <w:sz w:val="26"/>
          <w:szCs w:val="26"/>
        </w:rPr>
        <w:t xml:space="preserve">: </w:t>
      </w:r>
      <w:r w:rsidR="00653986">
        <w:rPr>
          <w:rFonts w:ascii="Times New Roman" w:hAnsi="Times New Roman" w:cs="Times New Roman"/>
          <w:sz w:val="26"/>
          <w:szCs w:val="26"/>
        </w:rPr>
        <w:t>Những</w:t>
      </w:r>
      <w:r w:rsidRPr="009E3046">
        <w:rPr>
          <w:rFonts w:ascii="Times New Roman" w:hAnsi="Times New Roman" w:cs="Times New Roman"/>
          <w:sz w:val="26"/>
          <w:szCs w:val="26"/>
        </w:rPr>
        <w:t xml:space="preserve"> bài học từ các vụ tai nạn cho thấy cần cập nhật thường xuyên hơn các yêu cầu trong Bộ luật IMSBC nhằm phản ánh</w:t>
      </w:r>
      <w:r w:rsidR="00653986">
        <w:rPr>
          <w:rFonts w:ascii="Times New Roman" w:hAnsi="Times New Roman" w:cs="Times New Roman"/>
          <w:sz w:val="26"/>
          <w:szCs w:val="26"/>
        </w:rPr>
        <w:t xml:space="preserve"> c</w:t>
      </w:r>
      <w:r w:rsidRPr="009E3046">
        <w:rPr>
          <w:rFonts w:ascii="Times New Roman" w:hAnsi="Times New Roman" w:cs="Times New Roman"/>
          <w:sz w:val="26"/>
          <w:szCs w:val="26"/>
        </w:rPr>
        <w:t>ác loại hàng hóa mới</w:t>
      </w:r>
      <w:r w:rsidR="00653986">
        <w:rPr>
          <w:rFonts w:ascii="Times New Roman" w:hAnsi="Times New Roman" w:cs="Times New Roman"/>
          <w:sz w:val="26"/>
          <w:szCs w:val="26"/>
        </w:rPr>
        <w:t xml:space="preserve"> và n</w:t>
      </w:r>
      <w:r w:rsidRPr="009E3046">
        <w:rPr>
          <w:rFonts w:ascii="Times New Roman" w:hAnsi="Times New Roman" w:cs="Times New Roman"/>
          <w:sz w:val="26"/>
          <w:szCs w:val="26"/>
        </w:rPr>
        <w:t xml:space="preserve">hững thay đổi về đặc tính của hàng hóa hiện có. </w:t>
      </w:r>
    </w:p>
    <w:p w14:paraId="56BE9DB6" w14:textId="3A87CBBD" w:rsidR="009E3046" w:rsidRPr="009E3046" w:rsidRDefault="009E3046" w:rsidP="0065398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lastRenderedPageBreak/>
        <w:t>Tăng cường yêu cầu về kiểm tra độ ẩm</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Ngành vận tải biển đang có nhu cầu ngày càng lớn đối với các quy định rõ ràng và mang tính bắt buộc hơn về</w:t>
      </w:r>
      <w:r w:rsidR="00653986">
        <w:rPr>
          <w:rFonts w:ascii="Times New Roman" w:hAnsi="Times New Roman" w:cs="Times New Roman"/>
          <w:sz w:val="26"/>
          <w:szCs w:val="26"/>
        </w:rPr>
        <w:t xml:space="preserve"> kiểm tra đ</w:t>
      </w:r>
      <w:r w:rsidRPr="009E3046">
        <w:rPr>
          <w:rFonts w:ascii="Times New Roman" w:hAnsi="Times New Roman" w:cs="Times New Roman"/>
          <w:sz w:val="26"/>
          <w:szCs w:val="26"/>
        </w:rPr>
        <w:t>ộ ẩm</w:t>
      </w:r>
      <w:r w:rsidR="00653986">
        <w:rPr>
          <w:rFonts w:ascii="Times New Roman" w:hAnsi="Times New Roman" w:cs="Times New Roman"/>
          <w:sz w:val="26"/>
          <w:szCs w:val="26"/>
        </w:rPr>
        <w:t>, q</w:t>
      </w:r>
      <w:r w:rsidRPr="009E3046">
        <w:rPr>
          <w:rFonts w:ascii="Times New Roman" w:hAnsi="Times New Roman" w:cs="Times New Roman"/>
          <w:sz w:val="26"/>
          <w:szCs w:val="26"/>
        </w:rPr>
        <w:t>uy trình lấy mẫu</w:t>
      </w:r>
      <w:r w:rsidR="00653986">
        <w:rPr>
          <w:rFonts w:ascii="Times New Roman" w:hAnsi="Times New Roman" w:cs="Times New Roman"/>
          <w:sz w:val="26"/>
          <w:szCs w:val="26"/>
        </w:rPr>
        <w:t xml:space="preserve"> và k</w:t>
      </w:r>
      <w:r w:rsidRPr="009E3046">
        <w:rPr>
          <w:rFonts w:ascii="Times New Roman" w:hAnsi="Times New Roman" w:cs="Times New Roman"/>
          <w:sz w:val="26"/>
          <w:szCs w:val="26"/>
        </w:rPr>
        <w:t xml:space="preserve">hai báo chính xác tính chất hàng hóa của người gửi hàng. </w:t>
      </w:r>
    </w:p>
    <w:p w14:paraId="5610FA53" w14:textId="3FFF68E7" w:rsidR="009E3046" w:rsidRPr="009E3046" w:rsidRDefault="009E3046" w:rsidP="0065398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Tăng cường thực thi</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Việc tuân thủ cần được củng cố thông qua</w:t>
      </w:r>
      <w:r w:rsidR="00653986">
        <w:rPr>
          <w:rFonts w:ascii="Times New Roman" w:hAnsi="Times New Roman" w:cs="Times New Roman"/>
          <w:sz w:val="26"/>
          <w:szCs w:val="26"/>
        </w:rPr>
        <w:t xml:space="preserve"> việc k</w:t>
      </w:r>
      <w:r w:rsidRPr="009E3046">
        <w:rPr>
          <w:rFonts w:ascii="Times New Roman" w:hAnsi="Times New Roman" w:cs="Times New Roman"/>
          <w:sz w:val="26"/>
          <w:szCs w:val="26"/>
        </w:rPr>
        <w:t xml:space="preserve">iểm tra chặt chẽ hơn từ quốc gia </w:t>
      </w:r>
      <w:r w:rsidR="00653986">
        <w:rPr>
          <w:rFonts w:ascii="Times New Roman" w:hAnsi="Times New Roman" w:cs="Times New Roman"/>
          <w:sz w:val="26"/>
          <w:szCs w:val="26"/>
        </w:rPr>
        <w:t>tàu mang</w:t>
      </w:r>
      <w:r w:rsidRPr="009E3046">
        <w:rPr>
          <w:rFonts w:ascii="Times New Roman" w:hAnsi="Times New Roman" w:cs="Times New Roman"/>
          <w:sz w:val="26"/>
          <w:szCs w:val="26"/>
        </w:rPr>
        <w:t xml:space="preserve"> cờ</w:t>
      </w:r>
      <w:r w:rsidR="00653986">
        <w:rPr>
          <w:rFonts w:ascii="Times New Roman" w:hAnsi="Times New Roman" w:cs="Times New Roman"/>
          <w:sz w:val="26"/>
          <w:szCs w:val="26"/>
        </w:rPr>
        <w:t>, k</w:t>
      </w:r>
      <w:r w:rsidRPr="009E3046">
        <w:rPr>
          <w:rFonts w:ascii="Times New Roman" w:hAnsi="Times New Roman" w:cs="Times New Roman"/>
          <w:sz w:val="26"/>
          <w:szCs w:val="26"/>
        </w:rPr>
        <w:t xml:space="preserve">iểm tra của quốc gia </w:t>
      </w:r>
      <w:r w:rsidR="00653986">
        <w:rPr>
          <w:rFonts w:ascii="Times New Roman" w:hAnsi="Times New Roman" w:cs="Times New Roman"/>
          <w:sz w:val="26"/>
          <w:szCs w:val="26"/>
        </w:rPr>
        <w:t xml:space="preserve">có </w:t>
      </w:r>
      <w:r w:rsidRPr="009E3046">
        <w:rPr>
          <w:rFonts w:ascii="Times New Roman" w:hAnsi="Times New Roman" w:cs="Times New Roman"/>
          <w:sz w:val="26"/>
          <w:szCs w:val="26"/>
        </w:rPr>
        <w:t>cảng</w:t>
      </w:r>
      <w:r w:rsidR="00653986">
        <w:rPr>
          <w:rFonts w:ascii="Times New Roman" w:hAnsi="Times New Roman" w:cs="Times New Roman"/>
          <w:sz w:val="26"/>
          <w:szCs w:val="26"/>
        </w:rPr>
        <w:t>, t</w:t>
      </w:r>
      <w:r w:rsidRPr="009E3046">
        <w:rPr>
          <w:rFonts w:ascii="Times New Roman" w:hAnsi="Times New Roman" w:cs="Times New Roman"/>
          <w:sz w:val="26"/>
          <w:szCs w:val="26"/>
        </w:rPr>
        <w:t>hanh tra tập trung đối với các loại hàng hóa có nguy cơ cao</w:t>
      </w:r>
      <w:r w:rsidR="00653986">
        <w:rPr>
          <w:rFonts w:ascii="Times New Roman" w:hAnsi="Times New Roman" w:cs="Times New Roman"/>
          <w:sz w:val="26"/>
          <w:szCs w:val="26"/>
        </w:rPr>
        <w:t xml:space="preserve"> và đ</w:t>
      </w:r>
      <w:r w:rsidRPr="009E3046">
        <w:rPr>
          <w:rFonts w:ascii="Times New Roman" w:hAnsi="Times New Roman" w:cs="Times New Roman"/>
          <w:sz w:val="26"/>
          <w:szCs w:val="26"/>
        </w:rPr>
        <w:t xml:space="preserve">ào tạo bắt buộc cho nhân sự trên tàu và trên bờ. </w:t>
      </w:r>
    </w:p>
    <w:p w14:paraId="4C57B2D6" w14:textId="54088D75"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Minh bạch hóa và chia sẻ dữ liệu</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Việc</w:t>
      </w:r>
      <w:r w:rsidR="00653986">
        <w:rPr>
          <w:rFonts w:ascii="Times New Roman" w:hAnsi="Times New Roman" w:cs="Times New Roman"/>
          <w:sz w:val="26"/>
          <w:szCs w:val="26"/>
        </w:rPr>
        <w:t xml:space="preserve"> c</w:t>
      </w:r>
      <w:r w:rsidRPr="009E3046">
        <w:rPr>
          <w:rFonts w:ascii="Times New Roman" w:hAnsi="Times New Roman" w:cs="Times New Roman"/>
          <w:sz w:val="26"/>
          <w:szCs w:val="26"/>
        </w:rPr>
        <w:t>hia sẻ dữ liệu</w:t>
      </w:r>
      <w:r w:rsidR="00653986">
        <w:rPr>
          <w:rFonts w:ascii="Times New Roman" w:hAnsi="Times New Roman" w:cs="Times New Roman"/>
          <w:sz w:val="26"/>
          <w:szCs w:val="26"/>
        </w:rPr>
        <w:t>, c</w:t>
      </w:r>
      <w:r w:rsidRPr="009E3046">
        <w:rPr>
          <w:rFonts w:ascii="Times New Roman" w:hAnsi="Times New Roman" w:cs="Times New Roman"/>
          <w:sz w:val="26"/>
          <w:szCs w:val="26"/>
        </w:rPr>
        <w:t>ông khai thông tin</w:t>
      </w:r>
      <w:r w:rsidR="00653986">
        <w:rPr>
          <w:rFonts w:ascii="Times New Roman" w:hAnsi="Times New Roman" w:cs="Times New Roman"/>
          <w:sz w:val="26"/>
          <w:szCs w:val="26"/>
        </w:rPr>
        <w:t xml:space="preserve"> và p</w:t>
      </w:r>
      <w:r w:rsidRPr="009E3046">
        <w:rPr>
          <w:rFonts w:ascii="Times New Roman" w:hAnsi="Times New Roman" w:cs="Times New Roman"/>
          <w:sz w:val="26"/>
          <w:szCs w:val="26"/>
        </w:rPr>
        <w:t>hản hồi từ các cuộc điều tra tai nạn</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 xml:space="preserve">là yếu tố quan trọng để tiếp tục hoàn thiện </w:t>
      </w:r>
      <w:r w:rsidRPr="009E3046">
        <w:rPr>
          <w:rFonts w:ascii="Times New Roman" w:hAnsi="Times New Roman" w:cs="Times New Roman"/>
          <w:b/>
          <w:bCs/>
          <w:sz w:val="26"/>
          <w:szCs w:val="26"/>
        </w:rPr>
        <w:t>Bộ luật IMSBC</w:t>
      </w:r>
      <w:r w:rsidRPr="009E3046">
        <w:rPr>
          <w:rFonts w:ascii="Times New Roman" w:hAnsi="Times New Roman" w:cs="Times New Roman"/>
          <w:sz w:val="26"/>
          <w:szCs w:val="26"/>
        </w:rPr>
        <w:t xml:space="preserve"> và đưa các bài học kinh nghiệm vào thực tiễn khai thác.</w:t>
      </w:r>
    </w:p>
    <w:p w14:paraId="31D49DE8" w14:textId="3888C466" w:rsidR="009E3046" w:rsidRPr="009E3046" w:rsidRDefault="009E3046" w:rsidP="0065398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Giảm thiểu nguy cơ mắc cạn</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Việc giảm số vụ mắc cạn phụ thuộc vào</w:t>
      </w:r>
      <w:r w:rsidR="00653986">
        <w:rPr>
          <w:rFonts w:ascii="Times New Roman" w:hAnsi="Times New Roman" w:cs="Times New Roman"/>
          <w:sz w:val="26"/>
          <w:szCs w:val="26"/>
        </w:rPr>
        <w:t xml:space="preserve"> t</w:t>
      </w:r>
      <w:r w:rsidRPr="009E3046">
        <w:rPr>
          <w:rFonts w:ascii="Times New Roman" w:hAnsi="Times New Roman" w:cs="Times New Roman"/>
          <w:sz w:val="26"/>
          <w:szCs w:val="26"/>
        </w:rPr>
        <w:t>hực hành hàn</w:t>
      </w:r>
      <w:r w:rsidR="00653986">
        <w:rPr>
          <w:rFonts w:ascii="Times New Roman" w:hAnsi="Times New Roman" w:cs="Times New Roman"/>
          <w:sz w:val="26"/>
          <w:szCs w:val="26"/>
        </w:rPr>
        <w:t>h</w:t>
      </w:r>
      <w:r w:rsidRPr="009E3046">
        <w:rPr>
          <w:rFonts w:ascii="Times New Roman" w:hAnsi="Times New Roman" w:cs="Times New Roman"/>
          <w:sz w:val="26"/>
          <w:szCs w:val="26"/>
        </w:rPr>
        <w:t xml:space="preserve"> hải tốt hơn</w:t>
      </w:r>
      <w:r w:rsidR="00653986">
        <w:rPr>
          <w:rFonts w:ascii="Times New Roman" w:hAnsi="Times New Roman" w:cs="Times New Roman"/>
          <w:sz w:val="26"/>
          <w:szCs w:val="26"/>
        </w:rPr>
        <w:t>, l</w:t>
      </w:r>
      <w:r w:rsidRPr="009E3046">
        <w:rPr>
          <w:rFonts w:ascii="Times New Roman" w:hAnsi="Times New Roman" w:cs="Times New Roman"/>
          <w:sz w:val="26"/>
          <w:szCs w:val="26"/>
        </w:rPr>
        <w:t xml:space="preserve">ập </w:t>
      </w:r>
      <w:r w:rsidR="00653986">
        <w:rPr>
          <w:rFonts w:ascii="Times New Roman" w:hAnsi="Times New Roman" w:cs="Times New Roman"/>
          <w:sz w:val="26"/>
          <w:szCs w:val="26"/>
        </w:rPr>
        <w:t>tuyến</w:t>
      </w:r>
      <w:r w:rsidRPr="009E3046">
        <w:rPr>
          <w:rFonts w:ascii="Times New Roman" w:hAnsi="Times New Roman" w:cs="Times New Roman"/>
          <w:sz w:val="26"/>
          <w:szCs w:val="26"/>
        </w:rPr>
        <w:t xml:space="preserve"> hành trình hiệu quả hơn</w:t>
      </w:r>
      <w:r w:rsidR="00653986">
        <w:rPr>
          <w:rFonts w:ascii="Times New Roman" w:hAnsi="Times New Roman" w:cs="Times New Roman"/>
          <w:sz w:val="26"/>
          <w:szCs w:val="26"/>
        </w:rPr>
        <w:t xml:space="preserve"> và g</w:t>
      </w:r>
      <w:r w:rsidRPr="009E3046">
        <w:rPr>
          <w:rFonts w:ascii="Times New Roman" w:hAnsi="Times New Roman" w:cs="Times New Roman"/>
          <w:sz w:val="26"/>
          <w:szCs w:val="26"/>
        </w:rPr>
        <w:t xml:space="preserve">iám sát khai thác chặt chẽ hơn. </w:t>
      </w:r>
    </w:p>
    <w:p w14:paraId="399447F7" w14:textId="28E88283" w:rsidR="009E3046" w:rsidRPr="009E3046" w:rsidRDefault="009E3046" w:rsidP="00653986">
      <w:pPr>
        <w:tabs>
          <w:tab w:val="num" w:pos="720"/>
        </w:tabs>
        <w:spacing w:after="120"/>
        <w:jc w:val="both"/>
        <w:rPr>
          <w:rFonts w:ascii="Times New Roman" w:hAnsi="Times New Roman" w:cs="Times New Roman"/>
          <w:sz w:val="26"/>
          <w:szCs w:val="26"/>
        </w:rPr>
      </w:pPr>
      <w:r w:rsidRPr="009E3046">
        <w:rPr>
          <w:rFonts w:ascii="Times New Roman" w:hAnsi="Times New Roman" w:cs="Times New Roman"/>
          <w:b/>
          <w:bCs/>
          <w:sz w:val="26"/>
          <w:szCs w:val="26"/>
        </w:rPr>
        <w:t>Tận dụng hiệu quả các công cụ hàng hải</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Việc sử dụng hiệu quả các công cụ như</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ECDIS</w:t>
      </w:r>
      <w:r w:rsidR="00653986">
        <w:rPr>
          <w:rFonts w:ascii="Times New Roman" w:hAnsi="Times New Roman" w:cs="Times New Roman"/>
          <w:sz w:val="26"/>
          <w:szCs w:val="26"/>
        </w:rPr>
        <w:t xml:space="preserve">, </w:t>
      </w:r>
      <w:r w:rsidR="00653986" w:rsidRPr="009E3046">
        <w:rPr>
          <w:rFonts w:ascii="Times New Roman" w:hAnsi="Times New Roman" w:cs="Times New Roman"/>
          <w:sz w:val="26"/>
          <w:szCs w:val="26"/>
        </w:rPr>
        <w:t>cập nhật kịp thời</w:t>
      </w:r>
      <w:r w:rsidR="00653986" w:rsidRPr="009E3046">
        <w:rPr>
          <w:rFonts w:ascii="Times New Roman" w:hAnsi="Times New Roman" w:cs="Times New Roman"/>
          <w:sz w:val="26"/>
          <w:szCs w:val="26"/>
        </w:rPr>
        <w:t xml:space="preserve"> </w:t>
      </w:r>
      <w:r w:rsidR="00653986">
        <w:rPr>
          <w:rFonts w:ascii="Times New Roman" w:hAnsi="Times New Roman" w:cs="Times New Roman"/>
          <w:sz w:val="26"/>
          <w:szCs w:val="26"/>
        </w:rPr>
        <w:t>các c</w:t>
      </w:r>
      <w:r w:rsidRPr="009E3046">
        <w:rPr>
          <w:rFonts w:ascii="Times New Roman" w:hAnsi="Times New Roman" w:cs="Times New Roman"/>
          <w:sz w:val="26"/>
          <w:szCs w:val="26"/>
        </w:rPr>
        <w:t>ảnh báo hàng hải</w:t>
      </w:r>
      <w:r w:rsidR="00653986">
        <w:rPr>
          <w:rFonts w:ascii="Times New Roman" w:hAnsi="Times New Roman" w:cs="Times New Roman"/>
          <w:sz w:val="26"/>
          <w:szCs w:val="26"/>
        </w:rPr>
        <w:t xml:space="preserve"> </w:t>
      </w:r>
      <w:r w:rsidRPr="009E3046">
        <w:rPr>
          <w:rFonts w:ascii="Times New Roman" w:hAnsi="Times New Roman" w:cs="Times New Roman"/>
          <w:sz w:val="26"/>
          <w:szCs w:val="26"/>
        </w:rPr>
        <w:t>sẽ giúp nâng cao đáng kể nhận thức tình huống của sĩ quan trực ca.</w:t>
      </w:r>
    </w:p>
    <w:p w14:paraId="57D0A2AE" w14:textId="42530D5D" w:rsidR="009E3046" w:rsidRPr="009E3046" w:rsidRDefault="009E3046" w:rsidP="00653986">
      <w:pPr>
        <w:tabs>
          <w:tab w:val="num" w:pos="720"/>
        </w:tabs>
        <w:spacing w:after="120"/>
        <w:jc w:val="both"/>
        <w:rPr>
          <w:rFonts w:ascii="Times New Roman" w:hAnsi="Times New Roman" w:cs="Times New Roman"/>
          <w:sz w:val="26"/>
          <w:szCs w:val="26"/>
        </w:rPr>
      </w:pPr>
      <w:r w:rsidRPr="009E3046">
        <w:rPr>
          <w:rFonts w:ascii="Times New Roman" w:hAnsi="Times New Roman" w:cs="Times New Roman"/>
          <w:b/>
          <w:bCs/>
          <w:sz w:val="26"/>
          <w:szCs w:val="26"/>
        </w:rPr>
        <w:t>Tăng cường BRM</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Quản lý nguồn lực buồng lái (BRM) hiệu quả đòi hỏi</w:t>
      </w:r>
      <w:r w:rsidR="00653986">
        <w:rPr>
          <w:rFonts w:ascii="Times New Roman" w:hAnsi="Times New Roman" w:cs="Times New Roman"/>
          <w:sz w:val="26"/>
          <w:szCs w:val="26"/>
        </w:rPr>
        <w:t xml:space="preserve"> t</w:t>
      </w:r>
      <w:r w:rsidRPr="009E3046">
        <w:rPr>
          <w:rFonts w:ascii="Times New Roman" w:hAnsi="Times New Roman" w:cs="Times New Roman"/>
          <w:sz w:val="26"/>
          <w:szCs w:val="26"/>
        </w:rPr>
        <w:t>huyền viên được đào tạo tốt</w:t>
      </w:r>
      <w:r w:rsidR="00653986">
        <w:rPr>
          <w:rFonts w:ascii="Times New Roman" w:hAnsi="Times New Roman" w:cs="Times New Roman"/>
          <w:sz w:val="26"/>
          <w:szCs w:val="26"/>
        </w:rPr>
        <w:t>, q</w:t>
      </w:r>
      <w:r w:rsidRPr="009E3046">
        <w:rPr>
          <w:rFonts w:ascii="Times New Roman" w:hAnsi="Times New Roman" w:cs="Times New Roman"/>
          <w:sz w:val="26"/>
          <w:szCs w:val="26"/>
        </w:rPr>
        <w:t>uy trình theo dõi vị trí tàu rõ ràng</w:t>
      </w:r>
      <w:r w:rsidR="00653986">
        <w:rPr>
          <w:rFonts w:ascii="Times New Roman" w:hAnsi="Times New Roman" w:cs="Times New Roman"/>
          <w:sz w:val="26"/>
          <w:szCs w:val="26"/>
        </w:rPr>
        <w:t xml:space="preserve"> và k</w:t>
      </w:r>
      <w:r w:rsidRPr="009E3046">
        <w:rPr>
          <w:rFonts w:ascii="Times New Roman" w:hAnsi="Times New Roman" w:cs="Times New Roman"/>
          <w:sz w:val="26"/>
          <w:szCs w:val="26"/>
        </w:rPr>
        <w:t xml:space="preserve">iểm soát chặt chẽ khi hành trình </w:t>
      </w:r>
      <w:r w:rsidR="00653986">
        <w:rPr>
          <w:rFonts w:ascii="Times New Roman" w:hAnsi="Times New Roman" w:cs="Times New Roman"/>
          <w:sz w:val="26"/>
          <w:szCs w:val="26"/>
        </w:rPr>
        <w:t xml:space="preserve">ở </w:t>
      </w:r>
      <w:r w:rsidRPr="009E3046">
        <w:rPr>
          <w:rFonts w:ascii="Times New Roman" w:hAnsi="Times New Roman" w:cs="Times New Roman"/>
          <w:sz w:val="26"/>
          <w:szCs w:val="26"/>
        </w:rPr>
        <w:t xml:space="preserve">ven bờ và tiếp cận cảng. </w:t>
      </w:r>
    </w:p>
    <w:p w14:paraId="7E2E146C" w14:textId="22FA89D4" w:rsidR="009E3046" w:rsidRPr="009E3046" w:rsidRDefault="009E3046" w:rsidP="00653986">
      <w:pPr>
        <w:tabs>
          <w:tab w:val="num" w:pos="720"/>
        </w:tabs>
        <w:spacing w:after="120"/>
        <w:jc w:val="both"/>
        <w:rPr>
          <w:rFonts w:ascii="Times New Roman" w:hAnsi="Times New Roman" w:cs="Times New Roman"/>
          <w:sz w:val="26"/>
          <w:szCs w:val="26"/>
        </w:rPr>
      </w:pPr>
      <w:r w:rsidRPr="009E3046">
        <w:rPr>
          <w:rFonts w:ascii="Times New Roman" w:hAnsi="Times New Roman" w:cs="Times New Roman"/>
          <w:b/>
          <w:bCs/>
          <w:sz w:val="26"/>
          <w:szCs w:val="26"/>
        </w:rPr>
        <w:t xml:space="preserve">Vai trò của quản lý </w:t>
      </w:r>
      <w:r w:rsidR="00653986">
        <w:rPr>
          <w:rFonts w:ascii="Times New Roman" w:hAnsi="Times New Roman" w:cs="Times New Roman"/>
          <w:b/>
          <w:bCs/>
          <w:sz w:val="26"/>
          <w:szCs w:val="26"/>
        </w:rPr>
        <w:t xml:space="preserve">ở trên </w:t>
      </w:r>
      <w:r w:rsidRPr="009E3046">
        <w:rPr>
          <w:rFonts w:ascii="Times New Roman" w:hAnsi="Times New Roman" w:cs="Times New Roman"/>
          <w:b/>
          <w:bCs/>
          <w:sz w:val="26"/>
          <w:szCs w:val="26"/>
        </w:rPr>
        <w:t>bờ</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 xml:space="preserve">Bộ phận quản lý </w:t>
      </w:r>
      <w:r w:rsidR="00653986">
        <w:rPr>
          <w:rFonts w:ascii="Times New Roman" w:hAnsi="Times New Roman" w:cs="Times New Roman"/>
          <w:sz w:val="26"/>
          <w:szCs w:val="26"/>
        </w:rPr>
        <w:t xml:space="preserve">ở </w:t>
      </w:r>
      <w:r w:rsidRPr="009E3046">
        <w:rPr>
          <w:rFonts w:ascii="Times New Roman" w:hAnsi="Times New Roman" w:cs="Times New Roman"/>
          <w:sz w:val="26"/>
          <w:szCs w:val="26"/>
        </w:rPr>
        <w:t>trên bờ cần tham gia tích cực thông qua</w:t>
      </w:r>
      <w:r w:rsidR="00653986">
        <w:rPr>
          <w:rFonts w:ascii="Times New Roman" w:hAnsi="Times New Roman" w:cs="Times New Roman"/>
          <w:sz w:val="26"/>
          <w:szCs w:val="26"/>
        </w:rPr>
        <w:t xml:space="preserve"> r</w:t>
      </w:r>
      <w:r w:rsidRPr="009E3046">
        <w:rPr>
          <w:rFonts w:ascii="Times New Roman" w:hAnsi="Times New Roman" w:cs="Times New Roman"/>
          <w:sz w:val="26"/>
          <w:szCs w:val="26"/>
        </w:rPr>
        <w:t xml:space="preserve">à soát </w:t>
      </w:r>
      <w:r w:rsidR="00653986">
        <w:rPr>
          <w:rFonts w:ascii="Times New Roman" w:hAnsi="Times New Roman" w:cs="Times New Roman"/>
          <w:sz w:val="26"/>
          <w:szCs w:val="26"/>
        </w:rPr>
        <w:t>tuyến</w:t>
      </w:r>
      <w:r w:rsidRPr="009E3046">
        <w:rPr>
          <w:rFonts w:ascii="Times New Roman" w:hAnsi="Times New Roman" w:cs="Times New Roman"/>
          <w:sz w:val="26"/>
          <w:szCs w:val="26"/>
        </w:rPr>
        <w:t xml:space="preserve"> hành trình</w:t>
      </w:r>
      <w:r w:rsidR="00653986">
        <w:rPr>
          <w:rFonts w:ascii="Times New Roman" w:hAnsi="Times New Roman" w:cs="Times New Roman"/>
          <w:sz w:val="26"/>
          <w:szCs w:val="26"/>
        </w:rPr>
        <w:t>, p</w:t>
      </w:r>
      <w:r w:rsidRPr="009E3046">
        <w:rPr>
          <w:rFonts w:ascii="Times New Roman" w:hAnsi="Times New Roman" w:cs="Times New Roman"/>
          <w:sz w:val="26"/>
          <w:szCs w:val="26"/>
        </w:rPr>
        <w:t>hân tích bài học kinh nghiệm</w:t>
      </w:r>
      <w:r w:rsidR="00653986">
        <w:rPr>
          <w:rFonts w:ascii="Times New Roman" w:hAnsi="Times New Roman" w:cs="Times New Roman"/>
          <w:sz w:val="26"/>
          <w:szCs w:val="26"/>
        </w:rPr>
        <w:t xml:space="preserve"> và n</w:t>
      </w:r>
      <w:r w:rsidRPr="009E3046">
        <w:rPr>
          <w:rFonts w:ascii="Times New Roman" w:hAnsi="Times New Roman" w:cs="Times New Roman"/>
          <w:sz w:val="26"/>
          <w:szCs w:val="26"/>
        </w:rPr>
        <w:t xml:space="preserve">hận diện và giảm thiểu rủi ro hàng hải trước khi xảy ra tai nạn. </w:t>
      </w:r>
    </w:p>
    <w:p w14:paraId="77AB18C8" w14:textId="0C36A638" w:rsidR="009E3046" w:rsidRPr="009E3046" w:rsidRDefault="009E3046" w:rsidP="00653986">
      <w:pPr>
        <w:tabs>
          <w:tab w:val="num" w:pos="720"/>
        </w:tabs>
        <w:spacing w:after="120"/>
        <w:jc w:val="both"/>
        <w:rPr>
          <w:rFonts w:ascii="Times New Roman" w:hAnsi="Times New Roman" w:cs="Times New Roman"/>
          <w:sz w:val="26"/>
          <w:szCs w:val="26"/>
        </w:rPr>
      </w:pPr>
      <w:proofErr w:type="gramStart"/>
      <w:r w:rsidRPr="009E3046">
        <w:rPr>
          <w:rFonts w:ascii="Times New Roman" w:hAnsi="Times New Roman" w:cs="Times New Roman"/>
          <w:b/>
          <w:bCs/>
          <w:sz w:val="26"/>
          <w:szCs w:val="26"/>
        </w:rPr>
        <w:t>An</w:t>
      </w:r>
      <w:proofErr w:type="gramEnd"/>
      <w:r w:rsidRPr="009E3046">
        <w:rPr>
          <w:rFonts w:ascii="Times New Roman" w:hAnsi="Times New Roman" w:cs="Times New Roman"/>
          <w:b/>
          <w:bCs/>
          <w:sz w:val="26"/>
          <w:szCs w:val="26"/>
        </w:rPr>
        <w:t xml:space="preserve"> toàn tàu hàng rời là quá trình liên tục</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Những cải thiện về an toàn chỉ có thể đạt được thông qua</w:t>
      </w:r>
      <w:r w:rsidR="00653986">
        <w:rPr>
          <w:rFonts w:ascii="Times New Roman" w:hAnsi="Times New Roman" w:cs="Times New Roman"/>
          <w:sz w:val="26"/>
          <w:szCs w:val="26"/>
        </w:rPr>
        <w:t xml:space="preserve"> việc h</w:t>
      </w:r>
      <w:r w:rsidRPr="009E3046">
        <w:rPr>
          <w:rFonts w:ascii="Times New Roman" w:hAnsi="Times New Roman" w:cs="Times New Roman"/>
          <w:sz w:val="26"/>
          <w:szCs w:val="26"/>
        </w:rPr>
        <w:t>ọc hỏi liên tục</w:t>
      </w:r>
      <w:r w:rsidR="00653986">
        <w:rPr>
          <w:rFonts w:ascii="Times New Roman" w:hAnsi="Times New Roman" w:cs="Times New Roman"/>
          <w:sz w:val="26"/>
          <w:szCs w:val="26"/>
        </w:rPr>
        <w:t>, đ</w:t>
      </w:r>
      <w:r w:rsidRPr="009E3046">
        <w:rPr>
          <w:rFonts w:ascii="Times New Roman" w:hAnsi="Times New Roman" w:cs="Times New Roman"/>
          <w:sz w:val="26"/>
          <w:szCs w:val="26"/>
        </w:rPr>
        <w:t>ào tạo tốt hơn</w:t>
      </w:r>
      <w:r w:rsidR="00653986">
        <w:rPr>
          <w:rFonts w:ascii="Times New Roman" w:hAnsi="Times New Roman" w:cs="Times New Roman"/>
          <w:sz w:val="26"/>
          <w:szCs w:val="26"/>
        </w:rPr>
        <w:t>, t</w:t>
      </w:r>
      <w:r w:rsidRPr="009E3046">
        <w:rPr>
          <w:rFonts w:ascii="Times New Roman" w:hAnsi="Times New Roman" w:cs="Times New Roman"/>
          <w:sz w:val="26"/>
          <w:szCs w:val="26"/>
        </w:rPr>
        <w:t>hiết kế tàu tiên tiến hơn</w:t>
      </w:r>
      <w:r w:rsidR="00653986">
        <w:rPr>
          <w:rFonts w:ascii="Times New Roman" w:hAnsi="Times New Roman" w:cs="Times New Roman"/>
          <w:sz w:val="26"/>
          <w:szCs w:val="26"/>
        </w:rPr>
        <w:t>, ứ</w:t>
      </w:r>
      <w:r w:rsidRPr="009E3046">
        <w:rPr>
          <w:rFonts w:ascii="Times New Roman" w:hAnsi="Times New Roman" w:cs="Times New Roman"/>
          <w:sz w:val="26"/>
          <w:szCs w:val="26"/>
        </w:rPr>
        <w:t>ng dụng công nghệ</w:t>
      </w:r>
      <w:r w:rsidR="00653986">
        <w:rPr>
          <w:rFonts w:ascii="Times New Roman" w:hAnsi="Times New Roman" w:cs="Times New Roman"/>
          <w:sz w:val="26"/>
          <w:szCs w:val="26"/>
        </w:rPr>
        <w:t xml:space="preserve"> và t</w:t>
      </w:r>
      <w:r w:rsidRPr="009E3046">
        <w:rPr>
          <w:rFonts w:ascii="Times New Roman" w:hAnsi="Times New Roman" w:cs="Times New Roman"/>
          <w:sz w:val="26"/>
          <w:szCs w:val="26"/>
        </w:rPr>
        <w:t xml:space="preserve">uân thủ quy định chặt chẽ hơn. </w:t>
      </w:r>
    </w:p>
    <w:p w14:paraId="0E409DAE" w14:textId="2BD64094"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b/>
          <w:bCs/>
          <w:sz w:val="26"/>
          <w:szCs w:val="26"/>
        </w:rPr>
        <w:t>Mục tiêu cuối cùng của ngành</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Mục tiêu mà toàn ngành hướng tới là:</w:t>
      </w:r>
      <w:r w:rsidR="00653986">
        <w:rPr>
          <w:rFonts w:ascii="Times New Roman" w:hAnsi="Times New Roman" w:cs="Times New Roman"/>
          <w:sz w:val="26"/>
          <w:szCs w:val="26"/>
        </w:rPr>
        <w:t xml:space="preserve"> </w:t>
      </w:r>
      <w:r w:rsidRPr="009E3046">
        <w:rPr>
          <w:rFonts w:ascii="Times New Roman" w:hAnsi="Times New Roman" w:cs="Times New Roman"/>
          <w:b/>
          <w:bCs/>
          <w:sz w:val="26"/>
          <w:szCs w:val="26"/>
        </w:rPr>
        <w:t>“Không có thuyền viên nào thiệt mạng và không có tàu hàng rời nào bị tổn thất toàn bộ.”</w:t>
      </w:r>
      <w:r w:rsidR="00653986">
        <w:rPr>
          <w:rFonts w:ascii="Times New Roman" w:hAnsi="Times New Roman" w:cs="Times New Roman"/>
          <w:b/>
          <w:bCs/>
          <w:sz w:val="26"/>
          <w:szCs w:val="26"/>
        </w:rPr>
        <w:t xml:space="preserve"> </w:t>
      </w:r>
      <w:r w:rsidRPr="009E3046">
        <w:rPr>
          <w:rFonts w:ascii="Times New Roman" w:hAnsi="Times New Roman" w:cs="Times New Roman"/>
          <w:sz w:val="26"/>
          <w:szCs w:val="26"/>
        </w:rPr>
        <w:t>Để đạt được điều đó cần có sự phối hợp của tất cả các bên liên quan trong chuỗi vận tải biển.</w:t>
      </w:r>
    </w:p>
    <w:p w14:paraId="42705729"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Vụ mất tàu Devon Bay năm 2026</w:t>
      </w:r>
    </w:p>
    <w:p w14:paraId="69A9607F" w14:textId="0106859F" w:rsidR="009E3046" w:rsidRPr="009E3046" w:rsidRDefault="009E3046" w:rsidP="006A0471">
      <w:pPr>
        <w:tabs>
          <w:tab w:val="num" w:pos="720"/>
        </w:tabs>
        <w:spacing w:after="120"/>
        <w:jc w:val="both"/>
        <w:rPr>
          <w:rFonts w:ascii="Times New Roman" w:hAnsi="Times New Roman" w:cs="Times New Roman"/>
          <w:sz w:val="26"/>
          <w:szCs w:val="26"/>
        </w:rPr>
      </w:pPr>
      <w:r w:rsidRPr="009E3046">
        <w:rPr>
          <w:rFonts w:ascii="Times New Roman" w:hAnsi="Times New Roman" w:cs="Times New Roman"/>
          <w:sz w:val="26"/>
          <w:szCs w:val="26"/>
        </w:rPr>
        <w:t xml:space="preserve">Đầu năm 2026, ngành tàu hàng rời đã phải đón nhận một tin buồn khi tàu hàng rời </w:t>
      </w:r>
      <w:r w:rsidRPr="00653986">
        <w:rPr>
          <w:rFonts w:ascii="Times New Roman" w:hAnsi="Times New Roman" w:cs="Times New Roman"/>
          <w:sz w:val="26"/>
          <w:szCs w:val="26"/>
        </w:rPr>
        <w:t>Devon Bay</w:t>
      </w:r>
      <w:r w:rsidRPr="009E3046">
        <w:rPr>
          <w:rFonts w:ascii="Times New Roman" w:hAnsi="Times New Roman" w:cs="Times New Roman"/>
          <w:sz w:val="26"/>
          <w:szCs w:val="26"/>
        </w:rPr>
        <w:t xml:space="preserve"> (IMO 9622849), trọng tải </w:t>
      </w:r>
      <w:r w:rsidRPr="00653986">
        <w:rPr>
          <w:rFonts w:ascii="Times New Roman" w:hAnsi="Times New Roman" w:cs="Times New Roman"/>
          <w:sz w:val="26"/>
          <w:szCs w:val="26"/>
        </w:rPr>
        <w:t>56.000 DWT</w:t>
      </w:r>
      <w:r w:rsidRPr="009E3046">
        <w:rPr>
          <w:rFonts w:ascii="Times New Roman" w:hAnsi="Times New Roman" w:cs="Times New Roman"/>
          <w:sz w:val="26"/>
          <w:szCs w:val="26"/>
        </w:rPr>
        <w:t xml:space="preserve">, đóng năm 2013, bị </w:t>
      </w:r>
      <w:r w:rsidR="00653986">
        <w:rPr>
          <w:rFonts w:ascii="Times New Roman" w:hAnsi="Times New Roman" w:cs="Times New Roman"/>
          <w:sz w:val="26"/>
          <w:szCs w:val="26"/>
        </w:rPr>
        <w:t>m</w:t>
      </w:r>
      <w:r w:rsidR="006A0471">
        <w:rPr>
          <w:rFonts w:ascii="Times New Roman" w:hAnsi="Times New Roman" w:cs="Times New Roman"/>
          <w:sz w:val="26"/>
          <w:szCs w:val="26"/>
        </w:rPr>
        <w:t>ấ</w:t>
      </w:r>
      <w:r w:rsidR="00653986">
        <w:rPr>
          <w:rFonts w:ascii="Times New Roman" w:hAnsi="Times New Roman" w:cs="Times New Roman"/>
          <w:sz w:val="26"/>
          <w:szCs w:val="26"/>
        </w:rPr>
        <w:t>t</w:t>
      </w:r>
      <w:r w:rsidRPr="009E3046">
        <w:rPr>
          <w:rFonts w:ascii="Times New Roman" w:hAnsi="Times New Roman" w:cs="Times New Roman"/>
          <w:sz w:val="26"/>
          <w:szCs w:val="26"/>
        </w:rPr>
        <w:t>.</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Hậu quả</w:t>
      </w:r>
      <w:r w:rsidR="006A0471">
        <w:rPr>
          <w:rFonts w:ascii="Times New Roman" w:hAnsi="Times New Roman" w:cs="Times New Roman"/>
          <w:sz w:val="26"/>
          <w:szCs w:val="26"/>
        </w:rPr>
        <w:t xml:space="preserve"> là </w:t>
      </w:r>
      <w:r w:rsidRPr="009E3046">
        <w:rPr>
          <w:rFonts w:ascii="Times New Roman" w:hAnsi="Times New Roman" w:cs="Times New Roman"/>
          <w:sz w:val="26"/>
          <w:szCs w:val="26"/>
        </w:rPr>
        <w:t>2 thuyền viên thiệt mạng</w:t>
      </w:r>
      <w:r w:rsidR="006A0471">
        <w:rPr>
          <w:rFonts w:ascii="Times New Roman" w:hAnsi="Times New Roman" w:cs="Times New Roman"/>
          <w:sz w:val="26"/>
          <w:szCs w:val="26"/>
        </w:rPr>
        <w:t>, t</w:t>
      </w:r>
      <w:r w:rsidRPr="009E3046">
        <w:rPr>
          <w:rFonts w:ascii="Times New Roman" w:hAnsi="Times New Roman" w:cs="Times New Roman"/>
          <w:sz w:val="26"/>
          <w:szCs w:val="26"/>
        </w:rPr>
        <w:t xml:space="preserve">ính đến ngày 22/01/2026 vẫn còn 4 thuyền viên mất tích. Tại thời điểm xảy ra tai nạn, con tàu đang chở </w:t>
      </w:r>
      <w:r w:rsidRPr="006A0471">
        <w:rPr>
          <w:rFonts w:ascii="Times New Roman" w:hAnsi="Times New Roman" w:cs="Times New Roman"/>
          <w:sz w:val="26"/>
          <w:szCs w:val="26"/>
        </w:rPr>
        <w:t>quặng nickel.</w:t>
      </w:r>
    </w:p>
    <w:p w14:paraId="53C43D16" w14:textId="77777777"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Các cuộc tấn công của Houthi tiếp tục gây tổn thất cho tàu hàng rời</w:t>
      </w:r>
    </w:p>
    <w:p w14:paraId="7EADB2A9" w14:textId="39938E3D" w:rsidR="009E3046" w:rsidRPr="009E3046" w:rsidRDefault="009E3046" w:rsidP="006A0471">
      <w:pPr>
        <w:tabs>
          <w:tab w:val="num" w:pos="720"/>
        </w:tabs>
        <w:spacing w:after="120"/>
        <w:jc w:val="both"/>
        <w:rPr>
          <w:rFonts w:ascii="Times New Roman" w:hAnsi="Times New Roman" w:cs="Times New Roman"/>
          <w:sz w:val="26"/>
          <w:szCs w:val="26"/>
        </w:rPr>
      </w:pPr>
      <w:r w:rsidRPr="009E3046">
        <w:rPr>
          <w:rFonts w:ascii="Times New Roman" w:hAnsi="Times New Roman" w:cs="Times New Roman"/>
          <w:sz w:val="26"/>
          <w:szCs w:val="26"/>
        </w:rPr>
        <w:t>Trong năm 2024</w:t>
      </w:r>
      <w:r w:rsidR="006A0471">
        <w:rPr>
          <w:rFonts w:ascii="Times New Roman" w:hAnsi="Times New Roman" w:cs="Times New Roman"/>
          <w:sz w:val="26"/>
          <w:szCs w:val="26"/>
        </w:rPr>
        <w:t xml:space="preserve"> có </w:t>
      </w:r>
      <w:r w:rsidRPr="009E3046">
        <w:rPr>
          <w:rFonts w:ascii="Times New Roman" w:hAnsi="Times New Roman" w:cs="Times New Roman"/>
          <w:sz w:val="26"/>
          <w:szCs w:val="26"/>
        </w:rPr>
        <w:t xml:space="preserve">3 tàu hàng rời bị mất tại Biển Đỏ và Vịnh Aden. </w:t>
      </w:r>
    </w:p>
    <w:p w14:paraId="27411E5F" w14:textId="75443142" w:rsidR="009E3046" w:rsidRPr="009E3046" w:rsidRDefault="009E3046" w:rsidP="006A0471">
      <w:pPr>
        <w:tabs>
          <w:tab w:val="num" w:pos="720"/>
        </w:tabs>
        <w:spacing w:after="120"/>
        <w:jc w:val="both"/>
        <w:rPr>
          <w:rFonts w:ascii="Times New Roman" w:hAnsi="Times New Roman" w:cs="Times New Roman"/>
          <w:sz w:val="26"/>
          <w:szCs w:val="26"/>
        </w:rPr>
      </w:pPr>
      <w:r w:rsidRPr="009E3046">
        <w:rPr>
          <w:rFonts w:ascii="Times New Roman" w:hAnsi="Times New Roman" w:cs="Times New Roman"/>
          <w:sz w:val="26"/>
          <w:szCs w:val="26"/>
        </w:rPr>
        <w:t>Trong năm 2025</w:t>
      </w:r>
      <w:r w:rsidR="006A0471">
        <w:rPr>
          <w:rFonts w:ascii="Times New Roman" w:hAnsi="Times New Roman" w:cs="Times New Roman"/>
          <w:sz w:val="26"/>
          <w:szCs w:val="26"/>
        </w:rPr>
        <w:t xml:space="preserve"> có t</w:t>
      </w:r>
      <w:r w:rsidRPr="009E3046">
        <w:rPr>
          <w:rFonts w:ascii="Times New Roman" w:hAnsi="Times New Roman" w:cs="Times New Roman"/>
          <w:sz w:val="26"/>
          <w:szCs w:val="26"/>
        </w:rPr>
        <w:t xml:space="preserve">hêm 2 tàu hàng rời bị mất. </w:t>
      </w:r>
    </w:p>
    <w:p w14:paraId="31F70B83" w14:textId="4C548AC6" w:rsidR="009E3046" w:rsidRPr="009E3046" w:rsidRDefault="009E3046" w:rsidP="006A0471">
      <w:pPr>
        <w:tabs>
          <w:tab w:val="num" w:pos="720"/>
        </w:tabs>
        <w:spacing w:after="120"/>
        <w:jc w:val="both"/>
        <w:rPr>
          <w:rFonts w:ascii="Times New Roman" w:hAnsi="Times New Roman" w:cs="Times New Roman"/>
          <w:sz w:val="26"/>
          <w:szCs w:val="26"/>
        </w:rPr>
      </w:pPr>
      <w:r w:rsidRPr="009E3046">
        <w:rPr>
          <w:rFonts w:ascii="Times New Roman" w:hAnsi="Times New Roman" w:cs="Times New Roman"/>
          <w:sz w:val="26"/>
          <w:szCs w:val="26"/>
        </w:rPr>
        <w:lastRenderedPageBreak/>
        <w:t>Các vụ việc này khiến</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8 thuyền viên thiệt mạng</w:t>
      </w:r>
      <w:r w:rsidR="006A0471">
        <w:rPr>
          <w:rFonts w:ascii="Times New Roman" w:hAnsi="Times New Roman" w:cs="Times New Roman"/>
          <w:sz w:val="26"/>
          <w:szCs w:val="26"/>
        </w:rPr>
        <w:t xml:space="preserve"> và n</w:t>
      </w:r>
      <w:r w:rsidRPr="009E3046">
        <w:rPr>
          <w:rFonts w:ascii="Times New Roman" w:hAnsi="Times New Roman" w:cs="Times New Roman"/>
          <w:sz w:val="26"/>
          <w:szCs w:val="26"/>
        </w:rPr>
        <w:t xml:space="preserve">hiều người khác bị thương. </w:t>
      </w:r>
    </w:p>
    <w:p w14:paraId="7ABA3EDE" w14:textId="7895250A" w:rsidR="009E3046" w:rsidRPr="009E3046" w:rsidRDefault="009E3046" w:rsidP="006A0471">
      <w:pPr>
        <w:tabs>
          <w:tab w:val="num" w:pos="720"/>
        </w:tabs>
        <w:spacing w:after="120"/>
        <w:jc w:val="both"/>
        <w:rPr>
          <w:rFonts w:ascii="Times New Roman" w:hAnsi="Times New Roman" w:cs="Times New Roman"/>
          <w:sz w:val="26"/>
          <w:szCs w:val="26"/>
        </w:rPr>
      </w:pPr>
      <w:r w:rsidRPr="009E3046">
        <w:rPr>
          <w:rFonts w:ascii="Times New Roman" w:hAnsi="Times New Roman" w:cs="Times New Roman"/>
          <w:sz w:val="26"/>
          <w:szCs w:val="26"/>
        </w:rPr>
        <w:t>Nguyên nhân trực tiếp là các cuộc tấn công bằng</w:t>
      </w:r>
      <w:r w:rsidR="006A0471">
        <w:rPr>
          <w:rFonts w:ascii="Times New Roman" w:hAnsi="Times New Roman" w:cs="Times New Roman"/>
          <w:sz w:val="26"/>
          <w:szCs w:val="26"/>
        </w:rPr>
        <w:t xml:space="preserve"> t</w:t>
      </w:r>
      <w:r w:rsidRPr="009E3046">
        <w:rPr>
          <w:rFonts w:ascii="Times New Roman" w:hAnsi="Times New Roman" w:cs="Times New Roman"/>
          <w:sz w:val="26"/>
          <w:szCs w:val="26"/>
        </w:rPr>
        <w:t>ên lửa</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UAV (drone)</w:t>
      </w:r>
      <w:r w:rsidR="006A0471">
        <w:rPr>
          <w:rFonts w:ascii="Times New Roman" w:hAnsi="Times New Roman" w:cs="Times New Roman"/>
          <w:sz w:val="26"/>
          <w:szCs w:val="26"/>
        </w:rPr>
        <w:t xml:space="preserve"> x</w:t>
      </w:r>
      <w:r w:rsidRPr="009E3046">
        <w:rPr>
          <w:rFonts w:ascii="Times New Roman" w:hAnsi="Times New Roman" w:cs="Times New Roman"/>
          <w:sz w:val="26"/>
          <w:szCs w:val="26"/>
        </w:rPr>
        <w:t>uồng không người lái mang chất nổ</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do lực lượng Houthi thực hiện.</w:t>
      </w:r>
    </w:p>
    <w:p w14:paraId="73F2E2F2" w14:textId="781291CD" w:rsidR="009E3046" w:rsidRPr="009E3046" w:rsidRDefault="009E3046" w:rsidP="009E3046">
      <w:pPr>
        <w:spacing w:after="120"/>
        <w:jc w:val="both"/>
        <w:rPr>
          <w:rFonts w:ascii="Times New Roman" w:hAnsi="Times New Roman" w:cs="Times New Roman"/>
          <w:sz w:val="26"/>
          <w:szCs w:val="26"/>
        </w:rPr>
      </w:pPr>
      <w:r w:rsidRPr="009E3046">
        <w:rPr>
          <w:rFonts w:ascii="Times New Roman" w:hAnsi="Times New Roman" w:cs="Times New Roman"/>
          <w:sz w:val="26"/>
          <w:szCs w:val="26"/>
        </w:rPr>
        <w:t>INTERCARGO tuyên bố:</w:t>
      </w:r>
      <w:r w:rsidR="006A0471">
        <w:rPr>
          <w:rFonts w:ascii="Times New Roman" w:hAnsi="Times New Roman" w:cs="Times New Roman"/>
          <w:sz w:val="26"/>
          <w:szCs w:val="26"/>
        </w:rPr>
        <w:t xml:space="preserve"> </w:t>
      </w:r>
      <w:r w:rsidRPr="006A0471">
        <w:rPr>
          <w:rFonts w:ascii="Times New Roman" w:hAnsi="Times New Roman" w:cs="Times New Roman"/>
          <w:i/>
          <w:iCs/>
          <w:sz w:val="26"/>
          <w:szCs w:val="26"/>
        </w:rPr>
        <w:t>“INTERCARGO lên án mạnh mẽ mọi cuộc tấn công nhằm vào tàu hàng rời tại khu vực Biển Đỏ và Vịnh Aden, vì những hành động này vi phạm trực tiếp nguyên tắc cơ bản về tự do hàng hải.”</w:t>
      </w:r>
    </w:p>
    <w:p w14:paraId="44601970" w14:textId="5FADA58E" w:rsidR="009E3046" w:rsidRPr="009E3046" w:rsidRDefault="009E3046" w:rsidP="009E3046">
      <w:pPr>
        <w:spacing w:after="120"/>
        <w:jc w:val="both"/>
        <w:rPr>
          <w:rFonts w:ascii="Times New Roman" w:hAnsi="Times New Roman" w:cs="Times New Roman"/>
          <w:b/>
          <w:bCs/>
          <w:sz w:val="26"/>
          <w:szCs w:val="26"/>
        </w:rPr>
      </w:pPr>
      <w:r w:rsidRPr="009E3046">
        <w:rPr>
          <w:rFonts w:ascii="Times New Roman" w:hAnsi="Times New Roman" w:cs="Times New Roman"/>
          <w:b/>
          <w:bCs/>
          <w:sz w:val="26"/>
          <w:szCs w:val="26"/>
        </w:rPr>
        <w:t xml:space="preserve">Hướng dẫn mới về </w:t>
      </w:r>
      <w:r w:rsidR="006A0471">
        <w:rPr>
          <w:rFonts w:ascii="Times New Roman" w:hAnsi="Times New Roman" w:cs="Times New Roman"/>
          <w:b/>
          <w:bCs/>
          <w:sz w:val="26"/>
          <w:szCs w:val="26"/>
        </w:rPr>
        <w:t xml:space="preserve">hành hải qua và ở gần </w:t>
      </w:r>
      <w:r w:rsidRPr="009E3046">
        <w:rPr>
          <w:rFonts w:ascii="Times New Roman" w:hAnsi="Times New Roman" w:cs="Times New Roman"/>
          <w:b/>
          <w:bCs/>
          <w:sz w:val="26"/>
          <w:szCs w:val="26"/>
        </w:rPr>
        <w:t>eo biển Hormuz</w:t>
      </w:r>
    </w:p>
    <w:p w14:paraId="67B58E2F" w14:textId="3AACC728" w:rsidR="009E3046" w:rsidRDefault="009E3046" w:rsidP="006A0471">
      <w:pPr>
        <w:tabs>
          <w:tab w:val="num" w:pos="720"/>
        </w:tabs>
        <w:spacing w:after="120"/>
        <w:jc w:val="both"/>
        <w:rPr>
          <w:rFonts w:ascii="Times New Roman" w:hAnsi="Times New Roman" w:cs="Times New Roman"/>
          <w:sz w:val="26"/>
          <w:szCs w:val="26"/>
        </w:rPr>
      </w:pPr>
      <w:r w:rsidRPr="009E3046">
        <w:rPr>
          <w:rFonts w:ascii="Times New Roman" w:hAnsi="Times New Roman" w:cs="Times New Roman"/>
          <w:sz w:val="26"/>
          <w:szCs w:val="26"/>
        </w:rPr>
        <w:t>Để ứng phó với các mối đe dọa an ninh hàng hải đang gia tăng, vào cuối tháng 5 năm 2026, các tổ chức</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International Chamber of Shipping</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BIMCO</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INTERCARGO</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INTERTANKO</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 xml:space="preserve">International Marine Contractors Association </w:t>
      </w:r>
      <w:r w:rsidR="006A0471">
        <w:rPr>
          <w:rFonts w:ascii="Times New Roman" w:hAnsi="Times New Roman" w:cs="Times New Roman"/>
          <w:sz w:val="26"/>
          <w:szCs w:val="26"/>
        </w:rPr>
        <w:t xml:space="preserve">và </w:t>
      </w:r>
      <w:r w:rsidRPr="009E3046">
        <w:rPr>
          <w:rFonts w:ascii="Times New Roman" w:hAnsi="Times New Roman" w:cs="Times New Roman"/>
          <w:sz w:val="26"/>
          <w:szCs w:val="26"/>
        </w:rPr>
        <w:t>Oil Companies International Marine Forum</w:t>
      </w:r>
      <w:r w:rsidR="006A0471">
        <w:rPr>
          <w:rFonts w:ascii="Times New Roman" w:hAnsi="Times New Roman" w:cs="Times New Roman"/>
          <w:sz w:val="26"/>
          <w:szCs w:val="26"/>
        </w:rPr>
        <w:t xml:space="preserve"> </w:t>
      </w:r>
      <w:r w:rsidRPr="009E3046">
        <w:rPr>
          <w:rFonts w:ascii="Times New Roman" w:hAnsi="Times New Roman" w:cs="Times New Roman"/>
          <w:sz w:val="26"/>
          <w:szCs w:val="26"/>
        </w:rPr>
        <w:t>đã phối hợp ban hành hướng dẫn:</w:t>
      </w:r>
      <w:r w:rsidR="006A0471">
        <w:rPr>
          <w:rFonts w:ascii="Times New Roman" w:hAnsi="Times New Roman" w:cs="Times New Roman"/>
          <w:sz w:val="26"/>
          <w:szCs w:val="26"/>
        </w:rPr>
        <w:t xml:space="preserve"> </w:t>
      </w:r>
      <w:r w:rsidRPr="00653986">
        <w:rPr>
          <w:rFonts w:ascii="Times New Roman" w:hAnsi="Times New Roman" w:cs="Times New Roman"/>
          <w:b/>
          <w:bCs/>
          <w:sz w:val="26"/>
          <w:szCs w:val="26"/>
        </w:rPr>
        <w:t>“Safe Management of Vessel Transit through the Strait of Hormuz”</w:t>
      </w:r>
      <w:r w:rsidRPr="00653986">
        <w:rPr>
          <w:rFonts w:ascii="Times New Roman" w:hAnsi="Times New Roman" w:cs="Times New Roman"/>
          <w:sz w:val="26"/>
          <w:szCs w:val="26"/>
        </w:rPr>
        <w:t xml:space="preserve"> (Quản lý an toàn việc hành trình qua eo biển Hormuz)</w:t>
      </w:r>
      <w:r w:rsidR="006A0471">
        <w:rPr>
          <w:rFonts w:ascii="Times New Roman" w:hAnsi="Times New Roman" w:cs="Times New Roman"/>
          <w:sz w:val="26"/>
          <w:szCs w:val="26"/>
        </w:rPr>
        <w:t xml:space="preserve"> </w:t>
      </w:r>
      <w:r w:rsidRPr="00653986">
        <w:rPr>
          <w:rFonts w:ascii="Times New Roman" w:hAnsi="Times New Roman" w:cs="Times New Roman"/>
          <w:sz w:val="26"/>
          <w:szCs w:val="26"/>
        </w:rPr>
        <w:t>nhằm hỗ trợ các chủ tàu và nhà khai thác thực hiện các chuyến đi qua khu vực này một cách an toàn hơn trong bối cảnh rủi ro địa chính trị và an ninh hàng hải tiếp tục gia tăng.</w:t>
      </w:r>
    </w:p>
    <w:p w14:paraId="3A6D6D42" w14:textId="268C9464" w:rsidR="00C13E10" w:rsidRPr="006A0471" w:rsidRDefault="006A0471" w:rsidP="006A0471">
      <w:pPr>
        <w:tabs>
          <w:tab w:val="num" w:pos="720"/>
        </w:tabs>
        <w:spacing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6A0471" w:rsidSect="009E3046">
      <w:pgSz w:w="12240" w:h="15840"/>
      <w:pgMar w:top="990" w:right="117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FDDA" w14:textId="77777777" w:rsidR="00573A48" w:rsidRDefault="00573A48" w:rsidP="006A0471">
      <w:pPr>
        <w:spacing w:after="0" w:line="240" w:lineRule="auto"/>
      </w:pPr>
      <w:r>
        <w:separator/>
      </w:r>
    </w:p>
  </w:endnote>
  <w:endnote w:type="continuationSeparator" w:id="0">
    <w:p w14:paraId="098E3ACF" w14:textId="77777777" w:rsidR="00573A48" w:rsidRDefault="00573A48" w:rsidP="006A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4496" w14:textId="77777777" w:rsidR="00573A48" w:rsidRDefault="00573A48" w:rsidP="006A0471">
      <w:pPr>
        <w:spacing w:after="0" w:line="240" w:lineRule="auto"/>
      </w:pPr>
      <w:r>
        <w:separator/>
      </w:r>
    </w:p>
  </w:footnote>
  <w:footnote w:type="continuationSeparator" w:id="0">
    <w:p w14:paraId="51740061" w14:textId="77777777" w:rsidR="00573A48" w:rsidRDefault="00573A48" w:rsidP="006A0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4F"/>
    <w:multiLevelType w:val="multilevel"/>
    <w:tmpl w:val="F89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81FEA"/>
    <w:multiLevelType w:val="multilevel"/>
    <w:tmpl w:val="16B6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5888"/>
    <w:multiLevelType w:val="multilevel"/>
    <w:tmpl w:val="65DC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E7525"/>
    <w:multiLevelType w:val="multilevel"/>
    <w:tmpl w:val="DD1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811E4"/>
    <w:multiLevelType w:val="multilevel"/>
    <w:tmpl w:val="00D4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93B5B"/>
    <w:multiLevelType w:val="multilevel"/>
    <w:tmpl w:val="B4D0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A4BC6"/>
    <w:multiLevelType w:val="multilevel"/>
    <w:tmpl w:val="3D30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0053B"/>
    <w:multiLevelType w:val="multilevel"/>
    <w:tmpl w:val="CFD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C13EA"/>
    <w:multiLevelType w:val="multilevel"/>
    <w:tmpl w:val="5C52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3364A"/>
    <w:multiLevelType w:val="multilevel"/>
    <w:tmpl w:val="CDEA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42C7E"/>
    <w:multiLevelType w:val="multilevel"/>
    <w:tmpl w:val="239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B2578"/>
    <w:multiLevelType w:val="multilevel"/>
    <w:tmpl w:val="267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6596D"/>
    <w:multiLevelType w:val="multilevel"/>
    <w:tmpl w:val="F420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50B9B"/>
    <w:multiLevelType w:val="multilevel"/>
    <w:tmpl w:val="B3BE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849C2"/>
    <w:multiLevelType w:val="multilevel"/>
    <w:tmpl w:val="97D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B6B52"/>
    <w:multiLevelType w:val="multilevel"/>
    <w:tmpl w:val="F40AB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C45F8"/>
    <w:multiLevelType w:val="multilevel"/>
    <w:tmpl w:val="E8C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1E71BF"/>
    <w:multiLevelType w:val="multilevel"/>
    <w:tmpl w:val="154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93B5A"/>
    <w:multiLevelType w:val="multilevel"/>
    <w:tmpl w:val="79D6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7235A"/>
    <w:multiLevelType w:val="multilevel"/>
    <w:tmpl w:val="FE3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90EBF"/>
    <w:multiLevelType w:val="multilevel"/>
    <w:tmpl w:val="CFA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3E0392"/>
    <w:multiLevelType w:val="multilevel"/>
    <w:tmpl w:val="40B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0F2CE3"/>
    <w:multiLevelType w:val="multilevel"/>
    <w:tmpl w:val="6F06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8152C"/>
    <w:multiLevelType w:val="multilevel"/>
    <w:tmpl w:val="FD34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FC1538"/>
    <w:multiLevelType w:val="multilevel"/>
    <w:tmpl w:val="69E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C5750"/>
    <w:multiLevelType w:val="multilevel"/>
    <w:tmpl w:val="D452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01391"/>
    <w:multiLevelType w:val="multilevel"/>
    <w:tmpl w:val="8F0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A33B1"/>
    <w:multiLevelType w:val="multilevel"/>
    <w:tmpl w:val="7CBC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01A95"/>
    <w:multiLevelType w:val="multilevel"/>
    <w:tmpl w:val="0306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56773"/>
    <w:multiLevelType w:val="multilevel"/>
    <w:tmpl w:val="078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85C0D"/>
    <w:multiLevelType w:val="multilevel"/>
    <w:tmpl w:val="2ADC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D1F36"/>
    <w:multiLevelType w:val="multilevel"/>
    <w:tmpl w:val="175C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47745"/>
    <w:multiLevelType w:val="multilevel"/>
    <w:tmpl w:val="D03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36A53"/>
    <w:multiLevelType w:val="multilevel"/>
    <w:tmpl w:val="69E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04A0E"/>
    <w:multiLevelType w:val="multilevel"/>
    <w:tmpl w:val="955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7005C6"/>
    <w:multiLevelType w:val="multilevel"/>
    <w:tmpl w:val="3C52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95D34"/>
    <w:multiLevelType w:val="multilevel"/>
    <w:tmpl w:val="BD00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C654EC"/>
    <w:multiLevelType w:val="multilevel"/>
    <w:tmpl w:val="5E80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D82EBF"/>
    <w:multiLevelType w:val="multilevel"/>
    <w:tmpl w:val="06D2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72C28"/>
    <w:multiLevelType w:val="multilevel"/>
    <w:tmpl w:val="637E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F83CF8"/>
    <w:multiLevelType w:val="multilevel"/>
    <w:tmpl w:val="68FA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C84E13"/>
    <w:multiLevelType w:val="multilevel"/>
    <w:tmpl w:val="D8AA6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E5378"/>
    <w:multiLevelType w:val="multilevel"/>
    <w:tmpl w:val="B68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2070E"/>
    <w:multiLevelType w:val="multilevel"/>
    <w:tmpl w:val="9DB2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16A53"/>
    <w:multiLevelType w:val="multilevel"/>
    <w:tmpl w:val="6FDC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FA29DD"/>
    <w:multiLevelType w:val="multilevel"/>
    <w:tmpl w:val="5C80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8E64C9"/>
    <w:multiLevelType w:val="multilevel"/>
    <w:tmpl w:val="909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D513E"/>
    <w:multiLevelType w:val="multilevel"/>
    <w:tmpl w:val="1DE89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090892">
    <w:abstractNumId w:val="47"/>
  </w:num>
  <w:num w:numId="2" w16cid:durableId="1614172851">
    <w:abstractNumId w:val="25"/>
  </w:num>
  <w:num w:numId="3" w16cid:durableId="748621504">
    <w:abstractNumId w:val="41"/>
  </w:num>
  <w:num w:numId="4" w16cid:durableId="788166911">
    <w:abstractNumId w:val="15"/>
  </w:num>
  <w:num w:numId="5" w16cid:durableId="1842349186">
    <w:abstractNumId w:val="26"/>
  </w:num>
  <w:num w:numId="6" w16cid:durableId="1922442703">
    <w:abstractNumId w:val="14"/>
  </w:num>
  <w:num w:numId="7" w16cid:durableId="806700667">
    <w:abstractNumId w:val="19"/>
  </w:num>
  <w:num w:numId="8" w16cid:durableId="2045784718">
    <w:abstractNumId w:val="10"/>
  </w:num>
  <w:num w:numId="9" w16cid:durableId="1178347932">
    <w:abstractNumId w:val="21"/>
  </w:num>
  <w:num w:numId="10" w16cid:durableId="739791535">
    <w:abstractNumId w:val="1"/>
  </w:num>
  <w:num w:numId="11" w16cid:durableId="2120366218">
    <w:abstractNumId w:val="39"/>
  </w:num>
  <w:num w:numId="12" w16cid:durableId="1202863321">
    <w:abstractNumId w:val="34"/>
  </w:num>
  <w:num w:numId="13" w16cid:durableId="829829756">
    <w:abstractNumId w:val="0"/>
  </w:num>
  <w:num w:numId="14" w16cid:durableId="685518294">
    <w:abstractNumId w:val="2"/>
  </w:num>
  <w:num w:numId="15" w16cid:durableId="1474836731">
    <w:abstractNumId w:val="20"/>
  </w:num>
  <w:num w:numId="16" w16cid:durableId="443354448">
    <w:abstractNumId w:val="24"/>
  </w:num>
  <w:num w:numId="17" w16cid:durableId="15665208">
    <w:abstractNumId w:val="40"/>
  </w:num>
  <w:num w:numId="18" w16cid:durableId="200440765">
    <w:abstractNumId w:val="4"/>
  </w:num>
  <w:num w:numId="19" w16cid:durableId="2006282517">
    <w:abstractNumId w:val="27"/>
  </w:num>
  <w:num w:numId="20" w16cid:durableId="1882133972">
    <w:abstractNumId w:val="5"/>
  </w:num>
  <w:num w:numId="21" w16cid:durableId="1342702702">
    <w:abstractNumId w:val="18"/>
  </w:num>
  <w:num w:numId="22" w16cid:durableId="1175191987">
    <w:abstractNumId w:val="11"/>
  </w:num>
  <w:num w:numId="23" w16cid:durableId="121459492">
    <w:abstractNumId w:val="37"/>
  </w:num>
  <w:num w:numId="24" w16cid:durableId="1682584736">
    <w:abstractNumId w:val="30"/>
  </w:num>
  <w:num w:numId="25" w16cid:durableId="17464717">
    <w:abstractNumId w:val="9"/>
  </w:num>
  <w:num w:numId="26" w16cid:durableId="1790276569">
    <w:abstractNumId w:val="42"/>
  </w:num>
  <w:num w:numId="27" w16cid:durableId="1212809838">
    <w:abstractNumId w:val="12"/>
  </w:num>
  <w:num w:numId="28" w16cid:durableId="420683353">
    <w:abstractNumId w:val="43"/>
  </w:num>
  <w:num w:numId="29" w16cid:durableId="742917129">
    <w:abstractNumId w:val="45"/>
  </w:num>
  <w:num w:numId="30" w16cid:durableId="361438988">
    <w:abstractNumId w:val="7"/>
  </w:num>
  <w:num w:numId="31" w16cid:durableId="747582951">
    <w:abstractNumId w:val="36"/>
  </w:num>
  <w:num w:numId="32" w16cid:durableId="1299919779">
    <w:abstractNumId w:val="8"/>
  </w:num>
  <w:num w:numId="33" w16cid:durableId="331763292">
    <w:abstractNumId w:val="16"/>
  </w:num>
  <w:num w:numId="34" w16cid:durableId="806243409">
    <w:abstractNumId w:val="38"/>
  </w:num>
  <w:num w:numId="35" w16cid:durableId="397099727">
    <w:abstractNumId w:val="3"/>
  </w:num>
  <w:num w:numId="36" w16cid:durableId="541019441">
    <w:abstractNumId w:val="32"/>
  </w:num>
  <w:num w:numId="37" w16cid:durableId="1582136967">
    <w:abstractNumId w:val="13"/>
  </w:num>
  <w:num w:numId="38" w16cid:durableId="1800537825">
    <w:abstractNumId w:val="33"/>
  </w:num>
  <w:num w:numId="39" w16cid:durableId="1352221922">
    <w:abstractNumId w:val="6"/>
  </w:num>
  <w:num w:numId="40" w16cid:durableId="1040739097">
    <w:abstractNumId w:val="31"/>
  </w:num>
  <w:num w:numId="41" w16cid:durableId="261257620">
    <w:abstractNumId w:val="46"/>
  </w:num>
  <w:num w:numId="42" w16cid:durableId="1955163210">
    <w:abstractNumId w:val="44"/>
  </w:num>
  <w:num w:numId="43" w16cid:durableId="826552381">
    <w:abstractNumId w:val="17"/>
  </w:num>
  <w:num w:numId="44" w16cid:durableId="1288706728">
    <w:abstractNumId w:val="29"/>
  </w:num>
  <w:num w:numId="45" w16cid:durableId="1097366835">
    <w:abstractNumId w:val="28"/>
  </w:num>
  <w:num w:numId="46" w16cid:durableId="1714379933">
    <w:abstractNumId w:val="35"/>
  </w:num>
  <w:num w:numId="47" w16cid:durableId="856045519">
    <w:abstractNumId w:val="22"/>
  </w:num>
  <w:num w:numId="48" w16cid:durableId="15388123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0B"/>
    <w:rsid w:val="000501D0"/>
    <w:rsid w:val="00573A48"/>
    <w:rsid w:val="00653986"/>
    <w:rsid w:val="006A0471"/>
    <w:rsid w:val="007E3D0B"/>
    <w:rsid w:val="0094108A"/>
    <w:rsid w:val="009E3046"/>
    <w:rsid w:val="00C13E10"/>
    <w:rsid w:val="00E5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7814"/>
  <w15:chartTrackingRefBased/>
  <w15:docId w15:val="{E5F15050-30CD-4BAD-8603-7733B5FE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D0B"/>
    <w:rPr>
      <w:rFonts w:eastAsiaTheme="majorEastAsia" w:cstheme="majorBidi"/>
      <w:color w:val="272727" w:themeColor="text1" w:themeTint="D8"/>
    </w:rPr>
  </w:style>
  <w:style w:type="paragraph" w:styleId="Title">
    <w:name w:val="Title"/>
    <w:basedOn w:val="Normal"/>
    <w:next w:val="Normal"/>
    <w:link w:val="TitleChar"/>
    <w:uiPriority w:val="10"/>
    <w:qFormat/>
    <w:rsid w:val="007E3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D0B"/>
    <w:pPr>
      <w:spacing w:before="160"/>
      <w:jc w:val="center"/>
    </w:pPr>
    <w:rPr>
      <w:i/>
      <w:iCs/>
      <w:color w:val="404040" w:themeColor="text1" w:themeTint="BF"/>
    </w:rPr>
  </w:style>
  <w:style w:type="character" w:customStyle="1" w:styleId="QuoteChar">
    <w:name w:val="Quote Char"/>
    <w:basedOn w:val="DefaultParagraphFont"/>
    <w:link w:val="Quote"/>
    <w:uiPriority w:val="29"/>
    <w:rsid w:val="007E3D0B"/>
    <w:rPr>
      <w:i/>
      <w:iCs/>
      <w:color w:val="404040" w:themeColor="text1" w:themeTint="BF"/>
    </w:rPr>
  </w:style>
  <w:style w:type="paragraph" w:styleId="ListParagraph">
    <w:name w:val="List Paragraph"/>
    <w:basedOn w:val="Normal"/>
    <w:uiPriority w:val="34"/>
    <w:qFormat/>
    <w:rsid w:val="007E3D0B"/>
    <w:pPr>
      <w:ind w:left="720"/>
      <w:contextualSpacing/>
    </w:pPr>
  </w:style>
  <w:style w:type="character" w:styleId="IntenseEmphasis">
    <w:name w:val="Intense Emphasis"/>
    <w:basedOn w:val="DefaultParagraphFont"/>
    <w:uiPriority w:val="21"/>
    <w:qFormat/>
    <w:rsid w:val="007E3D0B"/>
    <w:rPr>
      <w:i/>
      <w:iCs/>
      <w:color w:val="0F4761" w:themeColor="accent1" w:themeShade="BF"/>
    </w:rPr>
  </w:style>
  <w:style w:type="paragraph" w:styleId="IntenseQuote">
    <w:name w:val="Intense Quote"/>
    <w:basedOn w:val="Normal"/>
    <w:next w:val="Normal"/>
    <w:link w:val="IntenseQuoteChar"/>
    <w:uiPriority w:val="30"/>
    <w:qFormat/>
    <w:rsid w:val="007E3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D0B"/>
    <w:rPr>
      <w:i/>
      <w:iCs/>
      <w:color w:val="0F4761" w:themeColor="accent1" w:themeShade="BF"/>
    </w:rPr>
  </w:style>
  <w:style w:type="character" w:styleId="IntenseReference">
    <w:name w:val="Intense Reference"/>
    <w:basedOn w:val="DefaultParagraphFont"/>
    <w:uiPriority w:val="32"/>
    <w:qFormat/>
    <w:rsid w:val="007E3D0B"/>
    <w:rPr>
      <w:b/>
      <w:bCs/>
      <w:smallCaps/>
      <w:color w:val="0F4761" w:themeColor="accent1" w:themeShade="BF"/>
      <w:spacing w:val="5"/>
    </w:rPr>
  </w:style>
  <w:style w:type="character" w:styleId="Hyperlink">
    <w:name w:val="Hyperlink"/>
    <w:basedOn w:val="DefaultParagraphFont"/>
    <w:uiPriority w:val="99"/>
    <w:unhideWhenUsed/>
    <w:rsid w:val="007E3D0B"/>
    <w:rPr>
      <w:color w:val="467886" w:themeColor="hyperlink"/>
      <w:u w:val="single"/>
    </w:rPr>
  </w:style>
  <w:style w:type="character" w:styleId="UnresolvedMention">
    <w:name w:val="Unresolved Mention"/>
    <w:basedOn w:val="DefaultParagraphFont"/>
    <w:uiPriority w:val="99"/>
    <w:semiHidden/>
    <w:unhideWhenUsed/>
    <w:rsid w:val="007E3D0B"/>
    <w:rPr>
      <w:color w:val="605E5C"/>
      <w:shd w:val="clear" w:color="auto" w:fill="E1DFDD"/>
    </w:rPr>
  </w:style>
  <w:style w:type="paragraph" w:styleId="Header">
    <w:name w:val="header"/>
    <w:basedOn w:val="Normal"/>
    <w:link w:val="HeaderChar"/>
    <w:uiPriority w:val="99"/>
    <w:unhideWhenUsed/>
    <w:rsid w:val="006A0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471"/>
  </w:style>
  <w:style w:type="paragraph" w:styleId="Footer">
    <w:name w:val="footer"/>
    <w:basedOn w:val="Normal"/>
    <w:link w:val="FooterChar"/>
    <w:uiPriority w:val="99"/>
    <w:unhideWhenUsed/>
    <w:rsid w:val="006A0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471"/>
  </w:style>
  <w:style w:type="character" w:styleId="FollowedHyperlink">
    <w:name w:val="FollowedHyperlink"/>
    <w:basedOn w:val="DefaultParagraphFont"/>
    <w:uiPriority w:val="99"/>
    <w:semiHidden/>
    <w:unhideWhenUsed/>
    <w:rsid w:val="006A04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category/safety-parent/safety/"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ty4sea.com/wp-content/uploads/2026/06/bulk-carrier-loss-size-and-year-intercargo.png"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afety4sea.com/wp-content/uploads/2026/06/intercargo-10-year-period.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2026-06-10T03:35:00Z</dcterms:created>
  <dcterms:modified xsi:type="dcterms:W3CDTF">2026-06-10T04:21:00Z</dcterms:modified>
</cp:coreProperties>
</file>