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ED90" w14:textId="6826409D" w:rsidR="0032211B" w:rsidRPr="0032211B" w:rsidRDefault="0032211B" w:rsidP="0032211B">
      <w:pPr>
        <w:jc w:val="center"/>
        <w:rPr>
          <w:rFonts w:ascii="Times New Roman" w:hAnsi="Times New Roman" w:cs="Times New Roman"/>
          <w:b/>
          <w:bCs/>
          <w:sz w:val="40"/>
          <w:szCs w:val="40"/>
        </w:rPr>
      </w:pPr>
      <w:r w:rsidRPr="0032211B">
        <w:rPr>
          <w:rFonts w:ascii="Times New Roman" w:hAnsi="Times New Roman" w:cs="Times New Roman"/>
          <w:b/>
          <w:bCs/>
          <w:sz w:val="40"/>
          <w:szCs w:val="40"/>
        </w:rPr>
        <w:t xml:space="preserve">EMSA: </w:t>
      </w:r>
      <w:r>
        <w:rPr>
          <w:rFonts w:ascii="Times New Roman" w:hAnsi="Times New Roman" w:cs="Times New Roman"/>
          <w:b/>
          <w:bCs/>
          <w:sz w:val="40"/>
          <w:szCs w:val="40"/>
        </w:rPr>
        <w:t>Thống kê về thuyền viên của</w:t>
      </w:r>
      <w:r w:rsidRPr="0032211B">
        <w:rPr>
          <w:rFonts w:ascii="Times New Roman" w:hAnsi="Times New Roman" w:cs="Times New Roman"/>
          <w:b/>
          <w:bCs/>
          <w:sz w:val="40"/>
          <w:szCs w:val="40"/>
        </w:rPr>
        <w:t xml:space="preserve"> EU </w:t>
      </w:r>
      <w:r>
        <w:rPr>
          <w:rFonts w:ascii="Times New Roman" w:hAnsi="Times New Roman" w:cs="Times New Roman"/>
          <w:b/>
          <w:bCs/>
          <w:sz w:val="40"/>
          <w:szCs w:val="40"/>
        </w:rPr>
        <w:t xml:space="preserve">năm </w:t>
      </w:r>
      <w:r w:rsidRPr="0032211B">
        <w:rPr>
          <w:rFonts w:ascii="Times New Roman" w:hAnsi="Times New Roman" w:cs="Times New Roman"/>
          <w:b/>
          <w:bCs/>
          <w:sz w:val="40"/>
          <w:szCs w:val="40"/>
        </w:rPr>
        <w:t>2024</w:t>
      </w:r>
    </w:p>
    <w:p w14:paraId="5C79B2A5" w14:textId="776A5333" w:rsidR="0032211B" w:rsidRPr="0032211B" w:rsidRDefault="0032211B" w:rsidP="0032211B">
      <w:pPr>
        <w:jc w:val="right"/>
      </w:pPr>
      <w:hyperlink r:id="rId5" w:history="1">
        <w:r w:rsidRPr="0032211B">
          <w:rPr>
            <w:rStyle w:val="Hyperlink"/>
          </w:rPr>
          <w:t>Seafarers</w:t>
        </w:r>
      </w:hyperlink>
      <w:r w:rsidRPr="0032211B">
        <w:t> </w:t>
      </w:r>
    </w:p>
    <w:p w14:paraId="43C7565B" w14:textId="0A063057" w:rsidR="0032211B" w:rsidRPr="0032211B" w:rsidRDefault="0032211B" w:rsidP="0032211B">
      <w:r w:rsidRPr="0032211B">
        <w:drawing>
          <wp:inline distT="0" distB="0" distL="0" distR="0" wp14:anchorId="023B851A" wp14:editId="1FAEA53F">
            <wp:extent cx="5943600" cy="2974975"/>
            <wp:effectExtent l="0" t="0" r="0" b="0"/>
            <wp:docPr id="551769458" name="Picture 8" descr="Credit: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dit: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E3B1CAB" w14:textId="3B7E5CD8"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Cơ quan An toàn Hàng hải Châu Âu (EMSA) </w:t>
      </w:r>
      <w:r>
        <w:rPr>
          <w:rFonts w:ascii="Times New Roman" w:hAnsi="Times New Roman" w:cs="Times New Roman"/>
          <w:sz w:val="26"/>
          <w:szCs w:val="26"/>
        </w:rPr>
        <w:t xml:space="preserve">đã </w:t>
      </w:r>
      <w:r w:rsidRPr="0032211B">
        <w:rPr>
          <w:rFonts w:ascii="Times New Roman" w:hAnsi="Times New Roman" w:cs="Times New Roman"/>
          <w:sz w:val="26"/>
          <w:szCs w:val="26"/>
        </w:rPr>
        <w:t>công bố Báo cáo Thống kê Thuyền viên tại EU, trong đó phân tích nhiều số liệu thống kê và xu hướng liên quan đến lực lượng thuyền viên trong năm 2024.</w:t>
      </w:r>
    </w:p>
    <w:p w14:paraId="4CC79C12" w14:textId="0618C54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Báo cáo được xây dựng dựa trên dữ liệu về các giấy chứng nhận và xác nhận được đăng ký bởi các quốc gia thành viên Liên minh Châu Âu, cùng với Iceland và Na Uy, tính đến ngày 31 tháng 12 năm 2024. Sau đó, các thông tin này được chuyển vào và ghi nhận trong Hệ thống Thông tin STCW trước ngày 31 tháng 12 năm 2025, qua đó cung cấp bức tranh toàn diện về thị trường lao động hàng hải châu Âu cũng như số lượng thuyền viên sở hữu các chứng chỉ còn hiệu lực trong năm 2024.</w:t>
      </w:r>
    </w:p>
    <w:p w14:paraId="4857DF74" w14:textId="2C3042A2"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Theo số liệu mới nhất, có </w:t>
      </w:r>
      <w:r w:rsidRPr="0032211B">
        <w:rPr>
          <w:rFonts w:ascii="Times New Roman" w:hAnsi="Times New Roman" w:cs="Times New Roman"/>
          <w:color w:val="EE0000"/>
          <w:sz w:val="26"/>
          <w:szCs w:val="26"/>
        </w:rPr>
        <w:t xml:space="preserve">177.378 thuyền trưởng và sĩ quan đang </w:t>
      </w:r>
      <w:r w:rsidRPr="0032211B">
        <w:rPr>
          <w:rFonts w:ascii="Times New Roman" w:hAnsi="Times New Roman" w:cs="Times New Roman"/>
          <w:sz w:val="26"/>
          <w:szCs w:val="26"/>
        </w:rPr>
        <w:t xml:space="preserve">sở hữu </w:t>
      </w:r>
      <w:r w:rsidRPr="0032211B">
        <w:rPr>
          <w:rFonts w:ascii="Times New Roman" w:hAnsi="Times New Roman" w:cs="Times New Roman"/>
          <w:b/>
          <w:bCs/>
          <w:sz w:val="26"/>
          <w:szCs w:val="26"/>
        </w:rPr>
        <w:t xml:space="preserve">Giấy chứng nhận </w:t>
      </w:r>
      <w:r>
        <w:rPr>
          <w:rFonts w:ascii="Times New Roman" w:hAnsi="Times New Roman" w:cs="Times New Roman"/>
          <w:b/>
          <w:bCs/>
          <w:sz w:val="26"/>
          <w:szCs w:val="26"/>
        </w:rPr>
        <w:t>KNCM</w:t>
      </w:r>
      <w:r w:rsidRPr="0032211B">
        <w:rPr>
          <w:rFonts w:ascii="Times New Roman" w:hAnsi="Times New Roman" w:cs="Times New Roman"/>
          <w:b/>
          <w:bCs/>
          <w:sz w:val="26"/>
          <w:szCs w:val="26"/>
        </w:rPr>
        <w:t xml:space="preserve"> (CoC)</w:t>
      </w:r>
      <w:r w:rsidRPr="0032211B">
        <w:rPr>
          <w:rFonts w:ascii="Times New Roman" w:hAnsi="Times New Roman" w:cs="Times New Roman"/>
          <w:sz w:val="26"/>
          <w:szCs w:val="26"/>
        </w:rPr>
        <w:t xml:space="preserve"> còn hiệu lực do các quốc gia thành viên EU cấp vào cuối năm 2024.</w:t>
      </w:r>
      <w:r>
        <w:rPr>
          <w:rFonts w:ascii="Times New Roman" w:hAnsi="Times New Roman" w:cs="Times New Roman"/>
          <w:sz w:val="26"/>
          <w:szCs w:val="26"/>
        </w:rPr>
        <w:t xml:space="preserve"> </w:t>
      </w:r>
      <w:r w:rsidRPr="0032211B">
        <w:rPr>
          <w:rFonts w:ascii="Times New Roman" w:hAnsi="Times New Roman" w:cs="Times New Roman"/>
          <w:sz w:val="26"/>
          <w:szCs w:val="26"/>
        </w:rPr>
        <w:t xml:space="preserve">Ngoài ra, có thêm </w:t>
      </w:r>
      <w:r w:rsidRPr="0032211B">
        <w:rPr>
          <w:rFonts w:ascii="Times New Roman" w:hAnsi="Times New Roman" w:cs="Times New Roman"/>
          <w:color w:val="EE0000"/>
          <w:sz w:val="26"/>
          <w:szCs w:val="26"/>
        </w:rPr>
        <w:t xml:space="preserve">136.660 thuyền trưởng và sĩ quan </w:t>
      </w:r>
      <w:r w:rsidRPr="0032211B">
        <w:rPr>
          <w:rFonts w:ascii="Times New Roman" w:hAnsi="Times New Roman" w:cs="Times New Roman"/>
          <w:sz w:val="26"/>
          <w:szCs w:val="26"/>
        </w:rPr>
        <w:t>sở hữu CoC gốc do các quốc gia ngoài EU cấp và đã được công nhận thông qua Giấy xác nhận công nhận</w:t>
      </w:r>
      <w:r w:rsidRPr="0032211B">
        <w:rPr>
          <w:rFonts w:ascii="Times New Roman" w:hAnsi="Times New Roman" w:cs="Times New Roman"/>
          <w:b/>
          <w:bCs/>
          <w:sz w:val="26"/>
          <w:szCs w:val="26"/>
        </w:rPr>
        <w:t xml:space="preserve"> </w:t>
      </w:r>
      <w:r w:rsidRPr="0032211B">
        <w:rPr>
          <w:rFonts w:ascii="Times New Roman" w:hAnsi="Times New Roman" w:cs="Times New Roman"/>
          <w:sz w:val="26"/>
          <w:szCs w:val="26"/>
        </w:rPr>
        <w:t>do các quốc gia thành viên EU cấp.</w:t>
      </w:r>
    </w:p>
    <w:p w14:paraId="6E244EA3" w14:textId="7777777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Tổng hợp hai nhóm trên cho thấy có gần </w:t>
      </w:r>
      <w:r w:rsidRPr="0032211B">
        <w:rPr>
          <w:rFonts w:ascii="Times New Roman" w:hAnsi="Times New Roman" w:cs="Times New Roman"/>
          <w:color w:val="EE0000"/>
          <w:sz w:val="26"/>
          <w:szCs w:val="26"/>
        </w:rPr>
        <w:t xml:space="preserve">314.000 thuyền trưởng và sĩ quan </w:t>
      </w:r>
      <w:r w:rsidRPr="0032211B">
        <w:rPr>
          <w:rFonts w:ascii="Times New Roman" w:hAnsi="Times New Roman" w:cs="Times New Roman"/>
          <w:sz w:val="26"/>
          <w:szCs w:val="26"/>
        </w:rPr>
        <w:t>sẵn sàng làm việc trên các tàu mang cờ quốc gia thành viên EU vào cuối năm 2024, phản ánh quy mô đáng kể của lực lượng lao động hàng hải đang hỗ trợ ngành vận tải biển châu Âu.</w:t>
      </w:r>
    </w:p>
    <w:p w14:paraId="2C161A82" w14:textId="42C1F007" w:rsidR="00EE4CAB" w:rsidRPr="00EE4CAB" w:rsidRDefault="0032211B" w:rsidP="0032211B">
      <w:pPr>
        <w:spacing w:before="120" w:after="120"/>
        <w:jc w:val="both"/>
        <w:rPr>
          <w:rFonts w:ascii="Times New Roman" w:hAnsi="Times New Roman" w:cs="Times New Roman"/>
          <w:color w:val="EE0000"/>
          <w:sz w:val="26"/>
          <w:szCs w:val="26"/>
        </w:rPr>
      </w:pPr>
      <w:r w:rsidRPr="00EE4CAB">
        <w:rPr>
          <w:rFonts w:ascii="Times New Roman" w:hAnsi="Times New Roman" w:cs="Times New Roman"/>
          <w:sz w:val="26"/>
          <w:szCs w:val="26"/>
        </w:rPr>
        <w:t>Năm quốc gia thành viên EU có số lượng thuyền trưởng và sĩ quan sở hữu CoC do chính họ cấp nhiều nhất trong năm 2024 là:</w:t>
      </w:r>
      <w:r>
        <w:rPr>
          <w:rFonts w:ascii="Times New Roman" w:hAnsi="Times New Roman" w:cs="Times New Roman"/>
          <w:b/>
          <w:bCs/>
          <w:sz w:val="26"/>
          <w:szCs w:val="26"/>
        </w:rPr>
        <w:t xml:space="preserve"> </w:t>
      </w:r>
      <w:r w:rsidRPr="00EE4CAB">
        <w:rPr>
          <w:rFonts w:ascii="Times New Roman" w:hAnsi="Times New Roman" w:cs="Times New Roman"/>
          <w:b/>
          <w:bCs/>
          <w:color w:val="EE0000"/>
          <w:sz w:val="26"/>
          <w:szCs w:val="26"/>
        </w:rPr>
        <w:t>N</w:t>
      </w:r>
      <w:r w:rsidRPr="00EE4CAB">
        <w:rPr>
          <w:rFonts w:ascii="Times New Roman" w:hAnsi="Times New Roman" w:cs="Times New Roman"/>
          <w:color w:val="EE0000"/>
          <w:sz w:val="26"/>
          <w:szCs w:val="26"/>
        </w:rPr>
        <w:t>a Uy</w:t>
      </w:r>
      <w:r w:rsidRPr="00EE4CAB">
        <w:rPr>
          <w:rFonts w:ascii="Times New Roman" w:hAnsi="Times New Roman" w:cs="Times New Roman"/>
          <w:color w:val="EE0000"/>
          <w:sz w:val="26"/>
          <w:szCs w:val="26"/>
        </w:rPr>
        <w:t>, B</w:t>
      </w:r>
      <w:r w:rsidRPr="00EE4CAB">
        <w:rPr>
          <w:rFonts w:ascii="Times New Roman" w:hAnsi="Times New Roman" w:cs="Times New Roman"/>
          <w:color w:val="EE0000"/>
          <w:sz w:val="26"/>
          <w:szCs w:val="26"/>
        </w:rPr>
        <w:t>a Lan</w:t>
      </w:r>
      <w:r w:rsidRPr="00EE4CAB">
        <w:rPr>
          <w:rFonts w:ascii="Times New Roman" w:hAnsi="Times New Roman" w:cs="Times New Roman"/>
          <w:color w:val="EE0000"/>
          <w:sz w:val="26"/>
          <w:szCs w:val="26"/>
        </w:rPr>
        <w:t xml:space="preserve">, </w:t>
      </w:r>
      <w:r w:rsidRPr="00EE4CAB">
        <w:rPr>
          <w:rFonts w:ascii="Times New Roman" w:hAnsi="Times New Roman" w:cs="Times New Roman"/>
          <w:color w:val="EE0000"/>
          <w:sz w:val="26"/>
          <w:szCs w:val="26"/>
        </w:rPr>
        <w:t>Croatia</w:t>
      </w:r>
      <w:r w:rsidRPr="00EE4CAB">
        <w:rPr>
          <w:rFonts w:ascii="Times New Roman" w:hAnsi="Times New Roman" w:cs="Times New Roman"/>
          <w:color w:val="EE0000"/>
          <w:sz w:val="26"/>
          <w:szCs w:val="26"/>
        </w:rPr>
        <w:t xml:space="preserve">, </w:t>
      </w:r>
      <w:r w:rsidRPr="00EE4CAB">
        <w:rPr>
          <w:rFonts w:ascii="Times New Roman" w:hAnsi="Times New Roman" w:cs="Times New Roman"/>
          <w:color w:val="EE0000"/>
          <w:sz w:val="26"/>
          <w:szCs w:val="26"/>
        </w:rPr>
        <w:t>Ý</w:t>
      </w:r>
      <w:r w:rsidRPr="00EE4CAB">
        <w:rPr>
          <w:rFonts w:ascii="Times New Roman" w:hAnsi="Times New Roman" w:cs="Times New Roman"/>
          <w:color w:val="EE0000"/>
          <w:sz w:val="26"/>
          <w:szCs w:val="26"/>
        </w:rPr>
        <w:t xml:space="preserve">, </w:t>
      </w:r>
      <w:r w:rsidRPr="00EE4CAB">
        <w:rPr>
          <w:rFonts w:ascii="Times New Roman" w:hAnsi="Times New Roman" w:cs="Times New Roman"/>
          <w:color w:val="EE0000"/>
          <w:sz w:val="26"/>
          <w:szCs w:val="26"/>
        </w:rPr>
        <w:t>Romania</w:t>
      </w:r>
      <w:r w:rsidR="00EE4CAB">
        <w:rPr>
          <w:rFonts w:ascii="Times New Roman" w:hAnsi="Times New Roman" w:cs="Times New Roman"/>
          <w:color w:val="EE0000"/>
          <w:sz w:val="26"/>
          <w:szCs w:val="26"/>
        </w:rPr>
        <w:t>.</w:t>
      </w:r>
    </w:p>
    <w:p w14:paraId="2B2A0EF2" w14:textId="3E3795B8" w:rsidR="00EE4CA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b/>
          <w:bCs/>
          <w:sz w:val="26"/>
          <w:szCs w:val="26"/>
        </w:rPr>
        <w:t>Năm quốc gia thành viên EU cấp nhiều EaR nhất cho thuyền trưởng và sĩ quan là:</w:t>
      </w:r>
      <w:r>
        <w:rPr>
          <w:rFonts w:ascii="Times New Roman" w:hAnsi="Times New Roman" w:cs="Times New Roman"/>
          <w:b/>
          <w:bCs/>
          <w:sz w:val="26"/>
          <w:szCs w:val="26"/>
        </w:rPr>
        <w:t xml:space="preserve"> </w:t>
      </w:r>
      <w:r w:rsidRPr="0032211B">
        <w:rPr>
          <w:rFonts w:ascii="Times New Roman" w:hAnsi="Times New Roman" w:cs="Times New Roman"/>
          <w:sz w:val="26"/>
          <w:szCs w:val="26"/>
        </w:rPr>
        <w:t>Malta</w:t>
      </w:r>
      <w:r>
        <w:rPr>
          <w:rFonts w:ascii="Times New Roman" w:hAnsi="Times New Roman" w:cs="Times New Roman"/>
          <w:sz w:val="26"/>
          <w:szCs w:val="26"/>
        </w:rPr>
        <w:t xml:space="preserve">, </w:t>
      </w:r>
      <w:r w:rsidRPr="0032211B">
        <w:rPr>
          <w:rFonts w:ascii="Times New Roman" w:hAnsi="Times New Roman" w:cs="Times New Roman"/>
          <w:sz w:val="26"/>
          <w:szCs w:val="26"/>
        </w:rPr>
        <w:t>Síp</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Bồ Đào Nha</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 xml:space="preserve">Na Uy </w:t>
      </w:r>
      <w:r w:rsidR="00EE4CAB">
        <w:rPr>
          <w:rFonts w:ascii="Times New Roman" w:hAnsi="Times New Roman" w:cs="Times New Roman"/>
          <w:sz w:val="26"/>
          <w:szCs w:val="26"/>
        </w:rPr>
        <w:t>và Đ</w:t>
      </w:r>
      <w:r w:rsidRPr="0032211B">
        <w:rPr>
          <w:rFonts w:ascii="Times New Roman" w:hAnsi="Times New Roman" w:cs="Times New Roman"/>
          <w:sz w:val="26"/>
          <w:szCs w:val="26"/>
        </w:rPr>
        <w:t xml:space="preserve">an Mạch </w:t>
      </w:r>
    </w:p>
    <w:p w14:paraId="188336ED" w14:textId="2257C504" w:rsidR="0032211B" w:rsidRPr="0032211B" w:rsidRDefault="0032211B" w:rsidP="00EE4CAB">
      <w:pPr>
        <w:spacing w:before="120" w:after="120"/>
        <w:jc w:val="both"/>
        <w:rPr>
          <w:rFonts w:ascii="Times New Roman" w:hAnsi="Times New Roman" w:cs="Times New Roman"/>
          <w:sz w:val="26"/>
          <w:szCs w:val="26"/>
        </w:rPr>
      </w:pPr>
      <w:r w:rsidRPr="0032211B">
        <w:rPr>
          <w:rFonts w:ascii="Times New Roman" w:hAnsi="Times New Roman" w:cs="Times New Roman"/>
          <w:b/>
          <w:bCs/>
          <w:sz w:val="26"/>
          <w:szCs w:val="26"/>
        </w:rPr>
        <w:lastRenderedPageBreak/>
        <w:t>Năm quốc gia ngoài EU có số lượng thuyền trưởng và sĩ quan sở hữu CoC được các quốc gia thành viên EU công nhận nhiều nhất là:</w:t>
      </w:r>
      <w:r w:rsidR="00EE4CAB">
        <w:rPr>
          <w:rFonts w:ascii="Times New Roman" w:hAnsi="Times New Roman" w:cs="Times New Roman"/>
          <w:b/>
          <w:bCs/>
          <w:sz w:val="26"/>
          <w:szCs w:val="26"/>
        </w:rPr>
        <w:t xml:space="preserve"> </w:t>
      </w:r>
      <w:r w:rsidRPr="0032211B">
        <w:rPr>
          <w:rFonts w:ascii="Times New Roman" w:hAnsi="Times New Roman" w:cs="Times New Roman"/>
          <w:sz w:val="26"/>
          <w:szCs w:val="26"/>
        </w:rPr>
        <w:t>Philippines</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Ukraine</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Liên bang Nga</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 xml:space="preserve">Ấn Độ </w:t>
      </w:r>
      <w:r w:rsidR="00EE4CAB">
        <w:rPr>
          <w:rFonts w:ascii="Times New Roman" w:hAnsi="Times New Roman" w:cs="Times New Roman"/>
          <w:sz w:val="26"/>
          <w:szCs w:val="26"/>
        </w:rPr>
        <w:t xml:space="preserve">và </w:t>
      </w:r>
      <w:r w:rsidRPr="0032211B">
        <w:rPr>
          <w:rFonts w:ascii="Times New Roman" w:hAnsi="Times New Roman" w:cs="Times New Roman"/>
          <w:sz w:val="26"/>
          <w:szCs w:val="26"/>
        </w:rPr>
        <w:t>Thổ Nhĩ Kỳ</w:t>
      </w:r>
      <w:r w:rsidR="00EE4CAB">
        <w:rPr>
          <w:rFonts w:ascii="Times New Roman" w:hAnsi="Times New Roman" w:cs="Times New Roman"/>
          <w:sz w:val="26"/>
          <w:szCs w:val="26"/>
        </w:rPr>
        <w:t>.</w:t>
      </w:r>
    </w:p>
    <w:p w14:paraId="7CDEDE1D" w14:textId="565C60DC" w:rsidR="0032211B" w:rsidRPr="0032211B" w:rsidRDefault="00EE4CAB" w:rsidP="00EE4CAB">
      <w:pPr>
        <w:spacing w:before="120" w:after="120"/>
        <w:jc w:val="center"/>
        <w:rPr>
          <w:rFonts w:ascii="Times New Roman" w:hAnsi="Times New Roman" w:cs="Times New Roman"/>
          <w:sz w:val="26"/>
          <w:szCs w:val="26"/>
        </w:rPr>
      </w:pPr>
      <w:r w:rsidRPr="0032211B">
        <w:drawing>
          <wp:inline distT="0" distB="0" distL="0" distR="0" wp14:anchorId="29E67FC2" wp14:editId="0AC00D25">
            <wp:extent cx="5943600" cy="3608705"/>
            <wp:effectExtent l="0" t="0" r="0" b="0"/>
            <wp:docPr id="1079212627" name="Picture 7" descr="EMSA: Seafarer Statistics in the EU 20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SA: Seafarer Statistics in the EU 202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08705"/>
                    </a:xfrm>
                    <a:prstGeom prst="rect">
                      <a:avLst/>
                    </a:prstGeom>
                    <a:noFill/>
                    <a:ln>
                      <a:noFill/>
                    </a:ln>
                  </pic:spPr>
                </pic:pic>
              </a:graphicData>
            </a:graphic>
          </wp:inline>
        </w:drawing>
      </w:r>
      <w:r w:rsidR="0032211B" w:rsidRPr="0032211B">
        <w:rPr>
          <w:rFonts w:ascii="Times New Roman" w:hAnsi="Times New Roman" w:cs="Times New Roman"/>
          <w:i/>
          <w:iCs/>
          <w:sz w:val="26"/>
          <w:szCs w:val="26"/>
        </w:rPr>
        <w:t>(Số lượng thuyền trưởng và sĩ quan sẵn có ở cấp độ EU qua các năm, bao gồm cả chứng chỉ gốc do các quốc gia EU và ngoài EU cấp – Nguồn: EMSA)</w:t>
      </w:r>
    </w:p>
    <w:p w14:paraId="0CFBF6D6" w14:textId="0CF5B302"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Việc xem xét dữ liệu giai đoạn </w:t>
      </w:r>
      <w:r w:rsidRPr="0032211B">
        <w:rPr>
          <w:rFonts w:ascii="Times New Roman" w:hAnsi="Times New Roman" w:cs="Times New Roman"/>
          <w:b/>
          <w:bCs/>
          <w:sz w:val="26"/>
          <w:szCs w:val="26"/>
        </w:rPr>
        <w:t>2014–2024</w:t>
      </w:r>
      <w:r w:rsidRPr="0032211B">
        <w:rPr>
          <w:rFonts w:ascii="Times New Roman" w:hAnsi="Times New Roman" w:cs="Times New Roman"/>
          <w:sz w:val="26"/>
          <w:szCs w:val="26"/>
        </w:rPr>
        <w:t xml:space="preserve"> cho thấy số lượng thuyền trưởng và sĩ quan sở hữu CoC và EaR, cũng như số lượng thủy thủ</w:t>
      </w:r>
      <w:r w:rsidR="00EE4CAB">
        <w:rPr>
          <w:rFonts w:ascii="Times New Roman" w:hAnsi="Times New Roman" w:cs="Times New Roman"/>
          <w:sz w:val="26"/>
          <w:szCs w:val="26"/>
        </w:rPr>
        <w:t>, thợ máy</w:t>
      </w:r>
      <w:r w:rsidRPr="0032211B">
        <w:rPr>
          <w:rFonts w:ascii="Times New Roman" w:hAnsi="Times New Roman" w:cs="Times New Roman"/>
          <w:sz w:val="26"/>
          <w:szCs w:val="26"/>
        </w:rPr>
        <w:t xml:space="preserve"> (ratings) sở hữu </w:t>
      </w:r>
      <w:r w:rsidRPr="00EE4CAB">
        <w:rPr>
          <w:rFonts w:ascii="Times New Roman" w:hAnsi="Times New Roman" w:cs="Times New Roman"/>
          <w:sz w:val="26"/>
          <w:szCs w:val="26"/>
        </w:rPr>
        <w:t>Giấy chứng nhận khả năng chuyên môn (CoP),</w:t>
      </w:r>
      <w:r w:rsidRPr="0032211B">
        <w:rPr>
          <w:rFonts w:ascii="Times New Roman" w:hAnsi="Times New Roman" w:cs="Times New Roman"/>
          <w:sz w:val="26"/>
          <w:szCs w:val="26"/>
        </w:rPr>
        <w:t xml:space="preserve"> đã tăng trưởng ổn định từ năm 2016 đến năm 2019. Điều này giúp mở rộng nguồn nhân lực có thể làm việc trên các tàu mang cờ các quốc gia thành viên EU.</w:t>
      </w:r>
    </w:p>
    <w:p w14:paraId="39392804" w14:textId="77777777" w:rsidR="0032211B" w:rsidRPr="00EE4CA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Tuy nhiên, xu hướng tăng trưởng này đã bị gián đoạn trong giai đoạn </w:t>
      </w:r>
      <w:r w:rsidRPr="00EE4CAB">
        <w:rPr>
          <w:rFonts w:ascii="Times New Roman" w:hAnsi="Times New Roman" w:cs="Times New Roman"/>
          <w:sz w:val="26"/>
          <w:szCs w:val="26"/>
        </w:rPr>
        <w:t>2020–2022</w:t>
      </w:r>
      <w:r w:rsidRPr="0032211B">
        <w:rPr>
          <w:rFonts w:ascii="Times New Roman" w:hAnsi="Times New Roman" w:cs="Times New Roman"/>
          <w:sz w:val="26"/>
          <w:szCs w:val="26"/>
        </w:rPr>
        <w:t xml:space="preserve">, chủ yếu do tác động kết hợp của </w:t>
      </w:r>
      <w:r w:rsidRPr="00EE4CAB">
        <w:rPr>
          <w:rFonts w:ascii="Times New Roman" w:hAnsi="Times New Roman" w:cs="Times New Roman"/>
          <w:sz w:val="26"/>
          <w:szCs w:val="26"/>
        </w:rPr>
        <w:t>Brexit</w:t>
      </w:r>
      <w:r w:rsidRPr="0032211B">
        <w:rPr>
          <w:rFonts w:ascii="Times New Roman" w:hAnsi="Times New Roman" w:cs="Times New Roman"/>
          <w:sz w:val="26"/>
          <w:szCs w:val="26"/>
        </w:rPr>
        <w:t xml:space="preserve"> và đại dịch </w:t>
      </w:r>
      <w:r w:rsidRPr="00EE4CAB">
        <w:rPr>
          <w:rFonts w:ascii="Times New Roman" w:hAnsi="Times New Roman" w:cs="Times New Roman"/>
          <w:sz w:val="26"/>
          <w:szCs w:val="26"/>
        </w:rPr>
        <w:t>COVID-19.</w:t>
      </w:r>
    </w:p>
    <w:p w14:paraId="604D0299" w14:textId="6B3C20BD" w:rsidR="0032211B" w:rsidRPr="0032211B" w:rsidRDefault="0032211B" w:rsidP="0073279D">
      <w:pPr>
        <w:tabs>
          <w:tab w:val="num" w:pos="720"/>
        </w:tabs>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Kể từ đó, ngành hàng hải đã cho thấy dấu hiệu phục hồi, với mức tăng trưởng khiêm tốn trong các năm 2023 và 2024. Mặc dù có những biến động này, cơ cấu tổng thể của lực lượng lao động hàng hải vẫn duy trì sự ổn định đáng kể, với rất ít thay đổi về</w:t>
      </w:r>
      <w:r w:rsidR="0073279D">
        <w:rPr>
          <w:rFonts w:ascii="Times New Roman" w:hAnsi="Times New Roman" w:cs="Times New Roman"/>
          <w:sz w:val="26"/>
          <w:szCs w:val="26"/>
        </w:rPr>
        <w:t xml:space="preserve"> q</w:t>
      </w:r>
      <w:r w:rsidRPr="0032211B">
        <w:rPr>
          <w:rFonts w:ascii="Times New Roman" w:hAnsi="Times New Roman" w:cs="Times New Roman"/>
          <w:sz w:val="26"/>
          <w:szCs w:val="26"/>
        </w:rPr>
        <w:t>uốc gia cấp chứng chỉ</w:t>
      </w:r>
      <w:r w:rsidR="0073279D">
        <w:rPr>
          <w:rFonts w:ascii="Times New Roman" w:hAnsi="Times New Roman" w:cs="Times New Roman"/>
          <w:sz w:val="26"/>
          <w:szCs w:val="26"/>
        </w:rPr>
        <w:t>, b</w:t>
      </w:r>
      <w:r w:rsidRPr="0032211B">
        <w:rPr>
          <w:rFonts w:ascii="Times New Roman" w:hAnsi="Times New Roman" w:cs="Times New Roman"/>
          <w:sz w:val="26"/>
          <w:szCs w:val="26"/>
        </w:rPr>
        <w:t xml:space="preserve">ộ phận </w:t>
      </w:r>
      <w:r w:rsidR="00EE4CAB">
        <w:rPr>
          <w:rFonts w:ascii="Times New Roman" w:hAnsi="Times New Roman" w:cs="Times New Roman"/>
          <w:sz w:val="26"/>
          <w:szCs w:val="26"/>
        </w:rPr>
        <w:t>của thuyền bộ</w:t>
      </w:r>
      <w:r w:rsidRPr="0032211B">
        <w:rPr>
          <w:rFonts w:ascii="Times New Roman" w:hAnsi="Times New Roman" w:cs="Times New Roman"/>
          <w:sz w:val="26"/>
          <w:szCs w:val="26"/>
        </w:rPr>
        <w:t xml:space="preserve"> (boong, máy, vô tuyến điện...)</w:t>
      </w:r>
      <w:r w:rsidR="0073279D">
        <w:rPr>
          <w:rFonts w:ascii="Times New Roman" w:hAnsi="Times New Roman" w:cs="Times New Roman"/>
          <w:sz w:val="26"/>
          <w:szCs w:val="26"/>
        </w:rPr>
        <w:t xml:space="preserve">, </w:t>
      </w:r>
      <w:r w:rsidRPr="0032211B">
        <w:rPr>
          <w:rFonts w:ascii="Times New Roman" w:hAnsi="Times New Roman" w:cs="Times New Roman"/>
          <w:sz w:val="26"/>
          <w:szCs w:val="26"/>
        </w:rPr>
        <w:t>Chức danh</w:t>
      </w:r>
      <w:r w:rsidR="0073279D">
        <w:rPr>
          <w:rFonts w:ascii="Times New Roman" w:hAnsi="Times New Roman" w:cs="Times New Roman"/>
          <w:sz w:val="26"/>
          <w:szCs w:val="26"/>
        </w:rPr>
        <w:t xml:space="preserve">, </w:t>
      </w:r>
      <w:r w:rsidRPr="0032211B">
        <w:rPr>
          <w:rFonts w:ascii="Times New Roman" w:hAnsi="Times New Roman" w:cs="Times New Roman"/>
          <w:sz w:val="26"/>
          <w:szCs w:val="26"/>
        </w:rPr>
        <w:t>Giới tính</w:t>
      </w:r>
      <w:r w:rsidR="0073279D">
        <w:rPr>
          <w:rFonts w:ascii="Times New Roman" w:hAnsi="Times New Roman" w:cs="Times New Roman"/>
          <w:sz w:val="26"/>
          <w:szCs w:val="26"/>
        </w:rPr>
        <w:t xml:space="preserve"> và đ</w:t>
      </w:r>
      <w:r w:rsidRPr="0032211B">
        <w:rPr>
          <w:rFonts w:ascii="Times New Roman" w:hAnsi="Times New Roman" w:cs="Times New Roman"/>
          <w:sz w:val="26"/>
          <w:szCs w:val="26"/>
        </w:rPr>
        <w:t xml:space="preserve">ộ tuổi. </w:t>
      </w:r>
    </w:p>
    <w:p w14:paraId="3E629DB4" w14:textId="6B97D071" w:rsid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Báo cáo cũng cho thấy bức tranh nhân khẩu học khá ổn định, khi cơ cấu tuổi và nguồn gốc địa lý của thuyền viên hầu như không thay đổi trong suốt thập kỷ qua.</w:t>
      </w:r>
      <w:r w:rsidR="00EE4CAB">
        <w:rPr>
          <w:rFonts w:ascii="Times New Roman" w:hAnsi="Times New Roman" w:cs="Times New Roman"/>
          <w:sz w:val="26"/>
          <w:szCs w:val="26"/>
        </w:rPr>
        <w:t xml:space="preserve"> </w:t>
      </w:r>
      <w:r w:rsidRPr="0032211B">
        <w:rPr>
          <w:rFonts w:ascii="Times New Roman" w:hAnsi="Times New Roman" w:cs="Times New Roman"/>
          <w:sz w:val="26"/>
          <w:szCs w:val="26"/>
        </w:rPr>
        <w:t xml:space="preserve">Phụ nữ tiếp tục chỉ chiếm một tỷ lệ rất nhỏ trong đội ngũ sĩ quan hàng hải. Phần lớn nữ sĩ quan sở hữu các chứng chỉ do EU cấp và đủ điều kiện làm việc tại </w:t>
      </w:r>
      <w:r w:rsidRPr="00EE4CAB">
        <w:rPr>
          <w:rFonts w:ascii="Times New Roman" w:hAnsi="Times New Roman" w:cs="Times New Roman"/>
          <w:sz w:val="26"/>
          <w:szCs w:val="26"/>
        </w:rPr>
        <w:t>bộ phận boong</w:t>
      </w:r>
      <w:r w:rsidRPr="0032211B">
        <w:rPr>
          <w:rFonts w:ascii="Times New Roman" w:hAnsi="Times New Roman" w:cs="Times New Roman"/>
          <w:sz w:val="26"/>
          <w:szCs w:val="26"/>
        </w:rPr>
        <w:t>.</w:t>
      </w:r>
    </w:p>
    <w:p w14:paraId="4067306E" w14:textId="263EA3E5" w:rsidR="00EE4CAB" w:rsidRPr="0032211B" w:rsidRDefault="00EE4CAB" w:rsidP="0032211B">
      <w:pPr>
        <w:spacing w:before="120" w:after="120"/>
        <w:jc w:val="both"/>
        <w:rPr>
          <w:rFonts w:ascii="Times New Roman" w:hAnsi="Times New Roman" w:cs="Times New Roman"/>
          <w:sz w:val="26"/>
          <w:szCs w:val="26"/>
        </w:rPr>
      </w:pPr>
      <w:r w:rsidRPr="0032211B">
        <w:lastRenderedPageBreak/>
        <w:drawing>
          <wp:inline distT="0" distB="0" distL="0" distR="0" wp14:anchorId="4C225D9C" wp14:editId="5D6E0635">
            <wp:extent cx="5943600" cy="5628005"/>
            <wp:effectExtent l="0" t="0" r="0" b="0"/>
            <wp:docPr id="243468591" name="Picture 6" descr="EMSA: Seafarer Statistics in the EU 20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SA: Seafarer Statistics in the EU 202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28005"/>
                    </a:xfrm>
                    <a:prstGeom prst="rect">
                      <a:avLst/>
                    </a:prstGeom>
                    <a:noFill/>
                    <a:ln>
                      <a:noFill/>
                    </a:ln>
                  </pic:spPr>
                </pic:pic>
              </a:graphicData>
            </a:graphic>
          </wp:inline>
        </w:drawing>
      </w:r>
    </w:p>
    <w:p w14:paraId="6848E572" w14:textId="7777777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Mặc dù các nỗ lực thúc đẩy nghề hàng hải và những thay đổi tích cực trong xã hội được kỳ vọng sẽ thu hút thêm phụ nữ tham gia ngành nghề này, tốc độ thay đổi hiện vẫn diễn ra khá chậm. Vì vậy, trong tương lai gần, phụ nữ khó có khả năng chiếm quá </w:t>
      </w:r>
      <w:r w:rsidRPr="00EE4CAB">
        <w:rPr>
          <w:rFonts w:ascii="Times New Roman" w:hAnsi="Times New Roman" w:cs="Times New Roman"/>
          <w:sz w:val="26"/>
          <w:szCs w:val="26"/>
        </w:rPr>
        <w:t>2% tổng số thuyền trưởng và sĩ quan trên toàn cầu</w:t>
      </w:r>
      <w:r w:rsidRPr="0032211B">
        <w:rPr>
          <w:rFonts w:ascii="Times New Roman" w:hAnsi="Times New Roman" w:cs="Times New Roman"/>
          <w:sz w:val="26"/>
          <w:szCs w:val="26"/>
        </w:rPr>
        <w:t xml:space="preserve"> có thể làm việc trên các tàu mang cờ các quốc gia thành viên EU.</w:t>
      </w:r>
    </w:p>
    <w:p w14:paraId="4F972533" w14:textId="77777777" w:rsidR="0032211B" w:rsidRPr="0032211B" w:rsidRDefault="0032211B" w:rsidP="0032211B">
      <w:pPr>
        <w:spacing w:before="120" w:after="120"/>
        <w:jc w:val="both"/>
        <w:rPr>
          <w:rFonts w:ascii="Times New Roman" w:hAnsi="Times New Roman" w:cs="Times New Roman"/>
          <w:b/>
          <w:bCs/>
          <w:sz w:val="26"/>
          <w:szCs w:val="26"/>
        </w:rPr>
      </w:pPr>
      <w:r w:rsidRPr="0032211B">
        <w:rPr>
          <w:rFonts w:ascii="Times New Roman" w:hAnsi="Times New Roman" w:cs="Times New Roman"/>
          <w:b/>
          <w:bCs/>
          <w:sz w:val="26"/>
          <w:szCs w:val="26"/>
        </w:rPr>
        <w:t>Thuyền trưởng và sĩ quan sở hữu CoC còn hiệu lực trong năm 2024</w:t>
      </w:r>
    </w:p>
    <w:p w14:paraId="747AE6BF" w14:textId="7777777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Tổng số thuyền trưởng và sĩ quan sở hữu CoC còn hiệu lực ở cấp độ EU là </w:t>
      </w:r>
      <w:r w:rsidRPr="0032211B">
        <w:rPr>
          <w:rFonts w:ascii="Times New Roman" w:hAnsi="Times New Roman" w:cs="Times New Roman"/>
          <w:b/>
          <w:bCs/>
          <w:sz w:val="26"/>
          <w:szCs w:val="26"/>
        </w:rPr>
        <w:t>177.378 người</w:t>
      </w:r>
      <w:r w:rsidRPr="0032211B">
        <w:rPr>
          <w:rFonts w:ascii="Times New Roman" w:hAnsi="Times New Roman" w:cs="Times New Roman"/>
          <w:sz w:val="26"/>
          <w:szCs w:val="26"/>
        </w:rPr>
        <w:t>.</w:t>
      </w:r>
    </w:p>
    <w:p w14:paraId="29F329B2" w14:textId="7777777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Trong số này:</w:t>
      </w:r>
    </w:p>
    <w:p w14:paraId="70935253" w14:textId="5E0D4184" w:rsidR="0032211B" w:rsidRPr="0032211B" w:rsidRDefault="0032211B" w:rsidP="0032211B">
      <w:pPr>
        <w:numPr>
          <w:ilvl w:val="0"/>
          <w:numId w:val="8"/>
        </w:numPr>
        <w:spacing w:before="120" w:after="120"/>
        <w:jc w:val="both"/>
        <w:rPr>
          <w:rFonts w:ascii="Times New Roman" w:hAnsi="Times New Roman" w:cs="Times New Roman"/>
          <w:sz w:val="26"/>
          <w:szCs w:val="26"/>
        </w:rPr>
      </w:pPr>
      <w:r w:rsidRPr="0032211B">
        <w:rPr>
          <w:rFonts w:ascii="Times New Roman" w:hAnsi="Times New Roman" w:cs="Times New Roman"/>
          <w:b/>
          <w:bCs/>
          <w:sz w:val="26"/>
          <w:szCs w:val="26"/>
        </w:rPr>
        <w:t>3,84%</w:t>
      </w:r>
      <w:r w:rsidRPr="0032211B">
        <w:rPr>
          <w:rFonts w:ascii="Times New Roman" w:hAnsi="Times New Roman" w:cs="Times New Roman"/>
          <w:sz w:val="26"/>
          <w:szCs w:val="26"/>
        </w:rPr>
        <w:t xml:space="preserve"> sở hữu CoC cho phép họ phục vụ </w:t>
      </w:r>
      <w:r w:rsidR="00EE4CAB">
        <w:rPr>
          <w:rFonts w:ascii="Times New Roman" w:hAnsi="Times New Roman" w:cs="Times New Roman"/>
          <w:sz w:val="26"/>
          <w:szCs w:val="26"/>
        </w:rPr>
        <w:t xml:space="preserve">được </w:t>
      </w:r>
      <w:r w:rsidRPr="00EE4CAB">
        <w:rPr>
          <w:rFonts w:ascii="Times New Roman" w:hAnsi="Times New Roman" w:cs="Times New Roman"/>
          <w:sz w:val="26"/>
          <w:szCs w:val="26"/>
        </w:rPr>
        <w:t>cả ở bộ phận boong và bộ phận máy</w:t>
      </w:r>
      <w:r w:rsidRPr="0032211B">
        <w:rPr>
          <w:rFonts w:ascii="Times New Roman" w:hAnsi="Times New Roman" w:cs="Times New Roman"/>
          <w:sz w:val="26"/>
          <w:szCs w:val="26"/>
        </w:rPr>
        <w:t xml:space="preserve">. </w:t>
      </w:r>
    </w:p>
    <w:p w14:paraId="5ECA30FD" w14:textId="77777777" w:rsidR="0032211B" w:rsidRPr="0032211B" w:rsidRDefault="0032211B" w:rsidP="0032211B">
      <w:pPr>
        <w:numPr>
          <w:ilvl w:val="0"/>
          <w:numId w:val="8"/>
        </w:num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t xml:space="preserve">Chỉ có </w:t>
      </w:r>
      <w:r w:rsidRPr="0032211B">
        <w:rPr>
          <w:rFonts w:ascii="Times New Roman" w:hAnsi="Times New Roman" w:cs="Times New Roman"/>
          <w:b/>
          <w:bCs/>
          <w:sz w:val="26"/>
          <w:szCs w:val="26"/>
        </w:rPr>
        <w:t>0,06%</w:t>
      </w:r>
      <w:r w:rsidRPr="0032211B">
        <w:rPr>
          <w:rFonts w:ascii="Times New Roman" w:hAnsi="Times New Roman" w:cs="Times New Roman"/>
          <w:sz w:val="26"/>
          <w:szCs w:val="26"/>
        </w:rPr>
        <w:t xml:space="preserve"> sở hữu CoC do </w:t>
      </w:r>
      <w:r w:rsidRPr="00EE4CAB">
        <w:rPr>
          <w:rFonts w:ascii="Times New Roman" w:hAnsi="Times New Roman" w:cs="Times New Roman"/>
          <w:sz w:val="26"/>
          <w:szCs w:val="26"/>
        </w:rPr>
        <w:t>nhiều hơn một quốc gia thành viên EU cấp</w:t>
      </w:r>
      <w:r w:rsidRPr="0032211B">
        <w:rPr>
          <w:rFonts w:ascii="Times New Roman" w:hAnsi="Times New Roman" w:cs="Times New Roman"/>
          <w:sz w:val="26"/>
          <w:szCs w:val="26"/>
        </w:rPr>
        <w:t xml:space="preserve">. </w:t>
      </w:r>
    </w:p>
    <w:p w14:paraId="0DC6370D" w14:textId="77777777" w:rsidR="0032211B" w:rsidRPr="0032211B" w:rsidRDefault="0032211B" w:rsidP="0032211B">
      <w:pPr>
        <w:spacing w:before="120" w:after="120"/>
        <w:jc w:val="both"/>
        <w:rPr>
          <w:rFonts w:ascii="Times New Roman" w:hAnsi="Times New Roman" w:cs="Times New Roman"/>
          <w:sz w:val="26"/>
          <w:szCs w:val="26"/>
        </w:rPr>
      </w:pPr>
      <w:r w:rsidRPr="0032211B">
        <w:rPr>
          <w:rFonts w:ascii="Times New Roman" w:hAnsi="Times New Roman" w:cs="Times New Roman"/>
          <w:sz w:val="26"/>
          <w:szCs w:val="26"/>
        </w:rPr>
        <w:lastRenderedPageBreak/>
        <w:t>Xu hướng này cũng đã được ghi nhận trong các báo cáo trước đây, cho thấy trong suốt thập kỷ qua không có nhiều thay đổi đáng kể về việc thuyền viên sở hữu chứng chỉ năng lực từ nhiều quốc gia thành viên EU khác nhau.</w:t>
      </w:r>
    </w:p>
    <w:p w14:paraId="2C7AE169" w14:textId="3A0F5A3C" w:rsidR="0032211B" w:rsidRPr="0032211B" w:rsidRDefault="0032211B" w:rsidP="00EE4CAB"/>
    <w:p w14:paraId="3E52337C" w14:textId="77777777" w:rsidR="00EE4CAB" w:rsidRDefault="0032211B" w:rsidP="0032211B">
      <w:pPr>
        <w:jc w:val="center"/>
      </w:pPr>
      <w:r w:rsidRPr="0032211B">
        <w:drawing>
          <wp:inline distT="0" distB="0" distL="0" distR="0" wp14:anchorId="58B90DB6" wp14:editId="5A8D67C6">
            <wp:extent cx="3787140" cy="2748509"/>
            <wp:effectExtent l="0" t="0" r="3810" b="0"/>
            <wp:docPr id="2056801838" name="Picture 5" descr="EMSA: Seafarer Statistics in the EU 202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MSA: Seafarer Statistics in the EU 202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3476" cy="2753107"/>
                    </a:xfrm>
                    <a:prstGeom prst="rect">
                      <a:avLst/>
                    </a:prstGeom>
                    <a:noFill/>
                    <a:ln>
                      <a:noFill/>
                    </a:ln>
                  </pic:spPr>
                </pic:pic>
              </a:graphicData>
            </a:graphic>
          </wp:inline>
        </w:drawing>
      </w:r>
    </w:p>
    <w:p w14:paraId="01263F48" w14:textId="363F8807" w:rsidR="0032211B" w:rsidRPr="00C95753" w:rsidRDefault="0032211B" w:rsidP="00C95753">
      <w:pPr>
        <w:spacing w:before="120" w:after="120"/>
        <w:jc w:val="center"/>
        <w:rPr>
          <w:rFonts w:ascii="Times New Roman" w:hAnsi="Times New Roman" w:cs="Times New Roman"/>
          <w:sz w:val="26"/>
          <w:szCs w:val="26"/>
        </w:rPr>
      </w:pPr>
      <w:r w:rsidRPr="00C95753">
        <w:rPr>
          <w:rFonts w:ascii="Times New Roman" w:hAnsi="Times New Roman" w:cs="Times New Roman"/>
          <w:sz w:val="26"/>
          <w:szCs w:val="26"/>
        </w:rPr>
        <w:t>EMSA</w:t>
      </w:r>
    </w:p>
    <w:p w14:paraId="42AD33C1" w14:textId="77777777" w:rsidR="00C95753" w:rsidRPr="00C95753" w:rsidRDefault="00C95753" w:rsidP="00C95753">
      <w:pPr>
        <w:spacing w:before="120" w:after="120"/>
        <w:rPr>
          <w:rFonts w:ascii="Times New Roman" w:hAnsi="Times New Roman" w:cs="Times New Roman"/>
          <w:b/>
          <w:bCs/>
          <w:sz w:val="26"/>
          <w:szCs w:val="26"/>
        </w:rPr>
      </w:pPr>
      <w:r w:rsidRPr="00C95753">
        <w:rPr>
          <w:rFonts w:ascii="Times New Roman" w:hAnsi="Times New Roman" w:cs="Times New Roman"/>
          <w:b/>
          <w:bCs/>
          <w:sz w:val="26"/>
          <w:szCs w:val="26"/>
        </w:rPr>
        <w:t>Phân bố theo giới tính</w:t>
      </w:r>
    </w:p>
    <w:p w14:paraId="09A739ED"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Thông tin về giới tính có sẵn đối với </w:t>
      </w:r>
      <w:r w:rsidRPr="00C95753">
        <w:rPr>
          <w:rFonts w:ascii="Times New Roman" w:hAnsi="Times New Roman" w:cs="Times New Roman"/>
          <w:b/>
          <w:bCs/>
          <w:sz w:val="26"/>
          <w:szCs w:val="26"/>
        </w:rPr>
        <w:t>166.183 thuyền trưởng và sĩ quan</w:t>
      </w:r>
      <w:r w:rsidRPr="00C95753">
        <w:rPr>
          <w:rFonts w:ascii="Times New Roman" w:hAnsi="Times New Roman" w:cs="Times New Roman"/>
          <w:sz w:val="26"/>
          <w:szCs w:val="26"/>
        </w:rPr>
        <w:t xml:space="preserve">, tương đương </w:t>
      </w:r>
      <w:r w:rsidRPr="00C95753">
        <w:rPr>
          <w:rFonts w:ascii="Times New Roman" w:hAnsi="Times New Roman" w:cs="Times New Roman"/>
          <w:b/>
          <w:bCs/>
          <w:sz w:val="26"/>
          <w:szCs w:val="26"/>
        </w:rPr>
        <w:t>93,69%</w:t>
      </w:r>
      <w:r w:rsidRPr="00C95753">
        <w:rPr>
          <w:rFonts w:ascii="Times New Roman" w:hAnsi="Times New Roman" w:cs="Times New Roman"/>
          <w:sz w:val="26"/>
          <w:szCs w:val="26"/>
        </w:rPr>
        <w:t xml:space="preserve"> tổng số sĩ quan sở hữu CoC ở cấp độ EU.</w:t>
      </w:r>
    </w:p>
    <w:p w14:paraId="6F65DF29"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Dựa trên tổng số thuyền trưởng và sĩ quan có thông tin về giới tính, có thể khẳng định với độ tin cậy 99% rằng:</w:t>
      </w:r>
    </w:p>
    <w:p w14:paraId="322F0C3A" w14:textId="77777777" w:rsidR="00C95753" w:rsidRPr="00C95753" w:rsidRDefault="00C95753" w:rsidP="00C95753">
      <w:pPr>
        <w:numPr>
          <w:ilvl w:val="0"/>
          <w:numId w:val="9"/>
        </w:numPr>
        <w:spacing w:before="120" w:after="120"/>
        <w:jc w:val="both"/>
        <w:rPr>
          <w:rFonts w:ascii="Times New Roman" w:hAnsi="Times New Roman" w:cs="Times New Roman"/>
          <w:color w:val="EE0000"/>
          <w:sz w:val="26"/>
          <w:szCs w:val="26"/>
        </w:rPr>
      </w:pPr>
      <w:r w:rsidRPr="00C95753">
        <w:rPr>
          <w:rFonts w:ascii="Times New Roman" w:hAnsi="Times New Roman" w:cs="Times New Roman"/>
          <w:color w:val="EE0000"/>
          <w:sz w:val="26"/>
          <w:szCs w:val="26"/>
        </w:rPr>
        <w:t xml:space="preserve">Nữ thuyền trưởng và sĩ quan chiếm 2,83% ± 0,08%; </w:t>
      </w:r>
    </w:p>
    <w:p w14:paraId="51F4C8F0" w14:textId="77777777" w:rsidR="00C95753" w:rsidRPr="00C95753" w:rsidRDefault="00C95753" w:rsidP="00C95753">
      <w:pPr>
        <w:numPr>
          <w:ilvl w:val="0"/>
          <w:numId w:val="9"/>
        </w:numPr>
        <w:spacing w:before="120" w:after="120"/>
        <w:jc w:val="both"/>
        <w:rPr>
          <w:rFonts w:ascii="Times New Roman" w:hAnsi="Times New Roman" w:cs="Times New Roman"/>
          <w:color w:val="EE0000"/>
          <w:sz w:val="26"/>
          <w:szCs w:val="26"/>
        </w:rPr>
      </w:pPr>
      <w:r w:rsidRPr="00C95753">
        <w:rPr>
          <w:rFonts w:ascii="Times New Roman" w:hAnsi="Times New Roman" w:cs="Times New Roman"/>
          <w:color w:val="EE0000"/>
          <w:sz w:val="26"/>
          <w:szCs w:val="26"/>
        </w:rPr>
        <w:t xml:space="preserve">Nam thuyền trưởng và sĩ quan chiếm 96,98% ± 0,08%. </w:t>
      </w:r>
    </w:p>
    <w:p w14:paraId="36CD7E0C"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Các số liệu cho thấy nam thuyền trưởng và sĩ quan có sự phân bố tương đối đồng đều giữa các bộ phận chuyên môn, với:</w:t>
      </w:r>
    </w:p>
    <w:p w14:paraId="04696A8E" w14:textId="5CE6107C" w:rsidR="00C95753" w:rsidRPr="00C95753" w:rsidRDefault="00C95753" w:rsidP="00C95753">
      <w:pPr>
        <w:numPr>
          <w:ilvl w:val="0"/>
          <w:numId w:val="10"/>
        </w:numPr>
        <w:spacing w:before="120" w:after="120"/>
        <w:jc w:val="both"/>
        <w:rPr>
          <w:rFonts w:ascii="Times New Roman" w:hAnsi="Times New Roman" w:cs="Times New Roman"/>
          <w:sz w:val="26"/>
          <w:szCs w:val="26"/>
        </w:rPr>
      </w:pPr>
      <w:r w:rsidRPr="00C95753">
        <w:rPr>
          <w:rFonts w:ascii="Times New Roman" w:hAnsi="Times New Roman" w:cs="Times New Roman"/>
          <w:b/>
          <w:bCs/>
          <w:sz w:val="26"/>
          <w:szCs w:val="26"/>
        </w:rPr>
        <w:t>60%</w:t>
      </w:r>
      <w:r w:rsidRPr="00C95753">
        <w:rPr>
          <w:rFonts w:ascii="Times New Roman" w:hAnsi="Times New Roman" w:cs="Times New Roman"/>
          <w:sz w:val="26"/>
          <w:szCs w:val="26"/>
        </w:rPr>
        <w:t xml:space="preserve"> đủ điều kiện phục vụ tại bộ phận boong; </w:t>
      </w:r>
    </w:p>
    <w:p w14:paraId="5B29750B" w14:textId="5DC754F3" w:rsidR="00C95753" w:rsidRPr="00C95753" w:rsidRDefault="00C95753" w:rsidP="00C95753">
      <w:pPr>
        <w:numPr>
          <w:ilvl w:val="0"/>
          <w:numId w:val="10"/>
        </w:numPr>
        <w:spacing w:before="120" w:after="120"/>
        <w:jc w:val="both"/>
        <w:rPr>
          <w:rFonts w:ascii="Times New Roman" w:hAnsi="Times New Roman" w:cs="Times New Roman"/>
          <w:sz w:val="26"/>
          <w:szCs w:val="26"/>
        </w:rPr>
      </w:pPr>
      <w:r w:rsidRPr="00C95753">
        <w:rPr>
          <w:rFonts w:ascii="Times New Roman" w:hAnsi="Times New Roman" w:cs="Times New Roman"/>
          <w:b/>
          <w:bCs/>
          <w:sz w:val="26"/>
          <w:szCs w:val="26"/>
        </w:rPr>
        <w:t>40%</w:t>
      </w:r>
      <w:r w:rsidRPr="00C95753">
        <w:rPr>
          <w:rFonts w:ascii="Times New Roman" w:hAnsi="Times New Roman" w:cs="Times New Roman"/>
          <w:sz w:val="26"/>
          <w:szCs w:val="26"/>
        </w:rPr>
        <w:t xml:space="preserve"> đủ điều kiện phục vụ tại bộ phận máy. </w:t>
      </w:r>
    </w:p>
    <w:p w14:paraId="607C0E52" w14:textId="77777777" w:rsid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Trong khi đó, phần lớn nữ thuyền trưởng và sĩ quan (</w:t>
      </w:r>
      <w:r w:rsidRPr="00C95753">
        <w:rPr>
          <w:rFonts w:ascii="Times New Roman" w:hAnsi="Times New Roman" w:cs="Times New Roman"/>
          <w:b/>
          <w:bCs/>
          <w:sz w:val="26"/>
          <w:szCs w:val="26"/>
        </w:rPr>
        <w:t>87,57%</w:t>
      </w:r>
      <w:r w:rsidRPr="00C95753">
        <w:rPr>
          <w:rFonts w:ascii="Times New Roman" w:hAnsi="Times New Roman" w:cs="Times New Roman"/>
          <w:sz w:val="26"/>
          <w:szCs w:val="26"/>
        </w:rPr>
        <w:t>) được cấp chứng chỉ để làm việc tại bộ phận boong.</w:t>
      </w:r>
    </w:p>
    <w:p w14:paraId="451AC6F0" w14:textId="77777777" w:rsidR="00C95753" w:rsidRPr="00C95753" w:rsidRDefault="00C95753" w:rsidP="00C95753">
      <w:pPr>
        <w:spacing w:before="120" w:after="120"/>
        <w:jc w:val="both"/>
        <w:rPr>
          <w:rFonts w:ascii="Times New Roman" w:hAnsi="Times New Roman" w:cs="Times New Roman"/>
          <w:sz w:val="26"/>
          <w:szCs w:val="26"/>
        </w:rPr>
      </w:pPr>
    </w:p>
    <w:p w14:paraId="7AFBA737" w14:textId="77777777" w:rsidR="00C95753" w:rsidRPr="00C95753" w:rsidRDefault="00C95753" w:rsidP="00C95753">
      <w:pPr>
        <w:spacing w:before="120" w:after="120"/>
        <w:rPr>
          <w:rFonts w:ascii="Times New Roman" w:hAnsi="Times New Roman" w:cs="Times New Roman"/>
          <w:b/>
          <w:bCs/>
          <w:sz w:val="26"/>
          <w:szCs w:val="26"/>
        </w:rPr>
      </w:pPr>
      <w:r w:rsidRPr="00C95753">
        <w:rPr>
          <w:rFonts w:ascii="Times New Roman" w:hAnsi="Times New Roman" w:cs="Times New Roman"/>
          <w:b/>
          <w:bCs/>
          <w:sz w:val="26"/>
          <w:szCs w:val="26"/>
        </w:rPr>
        <w:t>Phân bố theo quốc tịch</w:t>
      </w:r>
    </w:p>
    <w:p w14:paraId="234AD448"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Thông tin về quốc tịch có sẵn đối với </w:t>
      </w:r>
      <w:r w:rsidRPr="00C95753">
        <w:rPr>
          <w:rFonts w:ascii="Times New Roman" w:hAnsi="Times New Roman" w:cs="Times New Roman"/>
          <w:b/>
          <w:bCs/>
          <w:sz w:val="26"/>
          <w:szCs w:val="26"/>
        </w:rPr>
        <w:t>171.813 thuyền trưởng và sĩ quan</w:t>
      </w:r>
      <w:r w:rsidRPr="00C95753">
        <w:rPr>
          <w:rFonts w:ascii="Times New Roman" w:hAnsi="Times New Roman" w:cs="Times New Roman"/>
          <w:sz w:val="26"/>
          <w:szCs w:val="26"/>
        </w:rPr>
        <w:t xml:space="preserve">, tương đương </w:t>
      </w:r>
      <w:r w:rsidRPr="00C95753">
        <w:rPr>
          <w:rFonts w:ascii="Times New Roman" w:hAnsi="Times New Roman" w:cs="Times New Roman"/>
          <w:b/>
          <w:bCs/>
          <w:sz w:val="26"/>
          <w:szCs w:val="26"/>
        </w:rPr>
        <w:t>96,86%</w:t>
      </w:r>
      <w:r w:rsidRPr="00C95753">
        <w:rPr>
          <w:rFonts w:ascii="Times New Roman" w:hAnsi="Times New Roman" w:cs="Times New Roman"/>
          <w:sz w:val="26"/>
          <w:szCs w:val="26"/>
        </w:rPr>
        <w:t xml:space="preserve"> tổng số sĩ quan sở hữu CoC ở cấp độ EU.</w:t>
      </w:r>
    </w:p>
    <w:p w14:paraId="08BE85D5"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lastRenderedPageBreak/>
        <w:t>Ngoài công dân của các quốc gia thành viên EU, còn có 2.054 công dân thuộc 89 quốc gia ngoài EU đang sở hữu CoC còn hiệu lực dành cho thuyền trưởng hoặc sĩ quan do các quốc gia thành viên EU cấp.</w:t>
      </w:r>
    </w:p>
    <w:p w14:paraId="1020EE49"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Khi phân nhóm 89 quốc gia ngoài EU này theo khu vực địa lý, kết quả cho thấy:</w:t>
      </w:r>
    </w:p>
    <w:p w14:paraId="5A6218F2" w14:textId="77777777" w:rsidR="00C95753" w:rsidRPr="00C95753" w:rsidRDefault="00C95753" w:rsidP="00C95753">
      <w:pPr>
        <w:numPr>
          <w:ilvl w:val="0"/>
          <w:numId w:val="11"/>
        </w:num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17 quốc gia thuộc châu Âu; </w:t>
      </w:r>
    </w:p>
    <w:p w14:paraId="0063DF20" w14:textId="77777777" w:rsidR="00C95753" w:rsidRPr="00C95753" w:rsidRDefault="00C95753" w:rsidP="00C95753">
      <w:pPr>
        <w:numPr>
          <w:ilvl w:val="0"/>
          <w:numId w:val="11"/>
        </w:num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20 quốc gia thuộc châu Á; </w:t>
      </w:r>
    </w:p>
    <w:p w14:paraId="12736E9F" w14:textId="77777777" w:rsidR="00C95753" w:rsidRPr="00C95753" w:rsidRDefault="00C95753" w:rsidP="00C95753">
      <w:pPr>
        <w:numPr>
          <w:ilvl w:val="0"/>
          <w:numId w:val="11"/>
        </w:num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30 quốc gia thuộc châu Phi; </w:t>
      </w:r>
    </w:p>
    <w:p w14:paraId="716792BE" w14:textId="77777777" w:rsidR="00C95753" w:rsidRPr="00C95753" w:rsidRDefault="00C95753" w:rsidP="00C95753">
      <w:pPr>
        <w:numPr>
          <w:ilvl w:val="0"/>
          <w:numId w:val="11"/>
        </w:num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23 quốc gia thuộc châu Mỹ; </w:t>
      </w:r>
    </w:p>
    <w:p w14:paraId="2D756816" w14:textId="77777777" w:rsidR="00C95753" w:rsidRPr="00C95753" w:rsidRDefault="00C95753" w:rsidP="00C95753">
      <w:pPr>
        <w:numPr>
          <w:ilvl w:val="0"/>
          <w:numId w:val="11"/>
        </w:num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4 quốc gia thuộc châu Đại Dương. </w:t>
      </w:r>
    </w:p>
    <w:p w14:paraId="481DC87D" w14:textId="1FE6FA3D"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Phân tích cơ cấu quốc tịch của các thuyền viên ngoài EU sở hữu CoC do các quốc gia thành viên EU cấp cho thấy</w:t>
      </w:r>
      <w:r>
        <w:rPr>
          <w:rFonts w:ascii="Times New Roman" w:hAnsi="Times New Roman" w:cs="Times New Roman"/>
          <w:sz w:val="26"/>
          <w:szCs w:val="26"/>
        </w:rPr>
        <w:t xml:space="preserve"> </w:t>
      </w:r>
      <w:r w:rsidRPr="00C95753">
        <w:rPr>
          <w:rFonts w:ascii="Times New Roman" w:hAnsi="Times New Roman" w:cs="Times New Roman"/>
          <w:b/>
          <w:bCs/>
          <w:sz w:val="26"/>
          <w:szCs w:val="26"/>
        </w:rPr>
        <w:t>66,80%</w:t>
      </w:r>
      <w:r w:rsidRPr="00C95753">
        <w:rPr>
          <w:rFonts w:ascii="Times New Roman" w:hAnsi="Times New Roman" w:cs="Times New Roman"/>
          <w:sz w:val="26"/>
          <w:szCs w:val="26"/>
        </w:rPr>
        <w:t xml:space="preserve"> trong số họ là công dân của các quốc gia nằm ở </w:t>
      </w:r>
      <w:r w:rsidRPr="00C95753">
        <w:rPr>
          <w:rFonts w:ascii="Times New Roman" w:hAnsi="Times New Roman" w:cs="Times New Roman"/>
          <w:b/>
          <w:bCs/>
          <w:sz w:val="26"/>
          <w:szCs w:val="26"/>
        </w:rPr>
        <w:t>châu Âu</w:t>
      </w:r>
      <w:r w:rsidRPr="00C95753">
        <w:rPr>
          <w:rFonts w:ascii="Times New Roman" w:hAnsi="Times New Roman" w:cs="Times New Roman"/>
          <w:sz w:val="26"/>
          <w:szCs w:val="26"/>
        </w:rPr>
        <w:t xml:space="preserve">. </w:t>
      </w:r>
    </w:p>
    <w:p w14:paraId="790B19AE" w14:textId="77777777" w:rsidR="00C95753" w:rsidRPr="00C95753" w:rsidRDefault="00C95753" w:rsidP="00C95753">
      <w:pPr>
        <w:spacing w:before="120" w:after="120"/>
        <w:rPr>
          <w:rFonts w:ascii="Times New Roman" w:hAnsi="Times New Roman" w:cs="Times New Roman"/>
          <w:b/>
          <w:bCs/>
          <w:sz w:val="26"/>
          <w:szCs w:val="26"/>
        </w:rPr>
      </w:pPr>
      <w:r w:rsidRPr="00C95753">
        <w:rPr>
          <w:rFonts w:ascii="Times New Roman" w:hAnsi="Times New Roman" w:cs="Times New Roman"/>
          <w:b/>
          <w:bCs/>
          <w:sz w:val="26"/>
          <w:szCs w:val="26"/>
        </w:rPr>
        <w:t>Phân bố theo độ tuổi</w:t>
      </w:r>
    </w:p>
    <w:p w14:paraId="39E512AF"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Độ tuổi trung bình của các thuyền trưởng và sĩ quan sở hữu CoC còn hiệu lực là </w:t>
      </w:r>
      <w:r w:rsidRPr="00C95753">
        <w:rPr>
          <w:rFonts w:ascii="Times New Roman" w:hAnsi="Times New Roman" w:cs="Times New Roman"/>
          <w:b/>
          <w:bCs/>
          <w:sz w:val="26"/>
          <w:szCs w:val="26"/>
        </w:rPr>
        <w:t>43,8 tuổi</w:t>
      </w:r>
      <w:r w:rsidRPr="00C95753">
        <w:rPr>
          <w:rFonts w:ascii="Times New Roman" w:hAnsi="Times New Roman" w:cs="Times New Roman"/>
          <w:sz w:val="26"/>
          <w:szCs w:val="26"/>
        </w:rPr>
        <w:t>.</w:t>
      </w:r>
    </w:p>
    <w:p w14:paraId="240AA1C3" w14:textId="77777777" w:rsidR="00C95753" w:rsidRPr="00C95753"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 xml:space="preserve">Trong khi nhóm tuổi </w:t>
      </w:r>
      <w:r w:rsidRPr="00C95753">
        <w:rPr>
          <w:rFonts w:ascii="Times New Roman" w:hAnsi="Times New Roman" w:cs="Times New Roman"/>
          <w:b/>
          <w:bCs/>
          <w:sz w:val="26"/>
          <w:szCs w:val="26"/>
        </w:rPr>
        <w:t>dưới 25 tuổi</w:t>
      </w:r>
      <w:r w:rsidRPr="00C95753">
        <w:rPr>
          <w:rFonts w:ascii="Times New Roman" w:hAnsi="Times New Roman" w:cs="Times New Roman"/>
          <w:sz w:val="26"/>
          <w:szCs w:val="26"/>
        </w:rPr>
        <w:t xml:space="preserve"> có </w:t>
      </w:r>
      <w:r w:rsidRPr="00C95753">
        <w:rPr>
          <w:rFonts w:ascii="Times New Roman" w:hAnsi="Times New Roman" w:cs="Times New Roman"/>
          <w:b/>
          <w:bCs/>
          <w:sz w:val="26"/>
          <w:szCs w:val="26"/>
        </w:rPr>
        <w:t>6.292 thuyền trưởng và sĩ quan</w:t>
      </w:r>
      <w:r w:rsidRPr="00C95753">
        <w:rPr>
          <w:rFonts w:ascii="Times New Roman" w:hAnsi="Times New Roman" w:cs="Times New Roman"/>
          <w:sz w:val="26"/>
          <w:szCs w:val="26"/>
        </w:rPr>
        <w:t xml:space="preserve">, thì các nhóm tuổi còn lại có sự phân bố tương đối đồng đều, với mỗi nhóm có từ </w:t>
      </w:r>
      <w:r w:rsidRPr="00C95753">
        <w:rPr>
          <w:rFonts w:ascii="Times New Roman" w:hAnsi="Times New Roman" w:cs="Times New Roman"/>
          <w:b/>
          <w:bCs/>
          <w:sz w:val="26"/>
          <w:szCs w:val="26"/>
        </w:rPr>
        <w:t>16.275 đến 26.512 người</w:t>
      </w:r>
      <w:r w:rsidRPr="00C95753">
        <w:rPr>
          <w:rFonts w:ascii="Times New Roman" w:hAnsi="Times New Roman" w:cs="Times New Roman"/>
          <w:sz w:val="26"/>
          <w:szCs w:val="26"/>
        </w:rPr>
        <w:t xml:space="preserve">, tương đương khoảng </w:t>
      </w:r>
      <w:r w:rsidRPr="00C95753">
        <w:rPr>
          <w:rFonts w:ascii="Times New Roman" w:hAnsi="Times New Roman" w:cs="Times New Roman"/>
          <w:b/>
          <w:bCs/>
          <w:sz w:val="26"/>
          <w:szCs w:val="26"/>
        </w:rPr>
        <w:t>9% đến 14%</w:t>
      </w:r>
      <w:r w:rsidRPr="00C95753">
        <w:rPr>
          <w:rFonts w:ascii="Times New Roman" w:hAnsi="Times New Roman" w:cs="Times New Roman"/>
          <w:sz w:val="26"/>
          <w:szCs w:val="26"/>
        </w:rPr>
        <w:t xml:space="preserve"> tổng số thuyền trưởng và sĩ quan.</w:t>
      </w:r>
    </w:p>
    <w:p w14:paraId="46EC75AE" w14:textId="77777777" w:rsidR="00C95753" w:rsidRPr="00C95753" w:rsidRDefault="00C95753" w:rsidP="00C95753">
      <w:pPr>
        <w:spacing w:before="120" w:after="120"/>
        <w:rPr>
          <w:rFonts w:ascii="Times New Roman" w:hAnsi="Times New Roman" w:cs="Times New Roman"/>
          <w:sz w:val="26"/>
          <w:szCs w:val="26"/>
        </w:rPr>
      </w:pPr>
      <w:r w:rsidRPr="00C95753">
        <w:rPr>
          <w:rFonts w:ascii="Times New Roman" w:hAnsi="Times New Roman" w:cs="Times New Roman"/>
          <w:sz w:val="26"/>
          <w:szCs w:val="26"/>
        </w:rPr>
        <w:t>Một số điểm đáng chú ý:</w:t>
      </w:r>
    </w:p>
    <w:p w14:paraId="786B64C1" w14:textId="77777777" w:rsidR="00C95753" w:rsidRPr="00C95753" w:rsidRDefault="00C95753" w:rsidP="00C95753">
      <w:pPr>
        <w:numPr>
          <w:ilvl w:val="0"/>
          <w:numId w:val="13"/>
        </w:numPr>
        <w:spacing w:before="120" w:after="120"/>
        <w:rPr>
          <w:rFonts w:ascii="Times New Roman" w:hAnsi="Times New Roman" w:cs="Times New Roman"/>
          <w:sz w:val="26"/>
          <w:szCs w:val="26"/>
        </w:rPr>
      </w:pPr>
      <w:r w:rsidRPr="00C95753">
        <w:rPr>
          <w:rFonts w:ascii="Times New Roman" w:hAnsi="Times New Roman" w:cs="Times New Roman"/>
          <w:b/>
          <w:bCs/>
          <w:sz w:val="26"/>
          <w:szCs w:val="26"/>
        </w:rPr>
        <w:t>80,03%</w:t>
      </w:r>
      <w:r w:rsidRPr="00C95753">
        <w:rPr>
          <w:rFonts w:ascii="Times New Roman" w:hAnsi="Times New Roman" w:cs="Times New Roman"/>
          <w:sz w:val="26"/>
          <w:szCs w:val="26"/>
        </w:rPr>
        <w:t xml:space="preserve"> số sĩ quan sở hữu chứng chỉ được cấp theo Chương VII – “Chứng nhận thay thế” (Alternative Certification) của Công ước STCW có độ tuổi dưới 35 tuổi. </w:t>
      </w:r>
    </w:p>
    <w:p w14:paraId="4B054A6E" w14:textId="77777777" w:rsidR="00C95753" w:rsidRPr="00C95753" w:rsidRDefault="00C95753" w:rsidP="00C95753">
      <w:pPr>
        <w:numPr>
          <w:ilvl w:val="0"/>
          <w:numId w:val="13"/>
        </w:numPr>
        <w:spacing w:before="120" w:after="120"/>
        <w:rPr>
          <w:rFonts w:ascii="Times New Roman" w:hAnsi="Times New Roman" w:cs="Times New Roman"/>
          <w:sz w:val="26"/>
          <w:szCs w:val="26"/>
        </w:rPr>
      </w:pPr>
      <w:r w:rsidRPr="00C95753">
        <w:rPr>
          <w:rFonts w:ascii="Times New Roman" w:hAnsi="Times New Roman" w:cs="Times New Roman"/>
          <w:sz w:val="26"/>
          <w:szCs w:val="26"/>
        </w:rPr>
        <w:t>Các thuyền trưởng và sĩ quan được chứng nhận theo:</w:t>
      </w:r>
    </w:p>
    <w:p w14:paraId="250543CA" w14:textId="77777777" w:rsidR="00C95753" w:rsidRPr="00C95753" w:rsidRDefault="00C95753" w:rsidP="00C95753">
      <w:pPr>
        <w:numPr>
          <w:ilvl w:val="1"/>
          <w:numId w:val="13"/>
        </w:numPr>
        <w:spacing w:before="120" w:after="120"/>
        <w:rPr>
          <w:rFonts w:ascii="Times New Roman" w:hAnsi="Times New Roman" w:cs="Times New Roman"/>
          <w:sz w:val="26"/>
          <w:szCs w:val="26"/>
        </w:rPr>
      </w:pPr>
      <w:r w:rsidRPr="00C95753">
        <w:rPr>
          <w:rFonts w:ascii="Times New Roman" w:hAnsi="Times New Roman" w:cs="Times New Roman"/>
          <w:b/>
          <w:bCs/>
          <w:sz w:val="26"/>
          <w:szCs w:val="26"/>
        </w:rPr>
        <w:t>Chương II</w:t>
      </w:r>
      <w:r w:rsidRPr="00C95753">
        <w:rPr>
          <w:rFonts w:ascii="Times New Roman" w:hAnsi="Times New Roman" w:cs="Times New Roman"/>
          <w:sz w:val="26"/>
          <w:szCs w:val="26"/>
        </w:rPr>
        <w:t xml:space="preserve"> của STCW (Bộ phận Boong), </w:t>
      </w:r>
    </w:p>
    <w:p w14:paraId="56067074" w14:textId="77777777" w:rsidR="00C95753" w:rsidRPr="00C95753" w:rsidRDefault="00C95753" w:rsidP="00C95753">
      <w:pPr>
        <w:numPr>
          <w:ilvl w:val="1"/>
          <w:numId w:val="13"/>
        </w:numPr>
        <w:spacing w:before="120" w:after="120"/>
        <w:rPr>
          <w:rFonts w:ascii="Times New Roman" w:hAnsi="Times New Roman" w:cs="Times New Roman"/>
          <w:sz w:val="26"/>
          <w:szCs w:val="26"/>
        </w:rPr>
      </w:pPr>
      <w:r w:rsidRPr="00C95753">
        <w:rPr>
          <w:rFonts w:ascii="Times New Roman" w:hAnsi="Times New Roman" w:cs="Times New Roman"/>
          <w:b/>
          <w:bCs/>
          <w:sz w:val="26"/>
          <w:szCs w:val="26"/>
        </w:rPr>
        <w:t>Chương III</w:t>
      </w:r>
      <w:r w:rsidRPr="00C95753">
        <w:rPr>
          <w:rFonts w:ascii="Times New Roman" w:hAnsi="Times New Roman" w:cs="Times New Roman"/>
          <w:sz w:val="26"/>
          <w:szCs w:val="26"/>
        </w:rPr>
        <w:t xml:space="preserve"> của STCW (Bộ phận Máy), </w:t>
      </w:r>
    </w:p>
    <w:p w14:paraId="5014E456" w14:textId="77777777" w:rsidR="00C95753" w:rsidRPr="00C95753" w:rsidRDefault="00C95753" w:rsidP="00C95753">
      <w:pPr>
        <w:spacing w:before="120" w:after="120"/>
        <w:rPr>
          <w:rFonts w:ascii="Times New Roman" w:hAnsi="Times New Roman" w:cs="Times New Roman"/>
          <w:sz w:val="26"/>
          <w:szCs w:val="26"/>
        </w:rPr>
      </w:pPr>
      <w:r w:rsidRPr="00C95753">
        <w:rPr>
          <w:rFonts w:ascii="Times New Roman" w:hAnsi="Times New Roman" w:cs="Times New Roman"/>
          <w:sz w:val="26"/>
          <w:szCs w:val="26"/>
        </w:rPr>
        <w:t xml:space="preserve">có sự phân bố khá đồng đều giữa các nhóm tuổi, ngoại trừ nhóm </w:t>
      </w:r>
      <w:r w:rsidRPr="00C95753">
        <w:rPr>
          <w:rFonts w:ascii="Times New Roman" w:hAnsi="Times New Roman" w:cs="Times New Roman"/>
          <w:b/>
          <w:bCs/>
          <w:sz w:val="26"/>
          <w:szCs w:val="26"/>
        </w:rPr>
        <w:t>18–24 tuổi</w:t>
      </w:r>
      <w:r w:rsidRPr="00C95753">
        <w:rPr>
          <w:rFonts w:ascii="Times New Roman" w:hAnsi="Times New Roman" w:cs="Times New Roman"/>
          <w:sz w:val="26"/>
          <w:szCs w:val="26"/>
        </w:rPr>
        <w:t>.</w:t>
      </w:r>
    </w:p>
    <w:p w14:paraId="4C889B0C" w14:textId="77777777" w:rsidR="00C95753" w:rsidRPr="00C95753" w:rsidRDefault="00C95753" w:rsidP="00C95753">
      <w:pPr>
        <w:numPr>
          <w:ilvl w:val="0"/>
          <w:numId w:val="13"/>
        </w:numPr>
        <w:spacing w:before="120" w:after="120"/>
        <w:rPr>
          <w:rFonts w:ascii="Times New Roman" w:hAnsi="Times New Roman" w:cs="Times New Roman"/>
          <w:sz w:val="26"/>
          <w:szCs w:val="26"/>
        </w:rPr>
      </w:pPr>
      <w:r w:rsidRPr="00C95753">
        <w:rPr>
          <w:rFonts w:ascii="Times New Roman" w:hAnsi="Times New Roman" w:cs="Times New Roman"/>
          <w:b/>
          <w:bCs/>
          <w:sz w:val="26"/>
          <w:szCs w:val="26"/>
        </w:rPr>
        <w:t>56,31%</w:t>
      </w:r>
      <w:r w:rsidRPr="00C95753">
        <w:rPr>
          <w:rFonts w:ascii="Times New Roman" w:hAnsi="Times New Roman" w:cs="Times New Roman"/>
          <w:sz w:val="26"/>
          <w:szCs w:val="26"/>
        </w:rPr>
        <w:t xml:space="preserve"> số thuyền trưởng và sĩ quan boong có độ tuổi </w:t>
      </w:r>
      <w:r w:rsidRPr="00C95753">
        <w:rPr>
          <w:rFonts w:ascii="Times New Roman" w:hAnsi="Times New Roman" w:cs="Times New Roman"/>
          <w:b/>
          <w:bCs/>
          <w:sz w:val="26"/>
          <w:szCs w:val="26"/>
        </w:rPr>
        <w:t>dưới 45</w:t>
      </w:r>
      <w:r w:rsidRPr="00C95753">
        <w:rPr>
          <w:rFonts w:ascii="Times New Roman" w:hAnsi="Times New Roman" w:cs="Times New Roman"/>
          <w:sz w:val="26"/>
          <w:szCs w:val="26"/>
        </w:rPr>
        <w:t xml:space="preserve">. </w:t>
      </w:r>
    </w:p>
    <w:p w14:paraId="2FB0F31A" w14:textId="77777777" w:rsidR="00C95753" w:rsidRPr="00C95753" w:rsidRDefault="00C95753" w:rsidP="00C95753">
      <w:pPr>
        <w:numPr>
          <w:ilvl w:val="0"/>
          <w:numId w:val="13"/>
        </w:numPr>
        <w:spacing w:before="120" w:after="120"/>
        <w:rPr>
          <w:rFonts w:ascii="Times New Roman" w:hAnsi="Times New Roman" w:cs="Times New Roman"/>
          <w:sz w:val="26"/>
          <w:szCs w:val="26"/>
        </w:rPr>
      </w:pPr>
      <w:r w:rsidRPr="00C95753">
        <w:rPr>
          <w:rFonts w:ascii="Times New Roman" w:hAnsi="Times New Roman" w:cs="Times New Roman"/>
          <w:b/>
          <w:bCs/>
          <w:sz w:val="26"/>
          <w:szCs w:val="26"/>
        </w:rPr>
        <w:t>54,08%</w:t>
      </w:r>
      <w:r w:rsidRPr="00C95753">
        <w:rPr>
          <w:rFonts w:ascii="Times New Roman" w:hAnsi="Times New Roman" w:cs="Times New Roman"/>
          <w:sz w:val="26"/>
          <w:szCs w:val="26"/>
        </w:rPr>
        <w:t xml:space="preserve"> số sĩ quan máy có độ tuổi </w:t>
      </w:r>
      <w:r w:rsidRPr="00C95753">
        <w:rPr>
          <w:rFonts w:ascii="Times New Roman" w:hAnsi="Times New Roman" w:cs="Times New Roman"/>
          <w:b/>
          <w:bCs/>
          <w:sz w:val="26"/>
          <w:szCs w:val="26"/>
        </w:rPr>
        <w:t>dưới 45</w:t>
      </w:r>
      <w:r w:rsidRPr="00C95753">
        <w:rPr>
          <w:rFonts w:ascii="Times New Roman" w:hAnsi="Times New Roman" w:cs="Times New Roman"/>
          <w:sz w:val="26"/>
          <w:szCs w:val="26"/>
        </w:rPr>
        <w:t xml:space="preserve">. </w:t>
      </w:r>
    </w:p>
    <w:p w14:paraId="6C3095DC" w14:textId="33F75F8A" w:rsidR="00C13E10" w:rsidRDefault="00C95753" w:rsidP="00C95753">
      <w:pPr>
        <w:spacing w:before="120" w:after="120"/>
        <w:jc w:val="both"/>
        <w:rPr>
          <w:rFonts w:ascii="Times New Roman" w:hAnsi="Times New Roman" w:cs="Times New Roman"/>
          <w:sz w:val="26"/>
          <w:szCs w:val="26"/>
        </w:rPr>
      </w:pPr>
      <w:r w:rsidRPr="00C95753">
        <w:rPr>
          <w:rFonts w:ascii="Times New Roman" w:hAnsi="Times New Roman" w:cs="Times New Roman"/>
          <w:sz w:val="26"/>
          <w:szCs w:val="26"/>
        </w:rPr>
        <w:t>Nhìn chung, các số liệu cho thấy lực lượng sĩ quan hàng hải tại EU có cơ cấu tuổi tương đối cân bằng, với hơn một nửa số sĩ quan boong và máy nằm trong nhóm tuổi dưới 45, trong khi tỷ lệ nữ giới vẫn ở mức rất thấp và tập trung chủ yếu ở bộ phận boong. Điều này phản ánh xu hướng nhân khẩu học của ngành hàng hải châu Âu hầu như không thay đổi đáng kể trong thập kỷ qua.</w:t>
      </w:r>
    </w:p>
    <w:p w14:paraId="3F55FD5F" w14:textId="08D7A9E1" w:rsidR="00972C90" w:rsidRPr="00C95753" w:rsidRDefault="00972C90" w:rsidP="00972C9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972C90" w:rsidRPr="00C95753" w:rsidSect="00EE4CAB">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7704"/>
    <w:multiLevelType w:val="multilevel"/>
    <w:tmpl w:val="57DE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61360"/>
    <w:multiLevelType w:val="multilevel"/>
    <w:tmpl w:val="E982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55FF6"/>
    <w:multiLevelType w:val="multilevel"/>
    <w:tmpl w:val="6DC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E3E49"/>
    <w:multiLevelType w:val="multilevel"/>
    <w:tmpl w:val="52CE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16DFA"/>
    <w:multiLevelType w:val="multilevel"/>
    <w:tmpl w:val="B3F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16DF"/>
    <w:multiLevelType w:val="multilevel"/>
    <w:tmpl w:val="27DC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25A61"/>
    <w:multiLevelType w:val="multilevel"/>
    <w:tmpl w:val="1AF2FC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01B27"/>
    <w:multiLevelType w:val="multilevel"/>
    <w:tmpl w:val="C270F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3D1"/>
    <w:multiLevelType w:val="multilevel"/>
    <w:tmpl w:val="62140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64DAB"/>
    <w:multiLevelType w:val="multilevel"/>
    <w:tmpl w:val="AAB45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701F8"/>
    <w:multiLevelType w:val="multilevel"/>
    <w:tmpl w:val="4BF0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B265E"/>
    <w:multiLevelType w:val="multilevel"/>
    <w:tmpl w:val="5798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010E0"/>
    <w:multiLevelType w:val="multilevel"/>
    <w:tmpl w:val="37E2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093306">
    <w:abstractNumId w:val="7"/>
  </w:num>
  <w:num w:numId="2" w16cid:durableId="823160056">
    <w:abstractNumId w:val="9"/>
  </w:num>
  <w:num w:numId="3" w16cid:durableId="1187213178">
    <w:abstractNumId w:val="6"/>
  </w:num>
  <w:num w:numId="4" w16cid:durableId="1267880991">
    <w:abstractNumId w:val="3"/>
  </w:num>
  <w:num w:numId="5" w16cid:durableId="884296731">
    <w:abstractNumId w:val="12"/>
  </w:num>
  <w:num w:numId="6" w16cid:durableId="1056007595">
    <w:abstractNumId w:val="10"/>
  </w:num>
  <w:num w:numId="7" w16cid:durableId="770247102">
    <w:abstractNumId w:val="2"/>
  </w:num>
  <w:num w:numId="8" w16cid:durableId="841163520">
    <w:abstractNumId w:val="11"/>
  </w:num>
  <w:num w:numId="9" w16cid:durableId="1598252449">
    <w:abstractNumId w:val="5"/>
  </w:num>
  <w:num w:numId="10" w16cid:durableId="1498888646">
    <w:abstractNumId w:val="0"/>
  </w:num>
  <w:num w:numId="11" w16cid:durableId="393428522">
    <w:abstractNumId w:val="4"/>
  </w:num>
  <w:num w:numId="12" w16cid:durableId="1820222846">
    <w:abstractNumId w:val="1"/>
  </w:num>
  <w:num w:numId="13" w16cid:durableId="1941066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1B"/>
    <w:rsid w:val="000501D0"/>
    <w:rsid w:val="0032211B"/>
    <w:rsid w:val="0073279D"/>
    <w:rsid w:val="00972C90"/>
    <w:rsid w:val="009E2522"/>
    <w:rsid w:val="00C13E10"/>
    <w:rsid w:val="00C95753"/>
    <w:rsid w:val="00EE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8777"/>
  <w15:chartTrackingRefBased/>
  <w15:docId w15:val="{C23FFF99-4FCB-4545-B375-B8A0A93D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11B"/>
    <w:rPr>
      <w:rFonts w:eastAsiaTheme="majorEastAsia" w:cstheme="majorBidi"/>
      <w:color w:val="272727" w:themeColor="text1" w:themeTint="D8"/>
    </w:rPr>
  </w:style>
  <w:style w:type="paragraph" w:styleId="Title">
    <w:name w:val="Title"/>
    <w:basedOn w:val="Normal"/>
    <w:next w:val="Normal"/>
    <w:link w:val="TitleChar"/>
    <w:uiPriority w:val="10"/>
    <w:qFormat/>
    <w:rsid w:val="0032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11B"/>
    <w:pPr>
      <w:spacing w:before="160"/>
      <w:jc w:val="center"/>
    </w:pPr>
    <w:rPr>
      <w:i/>
      <w:iCs/>
      <w:color w:val="404040" w:themeColor="text1" w:themeTint="BF"/>
    </w:rPr>
  </w:style>
  <w:style w:type="character" w:customStyle="1" w:styleId="QuoteChar">
    <w:name w:val="Quote Char"/>
    <w:basedOn w:val="DefaultParagraphFont"/>
    <w:link w:val="Quote"/>
    <w:uiPriority w:val="29"/>
    <w:rsid w:val="0032211B"/>
    <w:rPr>
      <w:i/>
      <w:iCs/>
      <w:color w:val="404040" w:themeColor="text1" w:themeTint="BF"/>
    </w:rPr>
  </w:style>
  <w:style w:type="paragraph" w:styleId="ListParagraph">
    <w:name w:val="List Paragraph"/>
    <w:basedOn w:val="Normal"/>
    <w:uiPriority w:val="34"/>
    <w:qFormat/>
    <w:rsid w:val="0032211B"/>
    <w:pPr>
      <w:ind w:left="720"/>
      <w:contextualSpacing/>
    </w:pPr>
  </w:style>
  <w:style w:type="character" w:styleId="IntenseEmphasis">
    <w:name w:val="Intense Emphasis"/>
    <w:basedOn w:val="DefaultParagraphFont"/>
    <w:uiPriority w:val="21"/>
    <w:qFormat/>
    <w:rsid w:val="0032211B"/>
    <w:rPr>
      <w:i/>
      <w:iCs/>
      <w:color w:val="0F4761" w:themeColor="accent1" w:themeShade="BF"/>
    </w:rPr>
  </w:style>
  <w:style w:type="paragraph" w:styleId="IntenseQuote">
    <w:name w:val="Intense Quote"/>
    <w:basedOn w:val="Normal"/>
    <w:next w:val="Normal"/>
    <w:link w:val="IntenseQuoteChar"/>
    <w:uiPriority w:val="30"/>
    <w:qFormat/>
    <w:rsid w:val="00322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11B"/>
    <w:rPr>
      <w:i/>
      <w:iCs/>
      <w:color w:val="0F4761" w:themeColor="accent1" w:themeShade="BF"/>
    </w:rPr>
  </w:style>
  <w:style w:type="character" w:styleId="IntenseReference">
    <w:name w:val="Intense Reference"/>
    <w:basedOn w:val="DefaultParagraphFont"/>
    <w:uiPriority w:val="32"/>
    <w:qFormat/>
    <w:rsid w:val="0032211B"/>
    <w:rPr>
      <w:b/>
      <w:bCs/>
      <w:smallCaps/>
      <w:color w:val="0F4761" w:themeColor="accent1" w:themeShade="BF"/>
      <w:spacing w:val="5"/>
    </w:rPr>
  </w:style>
  <w:style w:type="character" w:styleId="Hyperlink">
    <w:name w:val="Hyperlink"/>
    <w:basedOn w:val="DefaultParagraphFont"/>
    <w:uiPriority w:val="99"/>
    <w:unhideWhenUsed/>
    <w:rsid w:val="0032211B"/>
    <w:rPr>
      <w:color w:val="467886" w:themeColor="hyperlink"/>
      <w:u w:val="single"/>
    </w:rPr>
  </w:style>
  <w:style w:type="character" w:styleId="UnresolvedMention">
    <w:name w:val="Unresolved Mention"/>
    <w:basedOn w:val="DefaultParagraphFont"/>
    <w:uiPriority w:val="99"/>
    <w:semiHidden/>
    <w:unhideWhenUsed/>
    <w:rsid w:val="0032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emsa-seafarer-statistics-in-the-eu-2024/masters-emsa/"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afety4sea.com/emsa-seafarer-statistics-in-the-eu-2024/emsa-statistics/" TargetMode="External"/><Relationship Id="rId5" Type="http://schemas.openxmlformats.org/officeDocument/2006/relationships/hyperlink" Target="https://safety4sea.com/category/safety-parent/seafarer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emsa-seafarer-statistics-in-the-eu-2024/distribution-by-member-st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2026-06-06T04:03:00Z</dcterms:created>
  <dcterms:modified xsi:type="dcterms:W3CDTF">2026-06-06T04:31:00Z</dcterms:modified>
</cp:coreProperties>
</file>