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9736" w14:textId="3DA26E9F" w:rsidR="002A5433" w:rsidRPr="002A5433" w:rsidRDefault="002A5433" w:rsidP="002A5433">
      <w:pPr>
        <w:spacing w:line="240" w:lineRule="auto"/>
        <w:jc w:val="center"/>
        <w:rPr>
          <w:rFonts w:ascii="Times New Roman" w:hAnsi="Times New Roman" w:cs="Times New Roman"/>
          <w:b/>
          <w:bCs/>
          <w:sz w:val="40"/>
          <w:szCs w:val="40"/>
        </w:rPr>
      </w:pPr>
      <w:r w:rsidRPr="002A5433">
        <w:rPr>
          <w:rFonts w:ascii="Times New Roman" w:hAnsi="Times New Roman" w:cs="Times New Roman"/>
          <w:b/>
          <w:bCs/>
          <w:sz w:val="40"/>
          <w:szCs w:val="40"/>
        </w:rPr>
        <w:t>Báo cáo cảnh báo việc đóng cửa Eo biển Hormuz là mối đe dọa lớn nhất đối với thị trường năng lượng toàn cầu</w:t>
      </w:r>
    </w:p>
    <w:p w14:paraId="3A6A620D" w14:textId="58CA1AA3" w:rsidR="002A5433" w:rsidRPr="002A5433" w:rsidRDefault="002A5433" w:rsidP="002A5433">
      <w:pPr>
        <w:jc w:val="right"/>
        <w:rPr>
          <w:rStyle w:val="Hyperlink"/>
        </w:rPr>
      </w:pPr>
      <w:hyperlink r:id="rId5" w:history="1">
        <w:r w:rsidRPr="002A5433">
          <w:rPr>
            <w:rStyle w:val="Hyperlink"/>
          </w:rPr>
          <w:t>Shipping</w:t>
        </w:r>
      </w:hyperlink>
      <w:r w:rsidRPr="002A5433">
        <w:fldChar w:fldCharType="begin"/>
      </w:r>
      <w:r w:rsidRPr="002A5433">
        <w:instrText>HYPERLINK "https://safety4sea.com/wp-content/uploads/2025/06/shutterstock_2629346343-scaled-e1750676127900.jpg"</w:instrText>
      </w:r>
      <w:r w:rsidRPr="002A5433">
        <w:fldChar w:fldCharType="separate"/>
      </w:r>
    </w:p>
    <w:p w14:paraId="1E406FDB" w14:textId="4CEDD9C3" w:rsidR="002A5433" w:rsidRPr="002A5433" w:rsidRDefault="002A5433" w:rsidP="002A5433">
      <w:pPr>
        <w:rPr>
          <w:rStyle w:val="Hyperlink"/>
        </w:rPr>
      </w:pPr>
      <w:r w:rsidRPr="002A5433">
        <w:rPr>
          <w:rStyle w:val="Hyperlink"/>
        </w:rPr>
        <w:drawing>
          <wp:inline distT="0" distB="0" distL="0" distR="0" wp14:anchorId="205E9333" wp14:editId="29556AC5">
            <wp:extent cx="5943600" cy="2974975"/>
            <wp:effectExtent l="0" t="0" r="0" b="0"/>
            <wp:docPr id="614777661" name="Picture 4" descr="Hormuz Strai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rmuz Strai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0982021C" w14:textId="1CA62B72" w:rsidR="002A5433" w:rsidRPr="002A5433" w:rsidRDefault="002A5433" w:rsidP="002A5433">
      <w:pPr>
        <w:rPr>
          <w:rFonts w:ascii="Times New Roman" w:hAnsi="Times New Roman" w:cs="Times New Roman"/>
          <w:sz w:val="26"/>
          <w:szCs w:val="26"/>
        </w:rPr>
      </w:pPr>
      <w:r w:rsidRPr="002A5433">
        <w:fldChar w:fldCharType="end"/>
      </w:r>
      <w:r w:rsidRPr="002A5433">
        <w:rPr>
          <w:rFonts w:ascii="Times New Roman" w:hAnsi="Times New Roman" w:cs="Times New Roman"/>
          <w:sz w:val="26"/>
          <w:szCs w:val="26"/>
        </w:rPr>
        <w:t>Theo một báo cáo mới của Wood Mackenzie, việc Eo biển Hormuz bị đóng cửa kéo dài có nguy cơ gây ra cú sốc nguồn cung năng lượng toàn cầu lớn nhất trong nhiều thập kỷ.</w:t>
      </w:r>
    </w:p>
    <w:p w14:paraId="5B97A4F8" w14:textId="49B318EB" w:rsidR="002A5433" w:rsidRPr="002A5433" w:rsidRDefault="002A5433" w:rsidP="002A5433">
      <w:p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 xml:space="preserve">Báo cáo mang tên </w:t>
      </w:r>
      <w:r w:rsidRPr="002A5433">
        <w:rPr>
          <w:rFonts w:ascii="Times New Roman" w:hAnsi="Times New Roman" w:cs="Times New Roman"/>
          <w:i/>
          <w:iCs/>
          <w:sz w:val="26"/>
          <w:szCs w:val="26"/>
        </w:rPr>
        <w:t>“Strait Talking: Iran War Scenarios and the Future of Energy”</w:t>
      </w:r>
      <w:r w:rsidRPr="002A5433">
        <w:rPr>
          <w:rFonts w:ascii="Times New Roman" w:hAnsi="Times New Roman" w:cs="Times New Roman"/>
          <w:sz w:val="26"/>
          <w:szCs w:val="26"/>
        </w:rPr>
        <w:t xml:space="preserve"> cho biết hiện nay hơn 11 triệu thùng/ngày dầu thô và condensate từ khu vực Vùng Vịnh đang bị cắt giảm sản lượng. Trong khi đó, hơn 80 triệu tấn LNG mỗi năm (Mtpa), tương đương khoảng 20% nguồn cung LNG toàn cầu, hiện không thể tiếp cận </w:t>
      </w:r>
      <w:r>
        <w:rPr>
          <w:rFonts w:ascii="Times New Roman" w:hAnsi="Times New Roman" w:cs="Times New Roman"/>
          <w:sz w:val="26"/>
          <w:szCs w:val="26"/>
        </w:rPr>
        <w:t xml:space="preserve">với </w:t>
      </w:r>
      <w:r w:rsidRPr="002A5433">
        <w:rPr>
          <w:rFonts w:ascii="Times New Roman" w:hAnsi="Times New Roman" w:cs="Times New Roman"/>
          <w:sz w:val="26"/>
          <w:szCs w:val="26"/>
        </w:rPr>
        <w:t>thị trường thế giới.</w:t>
      </w:r>
    </w:p>
    <w:p w14:paraId="63A0A2C9" w14:textId="77777777" w:rsidR="002A5433" w:rsidRPr="002A5433" w:rsidRDefault="002A5433" w:rsidP="002A5433">
      <w:p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Wood Mackenzie đã xây dựng ba kịch bản riêng biệt:</w:t>
      </w:r>
    </w:p>
    <w:p w14:paraId="2491EEBC" w14:textId="77777777" w:rsidR="002A5433" w:rsidRPr="002A5433" w:rsidRDefault="002A5433" w:rsidP="002A5433">
      <w:pPr>
        <w:numPr>
          <w:ilvl w:val="0"/>
          <w:numId w:val="4"/>
        </w:num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 xml:space="preserve">Hòa bình nhanh chóng (Quick Peace) </w:t>
      </w:r>
    </w:p>
    <w:p w14:paraId="0D80637D" w14:textId="77777777" w:rsidR="002A5433" w:rsidRPr="002A5433" w:rsidRDefault="002A5433" w:rsidP="002A5433">
      <w:pPr>
        <w:numPr>
          <w:ilvl w:val="0"/>
          <w:numId w:val="4"/>
        </w:num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 xml:space="preserve">Thỏa thuận đạt được vào mùa hè (Summer Settlement) </w:t>
      </w:r>
    </w:p>
    <w:p w14:paraId="117566F0" w14:textId="77777777" w:rsidR="002A5433" w:rsidRPr="002A5433" w:rsidRDefault="002A5433" w:rsidP="002A5433">
      <w:pPr>
        <w:numPr>
          <w:ilvl w:val="0"/>
          <w:numId w:val="4"/>
        </w:num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 xml:space="preserve">Gián đoạn kéo dài (Extended Disruption) </w:t>
      </w:r>
    </w:p>
    <w:p w14:paraId="5FFAC553" w14:textId="77777777" w:rsidR="002A5433" w:rsidRPr="002A5433" w:rsidRDefault="002A5433" w:rsidP="002A5433">
      <w:p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Mỗi kịch bản đưa ra mốc thời gian khác nhau cho việc chấm dứt xung đột và mở lại Eo biển Hormuz, đồng thời đánh giá tác động tiềm tàng đối với nguồn cung dầu khí, giá năng lượng, nhu cầu năng lượng và nền kinh tế toàn cầu nói chung.</w:t>
      </w:r>
    </w:p>
    <w:p w14:paraId="3156F3E0" w14:textId="257F3E1E" w:rsidR="002A5433" w:rsidRPr="002A5433" w:rsidRDefault="002A5433" w:rsidP="002A5433">
      <w:p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“Eo biển Hormuz là điểm nghẽn quan trọng nhất của thị trường năng lượng toàn cầu, và việc đóng cửa kéo dài sẽ vượt xa một cuộc khủng hoảng năng lượng đơn thuần. Gián đoạn càng kéo dài thì tác động lên giá năng lượng, hoạt động công nghiệp, dòng chảy thương mại và tăng trưởng kinh tế toàn cầu càng lớn.”</w:t>
      </w:r>
      <w:r>
        <w:rPr>
          <w:rFonts w:ascii="Times New Roman" w:hAnsi="Times New Roman" w:cs="Times New Roman"/>
          <w:sz w:val="26"/>
          <w:szCs w:val="26"/>
        </w:rPr>
        <w:t xml:space="preserve"> </w:t>
      </w:r>
      <w:r w:rsidRPr="002A5433">
        <w:rPr>
          <w:rFonts w:ascii="Times New Roman" w:hAnsi="Times New Roman" w:cs="Times New Roman"/>
          <w:sz w:val="26"/>
          <w:szCs w:val="26"/>
        </w:rPr>
        <w:t>ông Peter Martin, Trưởng bộ phận Kinh tế của Wood Mackenzie, nhận định.</w:t>
      </w:r>
    </w:p>
    <w:p w14:paraId="6CF57395" w14:textId="77777777" w:rsidR="002A5433" w:rsidRDefault="002A5433" w:rsidP="002A5433">
      <w:pPr>
        <w:spacing w:before="120" w:after="120"/>
        <w:jc w:val="both"/>
        <w:rPr>
          <w:rFonts w:ascii="Times New Roman" w:hAnsi="Times New Roman" w:cs="Times New Roman"/>
          <w:sz w:val="26"/>
          <w:szCs w:val="26"/>
        </w:rPr>
      </w:pPr>
      <w:r w:rsidRPr="002A5433">
        <w:lastRenderedPageBreak/>
        <w:drawing>
          <wp:inline distT="0" distB="0" distL="0" distR="0" wp14:anchorId="7D359531" wp14:editId="0BA97EED">
            <wp:extent cx="5943600" cy="3598545"/>
            <wp:effectExtent l="0" t="0" r="0" b="1905"/>
            <wp:docPr id="256779033" name="Picture 3" descr="Report warns Hormuz closure poses single greatest threat to global energy market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port warns Hormuz closure poses single greatest threat to global energy market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598545"/>
                    </a:xfrm>
                    <a:prstGeom prst="rect">
                      <a:avLst/>
                    </a:prstGeom>
                    <a:noFill/>
                    <a:ln>
                      <a:noFill/>
                    </a:ln>
                  </pic:spPr>
                </pic:pic>
              </a:graphicData>
            </a:graphic>
          </wp:inline>
        </w:drawing>
      </w:r>
    </w:p>
    <w:p w14:paraId="6FD6992F" w14:textId="7101CBD4" w:rsidR="002A5433" w:rsidRPr="002A5433" w:rsidRDefault="002A5433" w:rsidP="002A5433">
      <w:p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Trong kịch bản “Gián đoạn kéo dài”, Eo biển Hormuz phần lớn vẫn bị đóng cho đến hết năm 2026, với các căng thẳng tái diễn dẫn đến những đợt xung đột mới và gián đoạn nguồn cung kéo dài.</w:t>
      </w:r>
    </w:p>
    <w:p w14:paraId="16BFA4DA" w14:textId="77777777" w:rsidR="002A5433" w:rsidRPr="002A5433" w:rsidRDefault="002A5433" w:rsidP="002A5433">
      <w:p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Phân tích của Wood Mackenzie cho thấy:</w:t>
      </w:r>
    </w:p>
    <w:p w14:paraId="5123ED93" w14:textId="77777777" w:rsidR="002A5433" w:rsidRPr="002A5433" w:rsidRDefault="002A5433" w:rsidP="002A5433">
      <w:pPr>
        <w:numPr>
          <w:ilvl w:val="0"/>
          <w:numId w:val="5"/>
        </w:num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 xml:space="preserve">Giá dầu Brent có thể tiến gần mức 200 USD/thùng vào cuối năm 2026, mặc dù nhu cầu dầu toàn cầu giảm 6 triệu thùng/ngày so với cùng kỳ trong nửa cuối năm 2026. </w:t>
      </w:r>
    </w:p>
    <w:p w14:paraId="6A5E0AF3" w14:textId="77777777" w:rsidR="002A5433" w:rsidRPr="002A5433" w:rsidRDefault="002A5433" w:rsidP="002A5433">
      <w:pPr>
        <w:numPr>
          <w:ilvl w:val="0"/>
          <w:numId w:val="5"/>
        </w:num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 xml:space="preserve">Hơn 11 triệu thùng/ngày dầu thô và condensate tiếp tục bị ngừng sản xuất, trong khi tồn kho dầu toàn cầu tiếp tục giảm. Giá diesel và nhiên liệu hàng không có thể tăng lên gần 300 USD/thùng tại các trung tâm lọc dầu lớn vào cuối năm. </w:t>
      </w:r>
    </w:p>
    <w:p w14:paraId="34D6F15B" w14:textId="77777777" w:rsidR="002A5433" w:rsidRPr="002A5433" w:rsidRDefault="002A5433" w:rsidP="002A5433">
      <w:pPr>
        <w:numPr>
          <w:ilvl w:val="0"/>
          <w:numId w:val="5"/>
        </w:num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 xml:space="preserve">Nền kinh tế toàn cầu có thể suy giảm tới 0,4% trong năm 2026, đánh dấu cuộc suy thoái toàn cầu thứ ba của thế kỷ này và để lại hậu quả kinh tế nghiêm trọng. </w:t>
      </w:r>
    </w:p>
    <w:p w14:paraId="34F60B2C" w14:textId="77777777" w:rsidR="002A5433" w:rsidRPr="002A5433" w:rsidRDefault="002A5433" w:rsidP="002A5433">
      <w:pPr>
        <w:numPr>
          <w:ilvl w:val="0"/>
          <w:numId w:val="5"/>
        </w:num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 xml:space="preserve">Các quốc gia nhập khẩu dầu khí có thể đẩy mạnh nỗ lực giảm phụ thuộc nhập khẩu bằng cách thúc đẩy điện khí hóa với tốc độ cao hơn. </w:t>
      </w:r>
    </w:p>
    <w:p w14:paraId="5E176C07" w14:textId="0FFD02CB" w:rsidR="002A5433" w:rsidRPr="002A5433" w:rsidRDefault="002A5433" w:rsidP="002A5433">
      <w:p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 xml:space="preserve">Tác động kinh tế theo </w:t>
      </w:r>
      <w:r>
        <w:rPr>
          <w:rFonts w:ascii="Times New Roman" w:hAnsi="Times New Roman" w:cs="Times New Roman"/>
          <w:sz w:val="26"/>
          <w:szCs w:val="26"/>
        </w:rPr>
        <w:t xml:space="preserve">các </w:t>
      </w:r>
      <w:r w:rsidRPr="002A5433">
        <w:rPr>
          <w:rFonts w:ascii="Times New Roman" w:hAnsi="Times New Roman" w:cs="Times New Roman"/>
          <w:sz w:val="26"/>
          <w:szCs w:val="26"/>
        </w:rPr>
        <w:t xml:space="preserve">khu vực sẽ rất nghiêm trọng và không đồng đều. Trung Đông có thể chứng kiến GDP giảm 10,7% trong năm 2026, </w:t>
      </w:r>
      <w:r>
        <w:rPr>
          <w:rFonts w:ascii="Times New Roman" w:hAnsi="Times New Roman" w:cs="Times New Roman"/>
          <w:sz w:val="26"/>
          <w:szCs w:val="26"/>
        </w:rPr>
        <w:t>còn</w:t>
      </w:r>
      <w:r w:rsidRPr="002A5433">
        <w:rPr>
          <w:rFonts w:ascii="Times New Roman" w:hAnsi="Times New Roman" w:cs="Times New Roman"/>
          <w:sz w:val="26"/>
          <w:szCs w:val="26"/>
        </w:rPr>
        <w:t xml:space="preserve"> GDP của EU27 giảm 1,5% trong năm 2026 và 0,5% trong năm 2027.</w:t>
      </w:r>
    </w:p>
    <w:p w14:paraId="4398289A" w14:textId="77777777" w:rsidR="002A5433" w:rsidRDefault="002A5433" w:rsidP="002A5433">
      <w:p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Tăng trưởng GDP của Mỹ sẽ giảm xuống dưới 1% trong cả hai năm, còn tăng trưởng GDP của Trung Quốc sẽ chậm lại còn 3% trong năm 2026.</w:t>
      </w:r>
    </w:p>
    <w:p w14:paraId="34EAA35B" w14:textId="77777777" w:rsidR="002A5433" w:rsidRDefault="002A5433" w:rsidP="002A5433">
      <w:pPr>
        <w:spacing w:before="120" w:after="120"/>
        <w:jc w:val="both"/>
        <w:rPr>
          <w:rFonts w:ascii="Times New Roman" w:hAnsi="Times New Roman" w:cs="Times New Roman"/>
          <w:sz w:val="26"/>
          <w:szCs w:val="26"/>
        </w:rPr>
      </w:pPr>
    </w:p>
    <w:p w14:paraId="45545566" w14:textId="77777777" w:rsidR="002A5433" w:rsidRPr="002A5433" w:rsidRDefault="002A5433" w:rsidP="002A5433">
      <w:pPr>
        <w:spacing w:before="120" w:after="120"/>
        <w:jc w:val="both"/>
        <w:rPr>
          <w:rFonts w:ascii="Times New Roman" w:hAnsi="Times New Roman" w:cs="Times New Roman"/>
          <w:sz w:val="26"/>
          <w:szCs w:val="26"/>
        </w:rPr>
      </w:pPr>
    </w:p>
    <w:p w14:paraId="3F5A708A" w14:textId="77777777" w:rsidR="002A5433" w:rsidRPr="002A5433" w:rsidRDefault="002A5433" w:rsidP="002A5433">
      <w:pPr>
        <w:spacing w:before="120" w:after="120"/>
        <w:jc w:val="both"/>
        <w:rPr>
          <w:rFonts w:ascii="Times New Roman" w:hAnsi="Times New Roman" w:cs="Times New Roman"/>
          <w:b/>
          <w:bCs/>
          <w:sz w:val="26"/>
          <w:szCs w:val="26"/>
        </w:rPr>
      </w:pPr>
      <w:r w:rsidRPr="002A5433">
        <w:rPr>
          <w:rFonts w:ascii="Times New Roman" w:hAnsi="Times New Roman" w:cs="Times New Roman"/>
          <w:b/>
          <w:bCs/>
          <w:sz w:val="26"/>
          <w:szCs w:val="26"/>
        </w:rPr>
        <w:lastRenderedPageBreak/>
        <w:t>Thị trường LNG đối mặt gián đoạn kéo dài và thay đổi mang tính cấu trúc</w:t>
      </w:r>
    </w:p>
    <w:p w14:paraId="0B9C3ABF" w14:textId="77777777" w:rsidR="002A5433" w:rsidRPr="002A5433" w:rsidRDefault="002A5433" w:rsidP="002A5433">
      <w:p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Báo cáo cho thấy thị trường LNG toàn cầu sẽ đối mặt với các mức độ gián đoạn khác nhau tùy theo từng kịch bản.</w:t>
      </w:r>
    </w:p>
    <w:p w14:paraId="03867859" w14:textId="4F5D0ED5" w:rsidR="002A5433" w:rsidRPr="002A5433" w:rsidRDefault="002A5433" w:rsidP="002A5433">
      <w:p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Ngay cả trong kịch bản “Hòa bình nhanh chóng”, thị trường LNG vẫn sẽ căng thẳng cho tới mùa hè năm 2027 do các cơ sở xuất khẩu ở Vùng Vịnh phục hồi chậm và các dự án mới trong khu vực bị trì hoãn.</w:t>
      </w:r>
      <w:r>
        <w:rPr>
          <w:rFonts w:ascii="Times New Roman" w:hAnsi="Times New Roman" w:cs="Times New Roman"/>
          <w:sz w:val="26"/>
          <w:szCs w:val="26"/>
        </w:rPr>
        <w:t xml:space="preserve"> </w:t>
      </w:r>
    </w:p>
    <w:p w14:paraId="643772F7" w14:textId="66D55CA8" w:rsidR="002A5433" w:rsidRPr="002A5433" w:rsidRDefault="002A5433" w:rsidP="002A5433">
      <w:p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Hiện một làn sóng mở rộng LNG quy mô lớn trên toàn cầu vẫn đang diễn ra, với nguồn cung dự kiến tăng khoảng 200 Mtpa vào năm 2031 — tương đương tăng khoảng 50% so với hiện nay. Tình trạng dư cung dự kiến chỉ bị trì hoãn chứ không biến mất.</w:t>
      </w:r>
      <w:r>
        <w:rPr>
          <w:rFonts w:ascii="Times New Roman" w:hAnsi="Times New Roman" w:cs="Times New Roman"/>
          <w:sz w:val="26"/>
          <w:szCs w:val="26"/>
        </w:rPr>
        <w:t xml:space="preserve"> </w:t>
      </w:r>
      <w:r w:rsidRPr="002A5433">
        <w:rPr>
          <w:rFonts w:ascii="Times New Roman" w:hAnsi="Times New Roman" w:cs="Times New Roman"/>
          <w:sz w:val="26"/>
          <w:szCs w:val="26"/>
        </w:rPr>
        <w:t xml:space="preserve">Wood Mackenzie dự báo cuối cùng có thể cần hủy một số chuyến hàng LNG của Mỹ để tái cân bằng thị trường, trong khi giá TTF của châu Âu vào đầu những năm 2030 có thể chỉ còn </w:t>
      </w:r>
      <w:r>
        <w:rPr>
          <w:rFonts w:ascii="Times New Roman" w:hAnsi="Times New Roman" w:cs="Times New Roman"/>
          <w:sz w:val="26"/>
          <w:szCs w:val="26"/>
        </w:rPr>
        <w:t xml:space="preserve">bằng </w:t>
      </w:r>
      <w:r w:rsidRPr="002A5433">
        <w:rPr>
          <w:rFonts w:ascii="Times New Roman" w:hAnsi="Times New Roman" w:cs="Times New Roman"/>
          <w:sz w:val="26"/>
          <w:szCs w:val="26"/>
        </w:rPr>
        <w:t>khoảng một nửa so với mức khoảng 14 USD/MMBtu của năm 2026. Sau đó giá sẽ phục hồi dần tới năm 2035.</w:t>
      </w:r>
    </w:p>
    <w:p w14:paraId="05EB9548" w14:textId="1FD00A62" w:rsidR="002A5433" w:rsidRPr="002A5433" w:rsidRDefault="002A5433" w:rsidP="002A5433">
      <w:p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Trong kịch bản “Gián đoạn kéo dài”, triển vọng thị trường trở nên nghiêm trọng hơn nhiều.</w:t>
      </w:r>
      <w:r>
        <w:rPr>
          <w:rFonts w:ascii="Times New Roman" w:hAnsi="Times New Roman" w:cs="Times New Roman"/>
          <w:sz w:val="26"/>
          <w:szCs w:val="26"/>
        </w:rPr>
        <w:t xml:space="preserve"> </w:t>
      </w:r>
      <w:r w:rsidRPr="002A5433">
        <w:rPr>
          <w:rFonts w:ascii="Times New Roman" w:hAnsi="Times New Roman" w:cs="Times New Roman"/>
          <w:sz w:val="26"/>
          <w:szCs w:val="26"/>
        </w:rPr>
        <w:t>Một phần trong số 85 Mtpa LNG hiện hữu của khu vực Vùng Vịnh có thể bị mất vĩnh viễn, trong khi khoảng 75 Mtpa công suất đang xây dựng có nguy cơ bị trì hoãn nhiều năm.</w:t>
      </w:r>
      <w:r>
        <w:rPr>
          <w:rFonts w:ascii="Times New Roman" w:hAnsi="Times New Roman" w:cs="Times New Roman"/>
          <w:sz w:val="26"/>
          <w:szCs w:val="26"/>
        </w:rPr>
        <w:t xml:space="preserve"> </w:t>
      </w:r>
      <w:r w:rsidRPr="002A5433">
        <w:rPr>
          <w:rFonts w:ascii="Times New Roman" w:hAnsi="Times New Roman" w:cs="Times New Roman"/>
          <w:sz w:val="26"/>
          <w:szCs w:val="26"/>
        </w:rPr>
        <w:t>Kết quả là nguồn cung LNG toàn cầu có thể thấp hơn trung bình khoảng 70 Mtpa so với dự kiến trước khi xảy ra xung đột.</w:t>
      </w:r>
    </w:p>
    <w:p w14:paraId="39CA99FD" w14:textId="77777777" w:rsidR="002A5433" w:rsidRPr="002A5433" w:rsidRDefault="002A5433" w:rsidP="002A5433">
      <w:pPr>
        <w:spacing w:before="120" w:after="120"/>
        <w:jc w:val="both"/>
        <w:rPr>
          <w:rFonts w:ascii="Times New Roman" w:hAnsi="Times New Roman" w:cs="Times New Roman"/>
          <w:b/>
          <w:bCs/>
          <w:sz w:val="26"/>
          <w:szCs w:val="26"/>
        </w:rPr>
      </w:pPr>
      <w:r w:rsidRPr="002A5433">
        <w:rPr>
          <w:rFonts w:ascii="Times New Roman" w:hAnsi="Times New Roman" w:cs="Times New Roman"/>
          <w:b/>
          <w:bCs/>
          <w:sz w:val="26"/>
          <w:szCs w:val="26"/>
        </w:rPr>
        <w:t>Một bức tranh năng lượng toàn cầu bị tái định hình</w:t>
      </w:r>
    </w:p>
    <w:p w14:paraId="2C82468B" w14:textId="77777777" w:rsidR="002A5433" w:rsidRPr="002A5433" w:rsidRDefault="002A5433" w:rsidP="002A5433">
      <w:p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Cuộc chiến đặt ra những rủi ro tiềm tàng đáng kể đối với nhu cầu dầu và LNG sau năm 2030. Các chính phủ và nhà sản xuất có nhiều lựa chọn để ứng phó.</w:t>
      </w:r>
    </w:p>
    <w:p w14:paraId="1CD90EDA" w14:textId="5C998015" w:rsidR="002A5433" w:rsidRPr="002A5433" w:rsidRDefault="002A5433" w:rsidP="002A5433">
      <w:pPr>
        <w:numPr>
          <w:ilvl w:val="0"/>
          <w:numId w:val="6"/>
        </w:numPr>
        <w:spacing w:before="120" w:after="120"/>
        <w:jc w:val="both"/>
        <w:rPr>
          <w:rFonts w:ascii="Times New Roman" w:hAnsi="Times New Roman" w:cs="Times New Roman"/>
          <w:sz w:val="26"/>
          <w:szCs w:val="26"/>
        </w:rPr>
      </w:pPr>
      <w:r w:rsidRPr="002A5433">
        <w:rPr>
          <w:rFonts w:ascii="Times New Roman" w:hAnsi="Times New Roman" w:cs="Times New Roman"/>
          <w:b/>
          <w:bCs/>
          <w:sz w:val="26"/>
          <w:szCs w:val="26"/>
        </w:rPr>
        <w:t xml:space="preserve">Các nước sản xuất dầu khí </w:t>
      </w:r>
      <w:r>
        <w:rPr>
          <w:rFonts w:ascii="Times New Roman" w:hAnsi="Times New Roman" w:cs="Times New Roman"/>
          <w:b/>
          <w:bCs/>
          <w:sz w:val="26"/>
          <w:szCs w:val="26"/>
        </w:rPr>
        <w:t xml:space="preserve">ở </w:t>
      </w:r>
      <w:r w:rsidRPr="002A5433">
        <w:rPr>
          <w:rFonts w:ascii="Times New Roman" w:hAnsi="Times New Roman" w:cs="Times New Roman"/>
          <w:b/>
          <w:bCs/>
          <w:sz w:val="26"/>
          <w:szCs w:val="26"/>
        </w:rPr>
        <w:t>vùng Vịnh:</w:t>
      </w:r>
      <w:r w:rsidRPr="002A5433">
        <w:rPr>
          <w:rFonts w:ascii="Times New Roman" w:hAnsi="Times New Roman" w:cs="Times New Roman"/>
          <w:sz w:val="26"/>
          <w:szCs w:val="26"/>
        </w:rPr>
        <w:t xml:space="preserve"> Khu vực này sẽ tiếp tục là nguồn cung dầu khí quan trọng trong tương lai gần. Các quốc gia sản xuất sẽ tìm cách giảm thiểu rủi ro đối với nguồn cung trong tương lai. Việc phát triển hạ tầng xuất khẩu dầu để tránh phụ thuộc vào Eo biển Hormuz và đầu tư kho chứa </w:t>
      </w:r>
      <w:r>
        <w:rPr>
          <w:rFonts w:ascii="Times New Roman" w:hAnsi="Times New Roman" w:cs="Times New Roman"/>
          <w:sz w:val="26"/>
          <w:szCs w:val="26"/>
        </w:rPr>
        <w:t xml:space="preserve">ở </w:t>
      </w:r>
      <w:r w:rsidRPr="002A5433">
        <w:rPr>
          <w:rFonts w:ascii="Times New Roman" w:hAnsi="Times New Roman" w:cs="Times New Roman"/>
          <w:sz w:val="26"/>
          <w:szCs w:val="26"/>
        </w:rPr>
        <w:t xml:space="preserve">gần các trung tâm tiêu thụ sẽ tăng cường an ninh năng lượng và có chi phí thấp hơn so với việc các nước nhập khẩu theo đuổi độc lập năng lượng quá mạnh mẽ. </w:t>
      </w:r>
    </w:p>
    <w:p w14:paraId="4E1B7831" w14:textId="77777777" w:rsidR="002A5433" w:rsidRPr="002A5433" w:rsidRDefault="002A5433" w:rsidP="002A5433">
      <w:pPr>
        <w:numPr>
          <w:ilvl w:val="0"/>
          <w:numId w:val="6"/>
        </w:numPr>
        <w:spacing w:before="120" w:after="120"/>
        <w:jc w:val="both"/>
        <w:rPr>
          <w:rFonts w:ascii="Times New Roman" w:hAnsi="Times New Roman" w:cs="Times New Roman"/>
          <w:sz w:val="26"/>
          <w:szCs w:val="26"/>
        </w:rPr>
      </w:pPr>
      <w:r w:rsidRPr="002A5433">
        <w:rPr>
          <w:rFonts w:ascii="Times New Roman" w:hAnsi="Times New Roman" w:cs="Times New Roman"/>
          <w:b/>
          <w:bCs/>
          <w:sz w:val="26"/>
          <w:szCs w:val="26"/>
        </w:rPr>
        <w:t>Chiến lược Trung Đông của các công ty dầu khí quốc tế:</w:t>
      </w:r>
      <w:r w:rsidRPr="002A5433">
        <w:rPr>
          <w:rFonts w:ascii="Times New Roman" w:hAnsi="Times New Roman" w:cs="Times New Roman"/>
          <w:sz w:val="26"/>
          <w:szCs w:val="26"/>
        </w:rPr>
        <w:t xml:space="preserve"> Khi các lưu vực khác như Permian dần trưởng thành, Trung Đông sẽ ngày càng quan trọng đối với chiến lược của các tập đoàn dầu khí lớn và các công ty độc lập quy mô lớn. Các tuyến xuất khẩu thay thế sẽ hỗ trợ cho đầu tư. </w:t>
      </w:r>
    </w:p>
    <w:p w14:paraId="0EDED615" w14:textId="567B6565" w:rsidR="002A5433" w:rsidRPr="002A5433" w:rsidRDefault="002A5433" w:rsidP="002A5433">
      <w:pPr>
        <w:numPr>
          <w:ilvl w:val="0"/>
          <w:numId w:val="6"/>
        </w:numPr>
        <w:spacing w:before="120" w:after="120"/>
        <w:jc w:val="both"/>
        <w:rPr>
          <w:rFonts w:ascii="Times New Roman" w:hAnsi="Times New Roman" w:cs="Times New Roman"/>
          <w:sz w:val="26"/>
          <w:szCs w:val="26"/>
        </w:rPr>
      </w:pPr>
      <w:r w:rsidRPr="002A5433">
        <w:rPr>
          <w:rFonts w:ascii="Times New Roman" w:hAnsi="Times New Roman" w:cs="Times New Roman"/>
          <w:b/>
          <w:bCs/>
          <w:sz w:val="26"/>
          <w:szCs w:val="26"/>
        </w:rPr>
        <w:t xml:space="preserve">Các nhà sản xuất dầu khí </w:t>
      </w:r>
      <w:r>
        <w:rPr>
          <w:rFonts w:ascii="Times New Roman" w:hAnsi="Times New Roman" w:cs="Times New Roman"/>
          <w:b/>
          <w:bCs/>
          <w:sz w:val="26"/>
          <w:szCs w:val="26"/>
        </w:rPr>
        <w:t xml:space="preserve">ở </w:t>
      </w:r>
      <w:r w:rsidRPr="002A5433">
        <w:rPr>
          <w:rFonts w:ascii="Times New Roman" w:hAnsi="Times New Roman" w:cs="Times New Roman"/>
          <w:b/>
          <w:bCs/>
          <w:sz w:val="26"/>
          <w:szCs w:val="26"/>
        </w:rPr>
        <w:t>ngoài khu vực Vùng Vịnh:</w:t>
      </w:r>
      <w:r w:rsidRPr="002A5433">
        <w:rPr>
          <w:rFonts w:ascii="Times New Roman" w:hAnsi="Times New Roman" w:cs="Times New Roman"/>
          <w:sz w:val="26"/>
          <w:szCs w:val="26"/>
        </w:rPr>
        <w:t xml:space="preserve"> Các nhà sản xuất chi phí thấp tại các khu vực ổn định có thể mở rộng sản lượng. Các nhà sản xuất LNG sẽ tìm cách tận dụng nhu cầu đa dạng hóa nguồn cung từ phía khách hàng. </w:t>
      </w:r>
    </w:p>
    <w:p w14:paraId="15C794C9" w14:textId="77777777" w:rsidR="002A5433" w:rsidRPr="002A5433" w:rsidRDefault="002A5433" w:rsidP="002A5433">
      <w:pPr>
        <w:numPr>
          <w:ilvl w:val="0"/>
          <w:numId w:val="6"/>
        </w:numPr>
        <w:spacing w:before="120" w:after="120"/>
        <w:jc w:val="both"/>
        <w:rPr>
          <w:rFonts w:ascii="Times New Roman" w:hAnsi="Times New Roman" w:cs="Times New Roman"/>
          <w:sz w:val="26"/>
          <w:szCs w:val="26"/>
        </w:rPr>
      </w:pPr>
      <w:r w:rsidRPr="002A5433">
        <w:rPr>
          <w:rFonts w:ascii="Times New Roman" w:hAnsi="Times New Roman" w:cs="Times New Roman"/>
          <w:b/>
          <w:bCs/>
          <w:sz w:val="26"/>
          <w:szCs w:val="26"/>
        </w:rPr>
        <w:t>Các nhà máy lọc dầu tại các nước nhập khẩu dầu:</w:t>
      </w:r>
      <w:r w:rsidRPr="002A5433">
        <w:rPr>
          <w:rFonts w:ascii="Times New Roman" w:hAnsi="Times New Roman" w:cs="Times New Roman"/>
          <w:sz w:val="26"/>
          <w:szCs w:val="26"/>
        </w:rPr>
        <w:t xml:space="preserve"> Các nhà máy lọc dầu sẽ phải đối mặt với triển vọng thị trường khó khăn hơn khi nhu cầu dầu dài hạn suy yếu tại các quốc gia phụ thuộc nhập khẩu. </w:t>
      </w:r>
    </w:p>
    <w:p w14:paraId="24A39C7E" w14:textId="77777777" w:rsidR="002A5433" w:rsidRPr="002A5433" w:rsidRDefault="002A5433" w:rsidP="002A5433">
      <w:pPr>
        <w:numPr>
          <w:ilvl w:val="0"/>
          <w:numId w:val="6"/>
        </w:numPr>
        <w:spacing w:before="120" w:after="120"/>
        <w:jc w:val="both"/>
        <w:rPr>
          <w:rFonts w:ascii="Times New Roman" w:hAnsi="Times New Roman" w:cs="Times New Roman"/>
          <w:sz w:val="26"/>
          <w:szCs w:val="26"/>
        </w:rPr>
      </w:pPr>
      <w:r w:rsidRPr="002A5433">
        <w:rPr>
          <w:rFonts w:ascii="Times New Roman" w:hAnsi="Times New Roman" w:cs="Times New Roman"/>
          <w:b/>
          <w:bCs/>
          <w:sz w:val="26"/>
          <w:szCs w:val="26"/>
        </w:rPr>
        <w:lastRenderedPageBreak/>
        <w:t>Các nhà sản xuất công nghệ sạch:</w:t>
      </w:r>
      <w:r w:rsidRPr="002A5433">
        <w:rPr>
          <w:rFonts w:ascii="Times New Roman" w:hAnsi="Times New Roman" w:cs="Times New Roman"/>
          <w:sz w:val="26"/>
          <w:szCs w:val="26"/>
        </w:rPr>
        <w:t xml:space="preserve"> Khi điện khí hóa tăng tốc, các nhà sản xuất năng lượng tái tạo, điện hạt nhân, xe điện (EV), pin và hạ tầng sạc sẽ được hưởng lợi. Tuy nhiên, điện khí hóa nhanh chóng đòi hỏi đầu tư khổng lồ vào phát triển lưới điện, kéo theo chi phí rất lớn. </w:t>
      </w:r>
    </w:p>
    <w:p w14:paraId="1A2390D8" w14:textId="461E5DE2" w:rsidR="002A5433" w:rsidRPr="002A5433" w:rsidRDefault="002A5433" w:rsidP="002A5433">
      <w:pPr>
        <w:spacing w:before="120" w:after="120"/>
        <w:jc w:val="both"/>
        <w:rPr>
          <w:rFonts w:ascii="Times New Roman" w:hAnsi="Times New Roman" w:cs="Times New Roman"/>
          <w:sz w:val="26"/>
          <w:szCs w:val="26"/>
        </w:rPr>
      </w:pPr>
      <w:r w:rsidRPr="002A5433">
        <w:rPr>
          <w:rFonts w:ascii="Times New Roman" w:hAnsi="Times New Roman" w:cs="Times New Roman"/>
          <w:sz w:val="26"/>
          <w:szCs w:val="26"/>
        </w:rPr>
        <w:t>“</w:t>
      </w:r>
      <w:r w:rsidRPr="0059278D">
        <w:rPr>
          <w:rFonts w:ascii="Times New Roman" w:hAnsi="Times New Roman" w:cs="Times New Roman"/>
          <w:i/>
          <w:iCs/>
          <w:sz w:val="26"/>
          <w:szCs w:val="26"/>
        </w:rPr>
        <w:t xml:space="preserve">Hậu quả của một giai đoạn gián đoạn kéo dài sẽ vượt </w:t>
      </w:r>
      <w:r w:rsidR="0059278D" w:rsidRPr="0059278D">
        <w:rPr>
          <w:rFonts w:ascii="Times New Roman" w:hAnsi="Times New Roman" w:cs="Times New Roman"/>
          <w:i/>
          <w:iCs/>
          <w:sz w:val="26"/>
          <w:szCs w:val="26"/>
        </w:rPr>
        <w:t>ra ngoài</w:t>
      </w:r>
      <w:r w:rsidRPr="0059278D">
        <w:rPr>
          <w:rFonts w:ascii="Times New Roman" w:hAnsi="Times New Roman" w:cs="Times New Roman"/>
          <w:i/>
          <w:iCs/>
          <w:sz w:val="26"/>
          <w:szCs w:val="26"/>
        </w:rPr>
        <w:t xml:space="preserve"> thị trường năng lượng. Nó sẽ đồng thời thử thách khả năng chống chịu của thương mại toàn cầu, chuỗi cung ứng công nghiệp và tăng trưởng kinh tế, đồng thời nhấn mạnh tính cấp bách của việc tìm ra giải pháp</w:t>
      </w:r>
      <w:r w:rsidRPr="002A5433">
        <w:rPr>
          <w:rFonts w:ascii="Times New Roman" w:hAnsi="Times New Roman" w:cs="Times New Roman"/>
          <w:sz w:val="26"/>
          <w:szCs w:val="26"/>
        </w:rPr>
        <w:t>.”</w:t>
      </w:r>
      <w:r w:rsidR="0059278D">
        <w:rPr>
          <w:rFonts w:ascii="Times New Roman" w:hAnsi="Times New Roman" w:cs="Times New Roman"/>
          <w:sz w:val="26"/>
          <w:szCs w:val="26"/>
        </w:rPr>
        <w:t xml:space="preserve"> </w:t>
      </w:r>
      <w:r w:rsidRPr="002A5433">
        <w:rPr>
          <w:rFonts w:ascii="Times New Roman" w:hAnsi="Times New Roman" w:cs="Times New Roman"/>
          <w:sz w:val="26"/>
          <w:szCs w:val="26"/>
        </w:rPr>
        <w:t>ông Martin kết luận.</w:t>
      </w:r>
    </w:p>
    <w:p w14:paraId="69CEE329" w14:textId="6F35068A" w:rsidR="00C13E10" w:rsidRDefault="0059278D" w:rsidP="0059278D">
      <w:pPr>
        <w:jc w:val="center"/>
      </w:pPr>
      <w:r>
        <w:t>-----------------------------------------------------------</w:t>
      </w:r>
    </w:p>
    <w:sectPr w:rsidR="00C13E10" w:rsidSect="002A5433">
      <w:pgSz w:w="12240" w:h="15840"/>
      <w:pgMar w:top="99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59E1"/>
    <w:multiLevelType w:val="multilevel"/>
    <w:tmpl w:val="BB5E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465FE"/>
    <w:multiLevelType w:val="multilevel"/>
    <w:tmpl w:val="3306ED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573C1B"/>
    <w:multiLevelType w:val="multilevel"/>
    <w:tmpl w:val="5222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8C5256"/>
    <w:multiLevelType w:val="multilevel"/>
    <w:tmpl w:val="D544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4051D"/>
    <w:multiLevelType w:val="multilevel"/>
    <w:tmpl w:val="90186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64273C"/>
    <w:multiLevelType w:val="multilevel"/>
    <w:tmpl w:val="D4A09C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183759">
    <w:abstractNumId w:val="4"/>
  </w:num>
  <w:num w:numId="2" w16cid:durableId="499008992">
    <w:abstractNumId w:val="1"/>
  </w:num>
  <w:num w:numId="3" w16cid:durableId="1895001123">
    <w:abstractNumId w:val="5"/>
  </w:num>
  <w:num w:numId="4" w16cid:durableId="1652174313">
    <w:abstractNumId w:val="2"/>
  </w:num>
  <w:num w:numId="5" w16cid:durableId="319240581">
    <w:abstractNumId w:val="0"/>
  </w:num>
  <w:num w:numId="6" w16cid:durableId="1346595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33"/>
    <w:rsid w:val="000501D0"/>
    <w:rsid w:val="002A5433"/>
    <w:rsid w:val="0059278D"/>
    <w:rsid w:val="00C13E10"/>
    <w:rsid w:val="00D4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EDF7"/>
  <w15:chartTrackingRefBased/>
  <w15:docId w15:val="{0BB04AD6-C5DB-43C5-9CED-E576E754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433"/>
    <w:rPr>
      <w:rFonts w:eastAsiaTheme="majorEastAsia" w:cstheme="majorBidi"/>
      <w:color w:val="272727" w:themeColor="text1" w:themeTint="D8"/>
    </w:rPr>
  </w:style>
  <w:style w:type="paragraph" w:styleId="Title">
    <w:name w:val="Title"/>
    <w:basedOn w:val="Normal"/>
    <w:next w:val="Normal"/>
    <w:link w:val="TitleChar"/>
    <w:uiPriority w:val="10"/>
    <w:qFormat/>
    <w:rsid w:val="002A5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433"/>
    <w:pPr>
      <w:spacing w:before="160"/>
      <w:jc w:val="center"/>
    </w:pPr>
    <w:rPr>
      <w:i/>
      <w:iCs/>
      <w:color w:val="404040" w:themeColor="text1" w:themeTint="BF"/>
    </w:rPr>
  </w:style>
  <w:style w:type="character" w:customStyle="1" w:styleId="QuoteChar">
    <w:name w:val="Quote Char"/>
    <w:basedOn w:val="DefaultParagraphFont"/>
    <w:link w:val="Quote"/>
    <w:uiPriority w:val="29"/>
    <w:rsid w:val="002A5433"/>
    <w:rPr>
      <w:i/>
      <w:iCs/>
      <w:color w:val="404040" w:themeColor="text1" w:themeTint="BF"/>
    </w:rPr>
  </w:style>
  <w:style w:type="paragraph" w:styleId="ListParagraph">
    <w:name w:val="List Paragraph"/>
    <w:basedOn w:val="Normal"/>
    <w:uiPriority w:val="34"/>
    <w:qFormat/>
    <w:rsid w:val="002A5433"/>
    <w:pPr>
      <w:ind w:left="720"/>
      <w:contextualSpacing/>
    </w:pPr>
  </w:style>
  <w:style w:type="character" w:styleId="IntenseEmphasis">
    <w:name w:val="Intense Emphasis"/>
    <w:basedOn w:val="DefaultParagraphFont"/>
    <w:uiPriority w:val="21"/>
    <w:qFormat/>
    <w:rsid w:val="002A5433"/>
    <w:rPr>
      <w:i/>
      <w:iCs/>
      <w:color w:val="0F4761" w:themeColor="accent1" w:themeShade="BF"/>
    </w:rPr>
  </w:style>
  <w:style w:type="paragraph" w:styleId="IntenseQuote">
    <w:name w:val="Intense Quote"/>
    <w:basedOn w:val="Normal"/>
    <w:next w:val="Normal"/>
    <w:link w:val="IntenseQuoteChar"/>
    <w:uiPriority w:val="30"/>
    <w:qFormat/>
    <w:rsid w:val="002A5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433"/>
    <w:rPr>
      <w:i/>
      <w:iCs/>
      <w:color w:val="0F4761" w:themeColor="accent1" w:themeShade="BF"/>
    </w:rPr>
  </w:style>
  <w:style w:type="character" w:styleId="IntenseReference">
    <w:name w:val="Intense Reference"/>
    <w:basedOn w:val="DefaultParagraphFont"/>
    <w:uiPriority w:val="32"/>
    <w:qFormat/>
    <w:rsid w:val="002A5433"/>
    <w:rPr>
      <w:b/>
      <w:bCs/>
      <w:smallCaps/>
      <w:color w:val="0F4761" w:themeColor="accent1" w:themeShade="BF"/>
      <w:spacing w:val="5"/>
    </w:rPr>
  </w:style>
  <w:style w:type="character" w:styleId="Hyperlink">
    <w:name w:val="Hyperlink"/>
    <w:basedOn w:val="DefaultParagraphFont"/>
    <w:uiPriority w:val="99"/>
    <w:unhideWhenUsed/>
    <w:rsid w:val="002A5433"/>
    <w:rPr>
      <w:color w:val="467886" w:themeColor="hyperlink"/>
      <w:u w:val="single"/>
    </w:rPr>
  </w:style>
  <w:style w:type="character" w:styleId="UnresolvedMention">
    <w:name w:val="Unresolved Mention"/>
    <w:basedOn w:val="DefaultParagraphFont"/>
    <w:uiPriority w:val="99"/>
    <w:semiHidden/>
    <w:unhideWhenUsed/>
    <w:rsid w:val="002A5433"/>
    <w:rPr>
      <w:color w:val="605E5C"/>
      <w:shd w:val="clear" w:color="auto" w:fill="E1DFDD"/>
    </w:rPr>
  </w:style>
  <w:style w:type="character" w:styleId="FollowedHyperlink">
    <w:name w:val="FollowedHyperlink"/>
    <w:basedOn w:val="DefaultParagraphFont"/>
    <w:uiPriority w:val="99"/>
    <w:semiHidden/>
    <w:unhideWhenUsed/>
    <w:rsid w:val="002A54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report-warns-hormuz-closure-poses-single-greatest-threat-to-global-energy-markets/wood-mackenzie-ira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06/shutterstock_2629346343-scaled-e1750676127900.jpg" TargetMode="External"/><Relationship Id="rId11" Type="http://schemas.openxmlformats.org/officeDocument/2006/relationships/theme" Target="theme/theme1.xml"/><Relationship Id="rId5" Type="http://schemas.openxmlformats.org/officeDocument/2006/relationships/hyperlink" Target="https://safety4sea.com/category/others/shipp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2026-05-25T08:16:00Z</dcterms:created>
  <dcterms:modified xsi:type="dcterms:W3CDTF">2026-05-25T08:30:00Z</dcterms:modified>
</cp:coreProperties>
</file>