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097F" w14:textId="1D06A6D5" w:rsidR="003C2982" w:rsidRPr="003C2982" w:rsidRDefault="003C2982" w:rsidP="007854F3">
      <w:pPr>
        <w:spacing w:line="240" w:lineRule="auto"/>
        <w:ind w:right="270"/>
        <w:jc w:val="center"/>
        <w:rPr>
          <w:rFonts w:ascii="Times New Roman" w:hAnsi="Times New Roman" w:cs="Times New Roman"/>
          <w:b/>
          <w:bCs/>
          <w:color w:val="EE0000"/>
          <w:sz w:val="40"/>
          <w:szCs w:val="40"/>
        </w:rPr>
      </w:pPr>
      <w:r w:rsidRPr="007854F3">
        <w:rPr>
          <w:rFonts w:ascii="Times New Roman" w:hAnsi="Times New Roman" w:cs="Times New Roman"/>
          <w:b/>
          <w:bCs/>
          <w:color w:val="EE0000"/>
          <w:sz w:val="40"/>
          <w:szCs w:val="40"/>
        </w:rPr>
        <w:t>Vì sao chuyến hàng tiếp theo của bạn có thể phải chịu “</w:t>
      </w:r>
      <w:r w:rsidRPr="007854F3">
        <w:rPr>
          <w:rFonts w:ascii="Times New Roman" w:hAnsi="Times New Roman" w:cs="Times New Roman"/>
          <w:b/>
          <w:bCs/>
          <w:color w:val="EE0000"/>
          <w:sz w:val="40"/>
          <w:szCs w:val="40"/>
        </w:rPr>
        <w:t xml:space="preserve">lộ </w:t>
      </w:r>
      <w:r w:rsidRPr="007854F3">
        <w:rPr>
          <w:rFonts w:ascii="Times New Roman" w:hAnsi="Times New Roman" w:cs="Times New Roman"/>
          <w:b/>
          <w:bCs/>
          <w:color w:val="EE0000"/>
          <w:sz w:val="40"/>
          <w:szCs w:val="40"/>
        </w:rPr>
        <w:t>phí” trị giá hàng triệu USD</w:t>
      </w:r>
    </w:p>
    <w:p w14:paraId="6C7EB503" w14:textId="77777777" w:rsidR="003C2982" w:rsidRPr="003C2982" w:rsidRDefault="003C2982" w:rsidP="003C2982">
      <w:pPr>
        <w:jc w:val="right"/>
      </w:pPr>
      <w:r w:rsidRPr="003C2982">
        <w:t> </w:t>
      </w:r>
      <w:hyperlink r:id="rId5" w:history="1">
        <w:r w:rsidRPr="003C2982">
          <w:rPr>
            <w:rStyle w:val="Hyperlink"/>
            <w:b/>
            <w:bCs/>
          </w:rPr>
          <w:t>maritimecyprus</w:t>
        </w:r>
      </w:hyperlink>
    </w:p>
    <w:p w14:paraId="79A461A2" w14:textId="0FB72D87" w:rsidR="003C2982" w:rsidRPr="003C2982" w:rsidRDefault="003C2982" w:rsidP="003C2982">
      <w:pPr>
        <w:jc w:val="center"/>
      </w:pPr>
      <w:r w:rsidRPr="003C2982">
        <w:drawing>
          <wp:inline distT="0" distB="0" distL="0" distR="0" wp14:anchorId="29A2B8BE" wp14:editId="6E09F98B">
            <wp:extent cx="5943600" cy="3347720"/>
            <wp:effectExtent l="0" t="0" r="0" b="5080"/>
            <wp:docPr id="13924982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BB61915" w14:textId="11FE1713" w:rsidR="003C2982" w:rsidRPr="003C2982" w:rsidRDefault="003C2982" w:rsidP="003C2982">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 xml:space="preserve">Các quy tắc điều chỉnh </w:t>
      </w:r>
      <w:r>
        <w:rPr>
          <w:rFonts w:ascii="Times New Roman" w:hAnsi="Times New Roman" w:cs="Times New Roman"/>
          <w:sz w:val="26"/>
          <w:szCs w:val="26"/>
        </w:rPr>
        <w:t xml:space="preserve">các </w:t>
      </w:r>
      <w:r w:rsidRPr="003C2982">
        <w:rPr>
          <w:rFonts w:ascii="Times New Roman" w:hAnsi="Times New Roman" w:cs="Times New Roman"/>
          <w:sz w:val="26"/>
          <w:szCs w:val="26"/>
        </w:rPr>
        <w:t>đại dương</w:t>
      </w:r>
      <w:r>
        <w:rPr>
          <w:rFonts w:ascii="Times New Roman" w:hAnsi="Times New Roman" w:cs="Times New Roman"/>
          <w:sz w:val="26"/>
          <w:szCs w:val="26"/>
        </w:rPr>
        <w:t xml:space="preserve"> trên</w:t>
      </w:r>
      <w:r w:rsidRPr="003C2982">
        <w:rPr>
          <w:rFonts w:ascii="Times New Roman" w:hAnsi="Times New Roman" w:cs="Times New Roman"/>
          <w:sz w:val="26"/>
          <w:szCs w:val="26"/>
        </w:rPr>
        <w:t xml:space="preserve"> thế giới tạo thành “xương sống vô hình” của nền kinh tế toàn cầu. Những quyết định liên quan đến việc đi qua các tuyến đường thủy hẹp </w:t>
      </w:r>
      <w:r>
        <w:rPr>
          <w:rFonts w:ascii="Times New Roman" w:hAnsi="Times New Roman" w:cs="Times New Roman"/>
          <w:sz w:val="26"/>
          <w:szCs w:val="26"/>
        </w:rPr>
        <w:t>-</w:t>
      </w:r>
      <w:r w:rsidRPr="003C2982">
        <w:rPr>
          <w:rFonts w:ascii="Times New Roman" w:hAnsi="Times New Roman" w:cs="Times New Roman"/>
          <w:sz w:val="26"/>
          <w:szCs w:val="26"/>
        </w:rPr>
        <w:t xml:space="preserve"> liệu </w:t>
      </w:r>
      <w:r>
        <w:rPr>
          <w:rFonts w:ascii="Times New Roman" w:hAnsi="Times New Roman" w:cs="Times New Roman"/>
          <w:sz w:val="26"/>
          <w:szCs w:val="26"/>
        </w:rPr>
        <w:t xml:space="preserve">các </w:t>
      </w:r>
      <w:r w:rsidRPr="003C2982">
        <w:rPr>
          <w:rFonts w:ascii="Times New Roman" w:hAnsi="Times New Roman" w:cs="Times New Roman"/>
          <w:sz w:val="26"/>
          <w:szCs w:val="26"/>
        </w:rPr>
        <w:t xml:space="preserve">tàu </w:t>
      </w:r>
      <w:r>
        <w:rPr>
          <w:rFonts w:ascii="Times New Roman" w:hAnsi="Times New Roman" w:cs="Times New Roman"/>
          <w:sz w:val="26"/>
          <w:szCs w:val="26"/>
        </w:rPr>
        <w:t xml:space="preserve">có </w:t>
      </w:r>
      <w:r w:rsidRPr="003C2982">
        <w:rPr>
          <w:rFonts w:ascii="Times New Roman" w:hAnsi="Times New Roman" w:cs="Times New Roman"/>
          <w:sz w:val="26"/>
          <w:szCs w:val="26"/>
        </w:rPr>
        <w:t xml:space="preserve">phải trả phí hay được tự do quá cảnh </w:t>
      </w:r>
      <w:r>
        <w:rPr>
          <w:rFonts w:ascii="Times New Roman" w:hAnsi="Times New Roman" w:cs="Times New Roman"/>
          <w:sz w:val="26"/>
          <w:szCs w:val="26"/>
        </w:rPr>
        <w:t xml:space="preserve">- </w:t>
      </w:r>
      <w:r w:rsidRPr="003C2982">
        <w:rPr>
          <w:rFonts w:ascii="Times New Roman" w:hAnsi="Times New Roman" w:cs="Times New Roman"/>
          <w:sz w:val="26"/>
          <w:szCs w:val="26"/>
        </w:rPr>
        <w:t xml:space="preserve">không chỉ đơn thuần là vấn đề </w:t>
      </w:r>
      <w:r>
        <w:rPr>
          <w:rFonts w:ascii="Times New Roman" w:hAnsi="Times New Roman" w:cs="Times New Roman"/>
          <w:sz w:val="26"/>
          <w:szCs w:val="26"/>
        </w:rPr>
        <w:t xml:space="preserve">của </w:t>
      </w:r>
      <w:r w:rsidRPr="003C2982">
        <w:rPr>
          <w:rFonts w:ascii="Times New Roman" w:hAnsi="Times New Roman" w:cs="Times New Roman"/>
          <w:sz w:val="26"/>
          <w:szCs w:val="26"/>
        </w:rPr>
        <w:t xml:space="preserve">chính sách nội địa mà còn được đặt vững chắc trên nền tảng </w:t>
      </w:r>
      <w:r>
        <w:rPr>
          <w:rFonts w:ascii="Times New Roman" w:hAnsi="Times New Roman" w:cs="Times New Roman"/>
          <w:sz w:val="26"/>
          <w:szCs w:val="26"/>
        </w:rPr>
        <w:t xml:space="preserve">của </w:t>
      </w:r>
      <w:r w:rsidRPr="003C2982">
        <w:rPr>
          <w:rFonts w:ascii="Times New Roman" w:hAnsi="Times New Roman" w:cs="Times New Roman"/>
          <w:sz w:val="26"/>
          <w:szCs w:val="26"/>
        </w:rPr>
        <w:t>luật pháp quốc tế. Khi căng thẳng địa chính trị leo thang tại eo biển Hormuz và Thổ Nhĩ Kỳ phát tín hiệu có thể thay đổi chính sách đối với eo biển Dardanelles</w:t>
      </w:r>
      <w:r>
        <w:rPr>
          <w:rFonts w:ascii="Times New Roman" w:hAnsi="Times New Roman" w:cs="Times New Roman"/>
          <w:sz w:val="26"/>
          <w:szCs w:val="26"/>
        </w:rPr>
        <w:t xml:space="preserve"> thì</w:t>
      </w:r>
      <w:r w:rsidRPr="003C2982">
        <w:rPr>
          <w:rFonts w:ascii="Times New Roman" w:hAnsi="Times New Roman" w:cs="Times New Roman"/>
          <w:sz w:val="26"/>
          <w:szCs w:val="26"/>
        </w:rPr>
        <w:t xml:space="preserve"> sự khác </w:t>
      </w:r>
      <w:r>
        <w:rPr>
          <w:rFonts w:ascii="Times New Roman" w:hAnsi="Times New Roman" w:cs="Times New Roman"/>
          <w:sz w:val="26"/>
          <w:szCs w:val="26"/>
        </w:rPr>
        <w:t>nhau về</w:t>
      </w:r>
      <w:r w:rsidRPr="003C2982">
        <w:rPr>
          <w:rFonts w:ascii="Times New Roman" w:hAnsi="Times New Roman" w:cs="Times New Roman"/>
          <w:sz w:val="26"/>
          <w:szCs w:val="26"/>
        </w:rPr>
        <w:t xml:space="preserve"> pháp lý then chốt giữa </w:t>
      </w:r>
      <w:r>
        <w:rPr>
          <w:rFonts w:ascii="Times New Roman" w:hAnsi="Times New Roman" w:cs="Times New Roman"/>
          <w:sz w:val="26"/>
          <w:szCs w:val="26"/>
        </w:rPr>
        <w:t xml:space="preserve">một </w:t>
      </w:r>
      <w:r w:rsidRPr="003C2982">
        <w:rPr>
          <w:rFonts w:ascii="Times New Roman" w:hAnsi="Times New Roman" w:cs="Times New Roman"/>
          <w:sz w:val="26"/>
          <w:szCs w:val="26"/>
        </w:rPr>
        <w:t xml:space="preserve">kênh đào nhân tạo </w:t>
      </w:r>
      <w:r>
        <w:rPr>
          <w:rFonts w:ascii="Times New Roman" w:hAnsi="Times New Roman" w:cs="Times New Roman"/>
          <w:sz w:val="26"/>
          <w:szCs w:val="26"/>
        </w:rPr>
        <w:t>với một</w:t>
      </w:r>
      <w:r w:rsidRPr="003C2982">
        <w:rPr>
          <w:rFonts w:ascii="Times New Roman" w:hAnsi="Times New Roman" w:cs="Times New Roman"/>
          <w:sz w:val="26"/>
          <w:szCs w:val="26"/>
        </w:rPr>
        <w:t xml:space="preserve"> eo biển tự nhiên trở nên đặc biệt quan trọng. Dưới đây là tổng quan toàn diện về các khuôn khổ pháp lý, quyền và hệ quả liên quan.</w:t>
      </w:r>
    </w:p>
    <w:p w14:paraId="5BE3327C" w14:textId="37DAB128" w:rsidR="003C2982" w:rsidRPr="003C2982" w:rsidRDefault="003C2982" w:rsidP="003C2982">
      <w:pPr>
        <w:spacing w:before="120" w:after="120"/>
        <w:jc w:val="both"/>
        <w:rPr>
          <w:rFonts w:ascii="Times New Roman" w:hAnsi="Times New Roman" w:cs="Times New Roman"/>
          <w:b/>
          <w:bCs/>
          <w:sz w:val="26"/>
          <w:szCs w:val="26"/>
        </w:rPr>
      </w:pPr>
      <w:r w:rsidRPr="003C2982">
        <w:rPr>
          <w:rFonts w:ascii="Times New Roman" w:hAnsi="Times New Roman" w:cs="Times New Roman"/>
          <w:b/>
          <w:bCs/>
          <w:sz w:val="26"/>
          <w:szCs w:val="26"/>
        </w:rPr>
        <w:t xml:space="preserve">Khuôn khổ pháp lý: UNCLOS và </w:t>
      </w:r>
      <w:r>
        <w:rPr>
          <w:rFonts w:ascii="Times New Roman" w:hAnsi="Times New Roman" w:cs="Times New Roman"/>
          <w:b/>
          <w:bCs/>
          <w:sz w:val="26"/>
          <w:szCs w:val="26"/>
        </w:rPr>
        <w:t xml:space="preserve">các </w:t>
      </w:r>
      <w:r w:rsidRPr="003C2982">
        <w:rPr>
          <w:rFonts w:ascii="Times New Roman" w:hAnsi="Times New Roman" w:cs="Times New Roman"/>
          <w:b/>
          <w:bCs/>
          <w:sz w:val="26"/>
          <w:szCs w:val="26"/>
        </w:rPr>
        <w:t>quyền hàng hải</w:t>
      </w:r>
    </w:p>
    <w:p w14:paraId="3614A912" w14:textId="27338914" w:rsidR="003C2982" w:rsidRDefault="003C2982" w:rsidP="003C2982">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 xml:space="preserve">Công cụ nền tảng trong lĩnh vực này là Công ước </w:t>
      </w:r>
      <w:r>
        <w:rPr>
          <w:rFonts w:ascii="Times New Roman" w:hAnsi="Times New Roman" w:cs="Times New Roman"/>
          <w:sz w:val="26"/>
          <w:szCs w:val="26"/>
        </w:rPr>
        <w:t xml:space="preserve">của </w:t>
      </w:r>
      <w:r w:rsidRPr="003C2982">
        <w:rPr>
          <w:rFonts w:ascii="Times New Roman" w:hAnsi="Times New Roman" w:cs="Times New Roman"/>
          <w:sz w:val="26"/>
          <w:szCs w:val="26"/>
        </w:rPr>
        <w:t xml:space="preserve">Liên Hợp Quốc về Luật Biển (UNCLOS), thường được xem là “hiến pháp của </w:t>
      </w:r>
      <w:r>
        <w:rPr>
          <w:rFonts w:ascii="Times New Roman" w:hAnsi="Times New Roman" w:cs="Times New Roman"/>
          <w:sz w:val="26"/>
          <w:szCs w:val="26"/>
        </w:rPr>
        <w:t xml:space="preserve">các </w:t>
      </w:r>
      <w:r w:rsidRPr="003C2982">
        <w:rPr>
          <w:rFonts w:ascii="Times New Roman" w:hAnsi="Times New Roman" w:cs="Times New Roman"/>
          <w:sz w:val="26"/>
          <w:szCs w:val="26"/>
        </w:rPr>
        <w:t xml:space="preserve">đại dương”. </w:t>
      </w:r>
      <w:r>
        <w:rPr>
          <w:rFonts w:ascii="Times New Roman" w:hAnsi="Times New Roman" w:cs="Times New Roman"/>
          <w:sz w:val="26"/>
          <w:szCs w:val="26"/>
        </w:rPr>
        <w:t>Công</w:t>
      </w:r>
      <w:r w:rsidRPr="003C2982">
        <w:rPr>
          <w:rFonts w:ascii="Times New Roman" w:hAnsi="Times New Roman" w:cs="Times New Roman"/>
          <w:sz w:val="26"/>
          <w:szCs w:val="26"/>
        </w:rPr>
        <w:t xml:space="preserve"> ước toàn diện này, được phần lớn các quốc gia ven biển phê chuẩn, </w:t>
      </w:r>
      <w:r>
        <w:rPr>
          <w:rFonts w:ascii="Times New Roman" w:hAnsi="Times New Roman" w:cs="Times New Roman"/>
          <w:sz w:val="26"/>
          <w:szCs w:val="26"/>
        </w:rPr>
        <w:t xml:space="preserve">đã </w:t>
      </w:r>
      <w:r w:rsidRPr="003C2982">
        <w:rPr>
          <w:rFonts w:ascii="Times New Roman" w:hAnsi="Times New Roman" w:cs="Times New Roman"/>
          <w:sz w:val="26"/>
          <w:szCs w:val="26"/>
        </w:rPr>
        <w:t>thiết lập các quy tắc rõ ràng về sử dụng không gian biển, quyền đi lại và sự cân bằng giữa quyền của quốc gia ven biển với tự do hàng hải quốc tế.</w:t>
      </w:r>
    </w:p>
    <w:p w14:paraId="51A6F234" w14:textId="77777777" w:rsidR="003C2982" w:rsidRPr="003C2982" w:rsidRDefault="003C2982" w:rsidP="003C2982">
      <w:pPr>
        <w:spacing w:before="120" w:after="120"/>
        <w:jc w:val="both"/>
        <w:rPr>
          <w:rFonts w:ascii="Times New Roman" w:hAnsi="Times New Roman" w:cs="Times New Roman"/>
          <w:b/>
          <w:bCs/>
          <w:sz w:val="26"/>
          <w:szCs w:val="26"/>
        </w:rPr>
      </w:pPr>
      <w:r w:rsidRPr="003C2982">
        <w:rPr>
          <w:rFonts w:ascii="Times New Roman" w:hAnsi="Times New Roman" w:cs="Times New Roman"/>
          <w:b/>
          <w:bCs/>
          <w:sz w:val="26"/>
          <w:szCs w:val="26"/>
        </w:rPr>
        <w:t>Lưu ý quan trọng về tình trạng phê chuẩn:</w:t>
      </w:r>
    </w:p>
    <w:p w14:paraId="0CA6867E" w14:textId="07DC16C4" w:rsidR="003C2982" w:rsidRPr="003C2982" w:rsidRDefault="003C2982" w:rsidP="003C2982">
      <w:pPr>
        <w:numPr>
          <w:ilvl w:val="0"/>
          <w:numId w:val="6"/>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t>Iran</w:t>
      </w:r>
      <w:r w:rsidRPr="003C2982">
        <w:rPr>
          <w:rFonts w:ascii="Times New Roman" w:hAnsi="Times New Roman" w:cs="Times New Roman"/>
          <w:sz w:val="26"/>
          <w:szCs w:val="26"/>
        </w:rPr>
        <w:t xml:space="preserve"> đã ký UNCLOS năm 1982 nhưng chưa bao giờ phê chuẩn. Là quốc gia không phải thành viên</w:t>
      </w:r>
      <w:r>
        <w:rPr>
          <w:rFonts w:ascii="Times New Roman" w:hAnsi="Times New Roman" w:cs="Times New Roman"/>
          <w:sz w:val="26"/>
          <w:szCs w:val="26"/>
        </w:rPr>
        <w:t xml:space="preserve"> của UNCLOS nên</w:t>
      </w:r>
      <w:r w:rsidRPr="003C2982">
        <w:rPr>
          <w:rFonts w:ascii="Times New Roman" w:hAnsi="Times New Roman" w:cs="Times New Roman"/>
          <w:sz w:val="26"/>
          <w:szCs w:val="26"/>
        </w:rPr>
        <w:t xml:space="preserve"> Iran không bị ràng buộc chính thức bởi các quy định của công ước</w:t>
      </w:r>
      <w:r>
        <w:rPr>
          <w:rFonts w:ascii="Times New Roman" w:hAnsi="Times New Roman" w:cs="Times New Roman"/>
          <w:sz w:val="26"/>
          <w:szCs w:val="26"/>
        </w:rPr>
        <w:t xml:space="preserve"> này</w:t>
      </w:r>
      <w:r w:rsidRPr="003C2982">
        <w:rPr>
          <w:rFonts w:ascii="Times New Roman" w:hAnsi="Times New Roman" w:cs="Times New Roman"/>
          <w:sz w:val="26"/>
          <w:szCs w:val="26"/>
        </w:rPr>
        <w:t xml:space="preserve">, mặc dù nhiều nguyên tắc cốt lõi (bao gồm quyền quá cảnh qua eo biển quốc tế) được xem là </w:t>
      </w:r>
      <w:r>
        <w:rPr>
          <w:rFonts w:ascii="Times New Roman" w:hAnsi="Times New Roman" w:cs="Times New Roman"/>
          <w:sz w:val="26"/>
          <w:szCs w:val="26"/>
        </w:rPr>
        <w:t xml:space="preserve">một </w:t>
      </w:r>
      <w:r w:rsidRPr="003C2982">
        <w:rPr>
          <w:rFonts w:ascii="Times New Roman" w:hAnsi="Times New Roman" w:cs="Times New Roman"/>
          <w:sz w:val="26"/>
          <w:szCs w:val="26"/>
        </w:rPr>
        <w:t xml:space="preserve">tập quán pháp quốc tế. </w:t>
      </w:r>
    </w:p>
    <w:p w14:paraId="6B823BD4" w14:textId="77777777" w:rsidR="003C2982" w:rsidRPr="003C2982" w:rsidRDefault="003C2982" w:rsidP="003C2982">
      <w:pPr>
        <w:numPr>
          <w:ilvl w:val="0"/>
          <w:numId w:val="6"/>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lastRenderedPageBreak/>
        <w:t>Thổ Nhĩ Kỳ</w:t>
      </w:r>
      <w:r w:rsidRPr="003C2982">
        <w:rPr>
          <w:rFonts w:ascii="Times New Roman" w:hAnsi="Times New Roman" w:cs="Times New Roman"/>
          <w:sz w:val="26"/>
          <w:szCs w:val="26"/>
        </w:rPr>
        <w:t xml:space="preserve"> không ký cũng không phê chuẩn UNCLOS, chủ yếu do các tranh chấp lâu dài tại biển Aegean. Việc quản lý các eo biển của nước này chủ yếu dựa trên Công ước Montreux năm 1936. </w:t>
      </w:r>
    </w:p>
    <w:p w14:paraId="7E3E2CB9" w14:textId="70313212" w:rsidR="003C2982" w:rsidRPr="003C2982" w:rsidRDefault="003C2982" w:rsidP="003C2982">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 xml:space="preserve">Việc phân loại một tuyến đường thủy là nhân tạo hay tự nhiên sẽ quyết định trực tiếp mức độ mà quốc gia ven biển có thể áp đặt phí đối với </w:t>
      </w:r>
      <w:r>
        <w:rPr>
          <w:rFonts w:ascii="Times New Roman" w:hAnsi="Times New Roman" w:cs="Times New Roman"/>
          <w:sz w:val="26"/>
          <w:szCs w:val="26"/>
        </w:rPr>
        <w:t xml:space="preserve">các </w:t>
      </w:r>
      <w:r w:rsidRPr="003C2982">
        <w:rPr>
          <w:rFonts w:ascii="Times New Roman" w:hAnsi="Times New Roman" w:cs="Times New Roman"/>
          <w:sz w:val="26"/>
          <w:szCs w:val="26"/>
        </w:rPr>
        <w:t>tàu thuyền đi qua.</w:t>
      </w:r>
    </w:p>
    <w:p w14:paraId="5B8267B8" w14:textId="77777777" w:rsidR="003C2982" w:rsidRPr="003C2982" w:rsidRDefault="003C2982" w:rsidP="003C2982">
      <w:pPr>
        <w:spacing w:before="120" w:after="120"/>
        <w:jc w:val="both"/>
        <w:rPr>
          <w:rFonts w:ascii="Times New Roman" w:hAnsi="Times New Roman" w:cs="Times New Roman"/>
          <w:b/>
          <w:bCs/>
          <w:sz w:val="26"/>
          <w:szCs w:val="26"/>
        </w:rPr>
      </w:pPr>
      <w:r w:rsidRPr="003C2982">
        <w:rPr>
          <w:rFonts w:ascii="Times New Roman" w:hAnsi="Times New Roman" w:cs="Times New Roman"/>
          <w:b/>
          <w:bCs/>
          <w:sz w:val="26"/>
          <w:szCs w:val="26"/>
        </w:rPr>
        <w:t>Kênh đào nhân tạo: Tài sản hạ tầng và cơ chế thu phí hợp pháp</w:t>
      </w:r>
    </w:p>
    <w:p w14:paraId="34D1F62E" w14:textId="0096A91A" w:rsidR="003C2982" w:rsidRPr="003C2982" w:rsidRDefault="003C2982" w:rsidP="003C2982">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 xml:space="preserve">Kênh đào nhân tạo là các tuyến đường thủy do con người xây dựng nhằm rút ngắn hành trình giữa các vùng nước lớn. Việc xây dựng đòi hỏi vốn đầu tư khổng lồ, bảo trì liên tục (bao gồm nạo vét), hệ thống kỹ thuật phức tạp như âu tàu, và vận hành liên tục. Luật quốc tế xem đây là công trình hạ tầng thuộc chủ quyền quốc gia, không phải tuyến đường tự nhiên </w:t>
      </w:r>
      <w:r>
        <w:rPr>
          <w:rFonts w:ascii="Times New Roman" w:hAnsi="Times New Roman" w:cs="Times New Roman"/>
          <w:sz w:val="26"/>
          <w:szCs w:val="26"/>
        </w:rPr>
        <w:t xml:space="preserve">được </w:t>
      </w:r>
      <w:r w:rsidRPr="003C2982">
        <w:rPr>
          <w:rFonts w:ascii="Times New Roman" w:hAnsi="Times New Roman" w:cs="Times New Roman"/>
          <w:sz w:val="26"/>
          <w:szCs w:val="26"/>
        </w:rPr>
        <w:t>dùng chung.</w:t>
      </w:r>
    </w:p>
    <w:p w14:paraId="75DE119C" w14:textId="77777777" w:rsidR="003C2982" w:rsidRPr="003C2982" w:rsidRDefault="003C2982" w:rsidP="003C2982">
      <w:pPr>
        <w:numPr>
          <w:ilvl w:val="0"/>
          <w:numId w:val="7"/>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t>Quyền thu phí:</w:t>
      </w:r>
      <w:r w:rsidRPr="003C2982">
        <w:rPr>
          <w:rFonts w:ascii="Times New Roman" w:hAnsi="Times New Roman" w:cs="Times New Roman"/>
          <w:sz w:val="26"/>
          <w:szCs w:val="26"/>
        </w:rPr>
        <w:t xml:space="preserve"> Quốc gia có chủ quyền hoàn toàn có quyền thu phí quá cảnh (ví dụ: Ai Cập với kênh đào Suez, Panama với kênh đào Panama). </w:t>
      </w:r>
    </w:p>
    <w:p w14:paraId="635671C6" w14:textId="77777777" w:rsidR="003C2982" w:rsidRPr="003C2982" w:rsidRDefault="003C2982" w:rsidP="003C2982">
      <w:pPr>
        <w:numPr>
          <w:ilvl w:val="0"/>
          <w:numId w:val="7"/>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t>Cơ sở pháp lý:</w:t>
      </w:r>
      <w:r w:rsidRPr="003C2982">
        <w:rPr>
          <w:rFonts w:ascii="Times New Roman" w:hAnsi="Times New Roman" w:cs="Times New Roman"/>
          <w:sz w:val="26"/>
          <w:szCs w:val="26"/>
        </w:rPr>
        <w:t xml:space="preserve"> Các khoản phí này được coi là thanh toán cho dịch vụ cung cấp và chi phí xây dựng, bảo trì — tương tự phí đường bộ hoặc cầu. </w:t>
      </w:r>
    </w:p>
    <w:p w14:paraId="0657AC8C" w14:textId="6DDD37DA" w:rsidR="003C2982" w:rsidRPr="003C2982" w:rsidRDefault="003C2982" w:rsidP="003C2982">
      <w:pPr>
        <w:numPr>
          <w:ilvl w:val="0"/>
          <w:numId w:val="7"/>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t>Ý nghĩa kinh tế:</w:t>
      </w:r>
      <w:r w:rsidRPr="003C2982">
        <w:rPr>
          <w:rFonts w:ascii="Times New Roman" w:hAnsi="Times New Roman" w:cs="Times New Roman"/>
          <w:sz w:val="26"/>
          <w:szCs w:val="26"/>
        </w:rPr>
        <w:t xml:space="preserve"> Đối với Ai Cập, doanh thu từ kênh đào Suez là nguồn thu quan trọng, mang lại hàng tỷ USD mỗi năm và đóng vai trò then chốt trong nền kinh tế</w:t>
      </w:r>
      <w:r w:rsidR="00CD61DA">
        <w:rPr>
          <w:rFonts w:ascii="Times New Roman" w:hAnsi="Times New Roman" w:cs="Times New Roman"/>
          <w:sz w:val="26"/>
          <w:szCs w:val="26"/>
        </w:rPr>
        <w:t xml:space="preserve"> của nước này</w:t>
      </w:r>
      <w:r w:rsidRPr="003C2982">
        <w:rPr>
          <w:rFonts w:ascii="Times New Roman" w:hAnsi="Times New Roman" w:cs="Times New Roman"/>
          <w:sz w:val="26"/>
          <w:szCs w:val="26"/>
        </w:rPr>
        <w:t xml:space="preserve">. </w:t>
      </w:r>
    </w:p>
    <w:p w14:paraId="6C8334BF" w14:textId="77777777" w:rsidR="003C2982" w:rsidRPr="003C2982" w:rsidRDefault="003C2982" w:rsidP="003C2982">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Vì là sản phẩm của đầu tư và kỹ thuật, UNCLOS và tập quán quốc tế cho phép quốc gia sở hữu có quyền rộng rãi trong việc đặt và thu phí hợp lý.</w:t>
      </w:r>
    </w:p>
    <w:p w14:paraId="0377C747" w14:textId="1590E92B" w:rsidR="003C2982" w:rsidRPr="003C2982" w:rsidRDefault="00CD61DA" w:rsidP="003C2982">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 xml:space="preserve">Các </w:t>
      </w:r>
      <w:r w:rsidR="003C2982" w:rsidRPr="003C2982">
        <w:rPr>
          <w:rFonts w:ascii="Times New Roman" w:hAnsi="Times New Roman" w:cs="Times New Roman"/>
          <w:b/>
          <w:bCs/>
          <w:sz w:val="26"/>
          <w:szCs w:val="26"/>
        </w:rPr>
        <w:t>Eo biển tự nhiên: Tuyến hàng hải quốc tế và quyền quá cảnh</w:t>
      </w:r>
    </w:p>
    <w:p w14:paraId="2524AB57" w14:textId="77777777" w:rsidR="003C2982" w:rsidRPr="003C2982" w:rsidRDefault="003C2982" w:rsidP="003C2982">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Ngược lại, eo biển là các tuyến hẹp tự nhiên nối hai vùng nước lớn và được sử dụng cho hàng hải quốc tế. Chúng tồn tại trước các quốc gia hiện đại và được coi là tài sản chung của cộng đồng hàng hải toàn cầu.</w:t>
      </w:r>
    </w:p>
    <w:p w14:paraId="0ACDDE97" w14:textId="77777777" w:rsidR="003C2982" w:rsidRPr="003C2982" w:rsidRDefault="003C2982" w:rsidP="003C2982">
      <w:pPr>
        <w:numPr>
          <w:ilvl w:val="0"/>
          <w:numId w:val="8"/>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t>Quyền thu phí:</w:t>
      </w:r>
      <w:r w:rsidRPr="003C2982">
        <w:rPr>
          <w:rFonts w:ascii="Times New Roman" w:hAnsi="Times New Roman" w:cs="Times New Roman"/>
          <w:sz w:val="26"/>
          <w:szCs w:val="26"/>
        </w:rPr>
        <w:t xml:space="preserve"> Theo UNCLOS, quốc gia ven biển </w:t>
      </w:r>
      <w:r w:rsidRPr="003C2982">
        <w:rPr>
          <w:rFonts w:ascii="Times New Roman" w:hAnsi="Times New Roman" w:cs="Times New Roman"/>
          <w:b/>
          <w:bCs/>
          <w:sz w:val="26"/>
          <w:szCs w:val="26"/>
        </w:rPr>
        <w:t>không được áp đặt phí chung</w:t>
      </w:r>
      <w:r w:rsidRPr="003C2982">
        <w:rPr>
          <w:rFonts w:ascii="Times New Roman" w:hAnsi="Times New Roman" w:cs="Times New Roman"/>
          <w:sz w:val="26"/>
          <w:szCs w:val="26"/>
        </w:rPr>
        <w:t xml:space="preserve"> đối với tàu chỉ đơn thuần đi qua. </w:t>
      </w:r>
    </w:p>
    <w:p w14:paraId="16E100F7" w14:textId="77777777" w:rsidR="003C2982" w:rsidRPr="003C2982" w:rsidRDefault="003C2982" w:rsidP="003C2982">
      <w:pPr>
        <w:numPr>
          <w:ilvl w:val="0"/>
          <w:numId w:val="8"/>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t>Quyền quá cảnh:</w:t>
      </w:r>
      <w:r w:rsidRPr="003C2982">
        <w:rPr>
          <w:rFonts w:ascii="Times New Roman" w:hAnsi="Times New Roman" w:cs="Times New Roman"/>
          <w:sz w:val="26"/>
          <w:szCs w:val="26"/>
        </w:rPr>
        <w:t xml:space="preserve"> Phần III của UNCLOS quy định tàu và máy bay có quyền “quá cảnh” liên tục, nhanh chóng, không bị cản trở, đình chỉ hoặc đánh thuế chỉ vì việc đi qua. Quốc gia ven biển vẫn có quyền quản lý về an toàn, môi trường… và có thể thu phí cho dịch vụ cụ thể (hoa tiêu, cứu hộ…), nhưng không được thu phí cho việc quá cảnh đơn thuần. </w:t>
      </w:r>
    </w:p>
    <w:p w14:paraId="50EEC51B" w14:textId="77777777" w:rsidR="003C2982" w:rsidRDefault="003C2982" w:rsidP="003C2982">
      <w:pPr>
        <w:numPr>
          <w:ilvl w:val="0"/>
          <w:numId w:val="8"/>
        </w:numPr>
        <w:spacing w:before="120" w:after="120"/>
        <w:jc w:val="both"/>
        <w:rPr>
          <w:rFonts w:ascii="Times New Roman" w:hAnsi="Times New Roman" w:cs="Times New Roman"/>
          <w:sz w:val="26"/>
          <w:szCs w:val="26"/>
        </w:rPr>
      </w:pPr>
      <w:r w:rsidRPr="003C2982">
        <w:rPr>
          <w:rFonts w:ascii="Times New Roman" w:hAnsi="Times New Roman" w:cs="Times New Roman"/>
          <w:b/>
          <w:bCs/>
          <w:sz w:val="26"/>
          <w:szCs w:val="26"/>
        </w:rPr>
        <w:t>Ví dụ điển hình:</w:t>
      </w:r>
      <w:r w:rsidRPr="003C2982">
        <w:rPr>
          <w:rFonts w:ascii="Times New Roman" w:hAnsi="Times New Roman" w:cs="Times New Roman"/>
          <w:sz w:val="26"/>
          <w:szCs w:val="26"/>
        </w:rPr>
        <w:t xml:space="preserve"> eo Hormuz, eo Malacca, eo Gibraltar, eo Bab el-Mandeb. </w:t>
      </w:r>
    </w:p>
    <w:p w14:paraId="5EBF700B" w14:textId="77777777" w:rsidR="00CD61DA" w:rsidRPr="003C2982" w:rsidRDefault="00CD61DA" w:rsidP="00CD61DA">
      <w:pPr>
        <w:spacing w:before="120" w:after="120"/>
        <w:ind w:left="720"/>
        <w:jc w:val="both"/>
        <w:rPr>
          <w:rFonts w:ascii="Times New Roman" w:hAnsi="Times New Roman" w:cs="Times New Roman"/>
          <w:sz w:val="26"/>
          <w:szCs w:val="26"/>
        </w:rPr>
      </w:pPr>
    </w:p>
    <w:p w14:paraId="4B91C6CC" w14:textId="11FA1B86" w:rsidR="003C2982" w:rsidRPr="003C2982" w:rsidRDefault="003C2982" w:rsidP="003C2982">
      <w:r w:rsidRPr="003C2982">
        <w:lastRenderedPageBreak/>
        <w:drawing>
          <wp:inline distT="0" distB="0" distL="0" distR="0" wp14:anchorId="62961D39" wp14:editId="3C270885">
            <wp:extent cx="5943600" cy="3510280"/>
            <wp:effectExtent l="0" t="0" r="0" b="0"/>
            <wp:docPr id="746208925" name="Picture 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10280"/>
                    </a:xfrm>
                    <a:prstGeom prst="rect">
                      <a:avLst/>
                    </a:prstGeom>
                    <a:noFill/>
                    <a:ln>
                      <a:noFill/>
                    </a:ln>
                  </pic:spPr>
                </pic:pic>
              </a:graphicData>
            </a:graphic>
          </wp:inline>
        </w:drawing>
      </w:r>
    </w:p>
    <w:p w14:paraId="6478E676" w14:textId="77777777" w:rsidR="00CD61DA" w:rsidRPr="003C2982" w:rsidRDefault="00CD61DA" w:rsidP="00CD61DA">
      <w:pPr>
        <w:spacing w:before="120" w:after="120"/>
        <w:jc w:val="both"/>
        <w:rPr>
          <w:rFonts w:ascii="Times New Roman" w:hAnsi="Times New Roman" w:cs="Times New Roman"/>
          <w:b/>
          <w:bCs/>
          <w:sz w:val="26"/>
          <w:szCs w:val="26"/>
        </w:rPr>
      </w:pPr>
      <w:r w:rsidRPr="003C2982">
        <w:rPr>
          <w:rFonts w:ascii="Times New Roman" w:hAnsi="Times New Roman" w:cs="Times New Roman"/>
          <w:b/>
          <w:bCs/>
          <w:sz w:val="26"/>
          <w:szCs w:val="26"/>
        </w:rPr>
        <w:t>Eo biển Hormuz: Giới hạn pháp lý đối với yêu sách của Iran</w:t>
      </w:r>
    </w:p>
    <w:p w14:paraId="0D2E2DDD" w14:textId="77777777" w:rsidR="00CD61DA" w:rsidRPr="003C2982" w:rsidRDefault="00CD61DA" w:rsidP="00CD61DA">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Những tuyên bố gần đây của Iran về khả năng áp phí quá cảnh tại eo Hormuz đã gây lo ngại cho thị trường năng lượng toàn cầu. Dù Iran chưa phê chuẩn UNCLOS, nhiều chuyên gia pháp lý cho rằng việc áp phí chung vẫn vi phạm nguyên tắc tập quán quốc tế về tự do hàng hải.</w:t>
      </w:r>
    </w:p>
    <w:p w14:paraId="3FA22777" w14:textId="77777777" w:rsidR="00CD61DA" w:rsidRPr="003C2982" w:rsidRDefault="00CD61DA" w:rsidP="00CD61DA">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Eo Hormuz là một eo biển quốc tế điển hình, nơi trung chuyển khoảng 20% lượng dầu và khí tự nhiên hóa lỏng toàn cầu. Bất kỳ nỗ lực đơn phương nào nhằm thu phí chỉ vì việc đi qua đều có thể bị xem là hành vi cản trở quyền hàng hải quốc tế và có thể dẫn đến tranh chấp ngoại giao và pháp lý nghiêm trọng.</w:t>
      </w:r>
    </w:p>
    <w:p w14:paraId="4AD0D234" w14:textId="77777777" w:rsidR="00CD61DA" w:rsidRPr="003C2982" w:rsidRDefault="00CD61DA" w:rsidP="00CD61DA">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 xml:space="preserve">Tuy nhiên, quốc gia ven biển có thể thu phí cho các dịch vụ cụ thể như tìm kiếm cứu nạn, hỗ trợ hàng hải hoặc bảo vệ môi trường — với điều kiện phí </w:t>
      </w:r>
      <w:r>
        <w:rPr>
          <w:rFonts w:ascii="Times New Roman" w:hAnsi="Times New Roman" w:cs="Times New Roman"/>
          <w:sz w:val="26"/>
          <w:szCs w:val="26"/>
        </w:rPr>
        <w:t xml:space="preserve">này là </w:t>
      </w:r>
      <w:r w:rsidRPr="003C2982">
        <w:rPr>
          <w:rFonts w:ascii="Times New Roman" w:hAnsi="Times New Roman" w:cs="Times New Roman"/>
          <w:sz w:val="26"/>
          <w:szCs w:val="26"/>
        </w:rPr>
        <w:t>hợp lý và không phân biệt đối xử.</w:t>
      </w:r>
    </w:p>
    <w:p w14:paraId="481CE3CA" w14:textId="77777777" w:rsidR="00CD61DA" w:rsidRPr="003C2982" w:rsidRDefault="00CD61DA" w:rsidP="00CD61DA">
      <w:pPr>
        <w:spacing w:before="120" w:after="120"/>
        <w:jc w:val="both"/>
        <w:rPr>
          <w:rFonts w:ascii="Times New Roman" w:hAnsi="Times New Roman" w:cs="Times New Roman"/>
          <w:b/>
          <w:bCs/>
          <w:sz w:val="26"/>
          <w:szCs w:val="26"/>
        </w:rPr>
      </w:pPr>
      <w:r w:rsidRPr="003C2982">
        <w:rPr>
          <w:rFonts w:ascii="Times New Roman" w:hAnsi="Times New Roman" w:cs="Times New Roman"/>
          <w:b/>
          <w:bCs/>
          <w:sz w:val="26"/>
          <w:szCs w:val="26"/>
        </w:rPr>
        <w:t>Các eo biển Thổ Nhĩ Kỳ: Cơ chế đặc biệt theo Công ước Montreux</w:t>
      </w:r>
    </w:p>
    <w:p w14:paraId="175BA07D" w14:textId="77777777" w:rsidR="00CD61DA" w:rsidRPr="003C2982" w:rsidRDefault="00CD61DA" w:rsidP="00CD61DA">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 xml:space="preserve">Các eo biển </w:t>
      </w:r>
      <w:r>
        <w:rPr>
          <w:rFonts w:ascii="Times New Roman" w:hAnsi="Times New Roman" w:cs="Times New Roman"/>
          <w:sz w:val="26"/>
          <w:szCs w:val="26"/>
        </w:rPr>
        <w:t xml:space="preserve">ở </w:t>
      </w:r>
      <w:r w:rsidRPr="003C2982">
        <w:rPr>
          <w:rFonts w:ascii="Times New Roman" w:hAnsi="Times New Roman" w:cs="Times New Roman"/>
          <w:sz w:val="26"/>
          <w:szCs w:val="26"/>
        </w:rPr>
        <w:t xml:space="preserve">Thổ Nhĩ Kỳ (Bosporus và Dardanelles) có vị trí đặc biệt trong luật hàng hải quốc tế. Do Thổ Nhĩ Kỳ không tham gia UNCLOS, việc quản lý được điều chỉnh chủ yếu bởi Công ước Montreux năm 1936, cho phép nước này có quyền điều tiết nhất định nhưng vẫn bảo đảm tự do lưu thông cho </w:t>
      </w:r>
      <w:r>
        <w:rPr>
          <w:rFonts w:ascii="Times New Roman" w:hAnsi="Times New Roman" w:cs="Times New Roman"/>
          <w:sz w:val="26"/>
          <w:szCs w:val="26"/>
        </w:rPr>
        <w:t xml:space="preserve">các </w:t>
      </w:r>
      <w:r w:rsidRPr="003C2982">
        <w:rPr>
          <w:rFonts w:ascii="Times New Roman" w:hAnsi="Times New Roman" w:cs="Times New Roman"/>
          <w:sz w:val="26"/>
          <w:szCs w:val="26"/>
        </w:rPr>
        <w:t>tàu thương mại.</w:t>
      </w:r>
    </w:p>
    <w:p w14:paraId="3128A8AA" w14:textId="77777777" w:rsidR="00CD61DA" w:rsidRPr="003C2982" w:rsidRDefault="00CD61DA" w:rsidP="00CD61DA">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t>Trong lịch sử, Thổ Nhĩ Kỳ chỉ thu các khoản phí nhỏ cho dịch vụ cụ thể như kiểm dịch, bảo trì hải đăng, và cứu hộ. Tuy nhiên, gần đây Ankara phát tín hiệu có thể tăng phí hoặc mở rộng các loại phí khi tàu đi qua Dardanelles, với lý do chi phí tăng cao liên quan đến an toàn hàng hải, quản lý giao thông, bảo vệ môi trường và nâng cấp hạ tầng tại khu vực đông đúc và nhạy cảm chiến lược này.</w:t>
      </w:r>
    </w:p>
    <w:p w14:paraId="7FDB3FA5" w14:textId="77777777" w:rsidR="00CD61DA" w:rsidRDefault="00CD61DA" w:rsidP="00CD61DA">
      <w:pPr>
        <w:spacing w:before="120" w:after="120"/>
        <w:jc w:val="both"/>
        <w:rPr>
          <w:rFonts w:ascii="Times New Roman" w:hAnsi="Times New Roman" w:cs="Times New Roman"/>
          <w:sz w:val="26"/>
          <w:szCs w:val="26"/>
        </w:rPr>
      </w:pPr>
      <w:r w:rsidRPr="003C2982">
        <w:rPr>
          <w:rFonts w:ascii="Times New Roman" w:hAnsi="Times New Roman" w:cs="Times New Roman"/>
          <w:sz w:val="26"/>
          <w:szCs w:val="26"/>
        </w:rPr>
        <w:lastRenderedPageBreak/>
        <w:t>Diễn biến này có thể đánh dấu sự thay đổi trong cơ chế Montreux và đang được cộng đồng vận tải biển quốc tế theo dõi sát sao. Bất kỳ sự gia tăng đáng kể nào về phí vẫn phải phù hợp với công ước và các nguyên tắc chung của luật quốc tế.</w:t>
      </w:r>
    </w:p>
    <w:p w14:paraId="09A7466A" w14:textId="77777777" w:rsidR="00CD61DA" w:rsidRPr="00CD61DA" w:rsidRDefault="00CD61DA" w:rsidP="00CD61DA">
      <w:pPr>
        <w:spacing w:before="120" w:after="120"/>
        <w:jc w:val="both"/>
        <w:rPr>
          <w:rFonts w:ascii="Times New Roman" w:hAnsi="Times New Roman" w:cs="Times New Roman"/>
          <w:color w:val="0070C0"/>
          <w:sz w:val="26"/>
          <w:szCs w:val="26"/>
        </w:rPr>
      </w:pPr>
      <w:r w:rsidRPr="00CD61DA">
        <w:rPr>
          <w:rFonts w:ascii="Times New Roman" w:hAnsi="Times New Roman" w:cs="Times New Roman"/>
          <w:b/>
          <w:bCs/>
          <w:color w:val="0070C0"/>
          <w:sz w:val="26"/>
          <w:szCs w:val="26"/>
        </w:rPr>
        <w:t>Công ước Montreux về chế độ các eo biển (1936)</w:t>
      </w:r>
    </w:p>
    <w:p w14:paraId="71450F85" w14:textId="0BA415A1" w:rsidR="00CD61DA" w:rsidRPr="00CD61DA" w:rsidRDefault="00CD61DA" w:rsidP="00CD61DA">
      <w:p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Công ước Montreux là một hiệp ước đa phương được ký ngày 20 tháng 7 năm 1936 tại Montreux, Thụy Sĩ và có hiệu lực từ ngày 9 tháng 11 năm 1936. Đây vẫn là công cụ pháp lý chủ yếu điều chỉnh việc tàu thuyền đi qua các eo biển của Thổ Nhĩ Kỳ</w:t>
      </w:r>
      <w:r w:rsidRPr="00CD61DA">
        <w:rPr>
          <w:rFonts w:ascii="Times New Roman" w:hAnsi="Times New Roman" w:cs="Times New Roman"/>
          <w:color w:val="0070C0"/>
          <w:sz w:val="26"/>
          <w:szCs w:val="26"/>
        </w:rPr>
        <w:t>,</w:t>
      </w:r>
      <w:r w:rsidRPr="00CD61DA">
        <w:rPr>
          <w:rFonts w:ascii="Times New Roman" w:hAnsi="Times New Roman" w:cs="Times New Roman"/>
          <w:color w:val="0070C0"/>
          <w:sz w:val="26"/>
          <w:szCs w:val="26"/>
        </w:rPr>
        <w:t xml:space="preserve"> bao gồm Bosporus, biển Marmara và Dardanelles nối Biển Đen với Địa Trung Hải.</w:t>
      </w:r>
    </w:p>
    <w:p w14:paraId="74556CE4" w14:textId="77777777" w:rsidR="00CD61DA" w:rsidRPr="00CD61DA" w:rsidRDefault="00CD61DA" w:rsidP="00CD61DA">
      <w:pPr>
        <w:spacing w:before="120" w:after="120"/>
        <w:jc w:val="both"/>
        <w:rPr>
          <w:rFonts w:ascii="Times New Roman" w:hAnsi="Times New Roman" w:cs="Times New Roman"/>
          <w:b/>
          <w:bCs/>
          <w:color w:val="0070C0"/>
          <w:sz w:val="26"/>
          <w:szCs w:val="26"/>
        </w:rPr>
      </w:pPr>
      <w:r w:rsidRPr="00CD61DA">
        <w:rPr>
          <w:rFonts w:ascii="Times New Roman" w:hAnsi="Times New Roman" w:cs="Times New Roman"/>
          <w:b/>
          <w:bCs/>
          <w:color w:val="0070C0"/>
          <w:sz w:val="26"/>
          <w:szCs w:val="26"/>
        </w:rPr>
        <w:t>Bối cảnh lịch sử</w:t>
      </w:r>
    </w:p>
    <w:p w14:paraId="0C3F6EC1" w14:textId="77777777" w:rsidR="00CD61DA" w:rsidRPr="00CD61DA" w:rsidRDefault="00CD61DA" w:rsidP="00CD61DA">
      <w:p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Sau Hiệp ước Lausanne (1923), theo đó các eo biển bị phi quân sự hóa và đặt dưới sự quản lý của một ủy ban quốc tế, Thổ Nhĩ Kỳ đã tìm cách khôi phục hoàn toàn chủ quyền và quyền củng cố phòng thủ khu vực này trong bối cảnh căng thẳng địa chính trị gia tăng vào thập niên 1930.</w:t>
      </w:r>
    </w:p>
    <w:p w14:paraId="78888DCB" w14:textId="77777777" w:rsidR="00CD61DA" w:rsidRPr="00CD61DA" w:rsidRDefault="00CD61DA" w:rsidP="00CD61DA">
      <w:p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Công ước Montreux đã thay thế cơ chế Lausanne trước đó, bãi bỏ Ủy ban Eo biển Quốc tế và khôi phục quyền kiểm soát cho Thổ Nhĩ Kỳ, đồng thời thiết lập một hệ thống quy định chi tiết về hàng hải. Công ước được ký bởi Thổ Nhĩ Kỳ, Liên Xô, Vương quốc Anh, Pháp, Bulgaria, Hy Lạp, Romania, Nam Tư và Nhật Bản (một số bên có bảo lưu).</w:t>
      </w:r>
    </w:p>
    <w:p w14:paraId="119076F5" w14:textId="77777777" w:rsidR="00CD61DA" w:rsidRPr="00CD61DA" w:rsidRDefault="00CD61DA" w:rsidP="00CD61DA">
      <w:pPr>
        <w:spacing w:before="120" w:after="120"/>
        <w:jc w:val="both"/>
        <w:rPr>
          <w:rFonts w:ascii="Times New Roman" w:hAnsi="Times New Roman" w:cs="Times New Roman"/>
          <w:b/>
          <w:bCs/>
          <w:color w:val="0070C0"/>
          <w:sz w:val="26"/>
          <w:szCs w:val="26"/>
        </w:rPr>
      </w:pPr>
      <w:r w:rsidRPr="00CD61DA">
        <w:rPr>
          <w:rFonts w:ascii="Times New Roman" w:hAnsi="Times New Roman" w:cs="Times New Roman"/>
          <w:b/>
          <w:bCs/>
          <w:color w:val="0070C0"/>
          <w:sz w:val="26"/>
          <w:szCs w:val="26"/>
        </w:rPr>
        <w:t>Nguyên tắc cốt lõi</w:t>
      </w:r>
    </w:p>
    <w:p w14:paraId="6E304A33" w14:textId="77777777" w:rsidR="00CD61DA" w:rsidRPr="00CD61DA" w:rsidRDefault="00CD61DA" w:rsidP="00CD61DA">
      <w:p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Công ước tái khẳng định nguyên tắc tự do quá cảnh và hàng hải qua các eo biển cho tất cả các quốc gia, đồng thời cân bằng với lợi ích an ninh của Thổ Nhĩ Kỳ và các quốc gia ven Biển Đen.</w:t>
      </w:r>
    </w:p>
    <w:p w14:paraId="02FDD28A" w14:textId="1EA289C1" w:rsidR="00CD61DA" w:rsidRPr="00CD61DA" w:rsidRDefault="00CD61DA" w:rsidP="00CD61DA">
      <w:p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Công ước phân biệt rõ</w:t>
      </w:r>
      <w:r w:rsidRPr="00CD61DA">
        <w:rPr>
          <w:rFonts w:ascii="Times New Roman" w:hAnsi="Times New Roman" w:cs="Times New Roman"/>
          <w:color w:val="0070C0"/>
          <w:sz w:val="26"/>
          <w:szCs w:val="26"/>
        </w:rPr>
        <w:t xml:space="preserve"> g</w:t>
      </w:r>
      <w:r w:rsidRPr="00CD61DA">
        <w:rPr>
          <w:rFonts w:ascii="Times New Roman" w:hAnsi="Times New Roman" w:cs="Times New Roman"/>
          <w:color w:val="0070C0"/>
          <w:sz w:val="26"/>
          <w:szCs w:val="26"/>
        </w:rPr>
        <w:t xml:space="preserve">iữa </w:t>
      </w:r>
      <w:r w:rsidRPr="00CD61DA">
        <w:rPr>
          <w:rFonts w:ascii="Times New Roman" w:hAnsi="Times New Roman" w:cs="Times New Roman"/>
          <w:b/>
          <w:bCs/>
          <w:color w:val="0070C0"/>
          <w:sz w:val="26"/>
          <w:szCs w:val="26"/>
        </w:rPr>
        <w:t>tàu thương mại và tàu quân sự</w:t>
      </w:r>
      <w:r w:rsidRPr="00CD61DA">
        <w:rPr>
          <w:rFonts w:ascii="Times New Roman" w:hAnsi="Times New Roman" w:cs="Times New Roman"/>
          <w:color w:val="0070C0"/>
          <w:sz w:val="26"/>
          <w:szCs w:val="26"/>
        </w:rPr>
        <w:t xml:space="preserve"> </w:t>
      </w:r>
      <w:r w:rsidRPr="00CD61DA">
        <w:rPr>
          <w:rFonts w:ascii="Times New Roman" w:hAnsi="Times New Roman" w:cs="Times New Roman"/>
          <w:color w:val="0070C0"/>
          <w:sz w:val="26"/>
          <w:szCs w:val="26"/>
        </w:rPr>
        <w:t>và g</w:t>
      </w:r>
      <w:r w:rsidRPr="00CD61DA">
        <w:rPr>
          <w:rFonts w:ascii="Times New Roman" w:hAnsi="Times New Roman" w:cs="Times New Roman"/>
          <w:color w:val="0070C0"/>
          <w:sz w:val="26"/>
          <w:szCs w:val="26"/>
        </w:rPr>
        <w:t xml:space="preserve">iữa </w:t>
      </w:r>
      <w:r w:rsidRPr="00CD61DA">
        <w:rPr>
          <w:rFonts w:ascii="Times New Roman" w:hAnsi="Times New Roman" w:cs="Times New Roman"/>
          <w:b/>
          <w:bCs/>
          <w:color w:val="0070C0"/>
          <w:sz w:val="26"/>
          <w:szCs w:val="26"/>
        </w:rPr>
        <w:t>thời bình và thời chiến</w:t>
      </w:r>
      <w:r w:rsidRPr="00CD61DA">
        <w:rPr>
          <w:rFonts w:ascii="Times New Roman" w:hAnsi="Times New Roman" w:cs="Times New Roman"/>
          <w:color w:val="0070C0"/>
          <w:sz w:val="26"/>
          <w:szCs w:val="26"/>
        </w:rPr>
        <w:t xml:space="preserve"> </w:t>
      </w:r>
    </w:p>
    <w:p w14:paraId="585FB5EE" w14:textId="77777777" w:rsidR="00CD61DA" w:rsidRPr="00CD61DA" w:rsidRDefault="00CD61DA" w:rsidP="00CD61DA">
      <w:pPr>
        <w:spacing w:before="120" w:after="120"/>
        <w:jc w:val="both"/>
        <w:rPr>
          <w:rFonts w:ascii="Times New Roman" w:hAnsi="Times New Roman" w:cs="Times New Roman"/>
          <w:b/>
          <w:bCs/>
          <w:color w:val="0070C0"/>
          <w:sz w:val="26"/>
          <w:szCs w:val="26"/>
        </w:rPr>
      </w:pPr>
      <w:r w:rsidRPr="00CD61DA">
        <w:rPr>
          <w:rFonts w:ascii="Times New Roman" w:hAnsi="Times New Roman" w:cs="Times New Roman"/>
          <w:b/>
          <w:bCs/>
          <w:color w:val="0070C0"/>
          <w:sz w:val="26"/>
          <w:szCs w:val="26"/>
        </w:rPr>
        <w:t>Các quy định chính đối với tàu thương mại (vận tải thương mại)</w:t>
      </w:r>
    </w:p>
    <w:p w14:paraId="6AD33E2E" w14:textId="77777777" w:rsidR="00CD61DA" w:rsidRPr="00CD61DA" w:rsidRDefault="00CD61DA" w:rsidP="00CD61DA">
      <w:pPr>
        <w:numPr>
          <w:ilvl w:val="0"/>
          <w:numId w:val="10"/>
        </w:num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 xml:space="preserve">Tàu thương mại được tự do hoàn toàn trong việc qua lại và hàng hải trong thời bình, cả ngày lẫn đêm, dưới mọi quốc tịch, với mọi loại hàng hóa, và không phải thực hiện thủ tục ngoài những quy định đã nêu. </w:t>
      </w:r>
    </w:p>
    <w:p w14:paraId="58685B8C" w14:textId="49AD0E0D" w:rsidR="00CD61DA" w:rsidRPr="00CD61DA" w:rsidRDefault="00CD61DA" w:rsidP="00CD61DA">
      <w:pPr>
        <w:numPr>
          <w:ilvl w:val="0"/>
          <w:numId w:val="10"/>
        </w:num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Thổ Nhĩ Kỳ chỉ được phép thu các khoản phí hạn chế cho các dịch vụ cụ thể được quy định rõ trong Phụ lục I của Công ước, bao gồm: Kiểm dịch (y tế)</w:t>
      </w:r>
      <w:r w:rsidRPr="00CD61DA">
        <w:rPr>
          <w:rFonts w:ascii="Times New Roman" w:hAnsi="Times New Roman" w:cs="Times New Roman"/>
          <w:color w:val="0070C0"/>
          <w:sz w:val="26"/>
          <w:szCs w:val="26"/>
        </w:rPr>
        <w:t xml:space="preserve">; </w:t>
      </w:r>
      <w:r w:rsidRPr="00CD61DA">
        <w:rPr>
          <w:rFonts w:ascii="Times New Roman" w:hAnsi="Times New Roman" w:cs="Times New Roman"/>
          <w:color w:val="0070C0"/>
          <w:sz w:val="26"/>
          <w:szCs w:val="26"/>
        </w:rPr>
        <w:t>Dịch vụ hải đăng</w:t>
      </w:r>
      <w:r w:rsidRPr="00CD61DA">
        <w:rPr>
          <w:rFonts w:ascii="Times New Roman" w:hAnsi="Times New Roman" w:cs="Times New Roman"/>
          <w:color w:val="0070C0"/>
          <w:sz w:val="26"/>
          <w:szCs w:val="26"/>
        </w:rPr>
        <w:t xml:space="preserve">; </w:t>
      </w:r>
      <w:r w:rsidRPr="00CD61DA">
        <w:rPr>
          <w:rFonts w:ascii="Times New Roman" w:hAnsi="Times New Roman" w:cs="Times New Roman"/>
          <w:color w:val="0070C0"/>
          <w:sz w:val="26"/>
          <w:szCs w:val="26"/>
        </w:rPr>
        <w:t xml:space="preserve">Tìm kiếm và cứu nạn </w:t>
      </w:r>
    </w:p>
    <w:p w14:paraId="368CE533" w14:textId="77777777" w:rsidR="00CD61DA" w:rsidRPr="00CD61DA" w:rsidRDefault="00CD61DA" w:rsidP="00CD61DA">
      <w:pPr>
        <w:numPr>
          <w:ilvl w:val="0"/>
          <w:numId w:val="10"/>
        </w:num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 xml:space="preserve">Hoa tiêu và lai dắt là </w:t>
      </w:r>
      <w:r w:rsidRPr="00CD61DA">
        <w:rPr>
          <w:rFonts w:ascii="Times New Roman" w:hAnsi="Times New Roman" w:cs="Times New Roman"/>
          <w:b/>
          <w:bCs/>
          <w:color w:val="0070C0"/>
          <w:sz w:val="26"/>
          <w:szCs w:val="26"/>
        </w:rPr>
        <w:t>không bắt buộc</w:t>
      </w:r>
      <w:r w:rsidRPr="00CD61DA">
        <w:rPr>
          <w:rFonts w:ascii="Times New Roman" w:hAnsi="Times New Roman" w:cs="Times New Roman"/>
          <w:color w:val="0070C0"/>
          <w:sz w:val="26"/>
          <w:szCs w:val="26"/>
        </w:rPr>
        <w:t xml:space="preserve">. </w:t>
      </w:r>
    </w:p>
    <w:p w14:paraId="5641991D" w14:textId="0F33F94F" w:rsidR="00CD61DA" w:rsidRPr="00CD61DA" w:rsidRDefault="00CD61DA" w:rsidP="00CD61DA">
      <w:pPr>
        <w:numPr>
          <w:ilvl w:val="0"/>
          <w:numId w:val="10"/>
        </w:num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t xml:space="preserve">Các khoản phí này theo truyền thống được tính dựa trên đơn vị “franc vàng” (một đơn vị lịch sử), sau đó quy đổi sang đồng lira </w:t>
      </w:r>
      <w:r w:rsidRPr="00CD61DA">
        <w:rPr>
          <w:rFonts w:ascii="Times New Roman" w:hAnsi="Times New Roman" w:cs="Times New Roman"/>
          <w:color w:val="0070C0"/>
          <w:sz w:val="26"/>
          <w:szCs w:val="26"/>
        </w:rPr>
        <w:t xml:space="preserve">của </w:t>
      </w:r>
      <w:r w:rsidRPr="00CD61DA">
        <w:rPr>
          <w:rFonts w:ascii="Times New Roman" w:hAnsi="Times New Roman" w:cs="Times New Roman"/>
          <w:color w:val="0070C0"/>
          <w:sz w:val="26"/>
          <w:szCs w:val="26"/>
        </w:rPr>
        <w:t xml:space="preserve">Thổ Nhĩ Kỳ hoặc USD. Trong nhiều thập kỷ, mức phí </w:t>
      </w:r>
      <w:r w:rsidRPr="00CD61DA">
        <w:rPr>
          <w:rFonts w:ascii="Times New Roman" w:hAnsi="Times New Roman" w:cs="Times New Roman"/>
          <w:color w:val="0070C0"/>
          <w:sz w:val="26"/>
          <w:szCs w:val="26"/>
        </w:rPr>
        <w:t xml:space="preserve">này </w:t>
      </w:r>
      <w:r w:rsidRPr="00CD61DA">
        <w:rPr>
          <w:rFonts w:ascii="Times New Roman" w:hAnsi="Times New Roman" w:cs="Times New Roman"/>
          <w:color w:val="0070C0"/>
          <w:sz w:val="26"/>
          <w:szCs w:val="26"/>
        </w:rPr>
        <w:t>rất thấp (khoảng 0,80 USD/tấn) cho đến khi được điều chỉnh tăng hàng năm gần đây; tính đến giữa năm 2025, mức phí</w:t>
      </w:r>
      <w:r w:rsidRPr="00CD61DA">
        <w:rPr>
          <w:rFonts w:ascii="Times New Roman" w:hAnsi="Times New Roman" w:cs="Times New Roman"/>
          <w:color w:val="0070C0"/>
          <w:sz w:val="26"/>
          <w:szCs w:val="26"/>
        </w:rPr>
        <w:t xml:space="preserve"> là</w:t>
      </w:r>
      <w:r w:rsidRPr="00CD61DA">
        <w:rPr>
          <w:rFonts w:ascii="Times New Roman" w:hAnsi="Times New Roman" w:cs="Times New Roman"/>
          <w:color w:val="0070C0"/>
          <w:sz w:val="26"/>
          <w:szCs w:val="26"/>
        </w:rPr>
        <w:t xml:space="preserve"> khoảng </w:t>
      </w:r>
      <w:r w:rsidRPr="00CD61DA">
        <w:rPr>
          <w:rFonts w:ascii="Times New Roman" w:hAnsi="Times New Roman" w:cs="Times New Roman"/>
          <w:b/>
          <w:bCs/>
          <w:color w:val="0070C0"/>
          <w:sz w:val="26"/>
          <w:szCs w:val="26"/>
        </w:rPr>
        <w:t>5,83 USD mỗi tấn tịnh</w:t>
      </w:r>
      <w:r w:rsidRPr="00CD61DA">
        <w:rPr>
          <w:rFonts w:ascii="Times New Roman" w:hAnsi="Times New Roman" w:cs="Times New Roman"/>
          <w:color w:val="0070C0"/>
          <w:sz w:val="26"/>
          <w:szCs w:val="26"/>
        </w:rPr>
        <w:t xml:space="preserve">. Doanh thu được sử dụng để duy trì, đảm bảo an toàn và bảo vệ môi trường tại các eo biển. </w:t>
      </w:r>
    </w:p>
    <w:p w14:paraId="2D9BC13B" w14:textId="77777777" w:rsidR="00CD61DA" w:rsidRDefault="00CD61DA" w:rsidP="00CD61DA">
      <w:pPr>
        <w:spacing w:before="120" w:after="120"/>
        <w:jc w:val="both"/>
        <w:rPr>
          <w:rFonts w:ascii="Times New Roman" w:hAnsi="Times New Roman" w:cs="Times New Roman"/>
          <w:color w:val="0070C0"/>
          <w:sz w:val="26"/>
          <w:szCs w:val="26"/>
        </w:rPr>
      </w:pPr>
      <w:r w:rsidRPr="00CD61DA">
        <w:rPr>
          <w:rFonts w:ascii="Times New Roman" w:hAnsi="Times New Roman" w:cs="Times New Roman"/>
          <w:color w:val="0070C0"/>
          <w:sz w:val="26"/>
          <w:szCs w:val="26"/>
        </w:rPr>
        <w:lastRenderedPageBreak/>
        <w:t xml:space="preserve">Thổ Nhĩ Kỳ </w:t>
      </w:r>
      <w:r w:rsidRPr="00CD61DA">
        <w:rPr>
          <w:rFonts w:ascii="Times New Roman" w:hAnsi="Times New Roman" w:cs="Times New Roman"/>
          <w:b/>
          <w:bCs/>
          <w:color w:val="0070C0"/>
          <w:sz w:val="26"/>
          <w:szCs w:val="26"/>
        </w:rPr>
        <w:t>không được áp dụng các khoản “phí quá cảnh” chung</w:t>
      </w:r>
      <w:r w:rsidRPr="00CD61DA">
        <w:rPr>
          <w:rFonts w:ascii="Times New Roman" w:hAnsi="Times New Roman" w:cs="Times New Roman"/>
          <w:color w:val="0070C0"/>
          <w:sz w:val="26"/>
          <w:szCs w:val="26"/>
        </w:rPr>
        <w:t xml:space="preserve"> như đối với các kênh đào nhân tạo; mọi khoản phí phải gắn với các dịch vụ cụ thể nêu trên và được áp dụng bình đẳng cho tất cả các quốc kỳ tàu.</w:t>
      </w:r>
    </w:p>
    <w:p w14:paraId="6DE63D08" w14:textId="77777777" w:rsidR="007854F3" w:rsidRPr="007854F3" w:rsidRDefault="007854F3" w:rsidP="007854F3">
      <w:pPr>
        <w:spacing w:before="120" w:after="120"/>
        <w:jc w:val="both"/>
        <w:rPr>
          <w:rFonts w:ascii="Times New Roman" w:hAnsi="Times New Roman" w:cs="Times New Roman"/>
          <w:b/>
          <w:bCs/>
          <w:sz w:val="26"/>
          <w:szCs w:val="26"/>
        </w:rPr>
      </w:pPr>
      <w:r w:rsidRPr="007854F3">
        <w:rPr>
          <w:rFonts w:ascii="Times New Roman" w:hAnsi="Times New Roman" w:cs="Times New Roman"/>
          <w:b/>
          <w:bCs/>
          <w:sz w:val="26"/>
          <w:szCs w:val="26"/>
        </w:rPr>
        <w:t>Tác động đối với thương mại toàn cầu</w:t>
      </w:r>
    </w:p>
    <w:p w14:paraId="34C03E96" w14:textId="57D08C30" w:rsidR="007854F3" w:rsidRPr="007854F3" w:rsidRDefault="007854F3" w:rsidP="007854F3">
      <w:pPr>
        <w:spacing w:before="120" w:after="120"/>
        <w:jc w:val="both"/>
        <w:rPr>
          <w:rFonts w:ascii="Times New Roman" w:hAnsi="Times New Roman" w:cs="Times New Roman"/>
          <w:sz w:val="26"/>
          <w:szCs w:val="26"/>
        </w:rPr>
      </w:pPr>
      <w:r w:rsidRPr="007854F3">
        <w:rPr>
          <w:rFonts w:ascii="Times New Roman" w:hAnsi="Times New Roman" w:cs="Times New Roman"/>
          <w:sz w:val="26"/>
          <w:szCs w:val="26"/>
        </w:rPr>
        <w:t xml:space="preserve">Nếu các quốc gia ven biển khác bắt đầu coi các eo biển tự nhiên như </w:t>
      </w:r>
      <w:r>
        <w:rPr>
          <w:rFonts w:ascii="Times New Roman" w:hAnsi="Times New Roman" w:cs="Times New Roman"/>
          <w:sz w:val="26"/>
          <w:szCs w:val="26"/>
        </w:rPr>
        <w:t xml:space="preserve">một </w:t>
      </w:r>
      <w:r w:rsidRPr="007854F3">
        <w:rPr>
          <w:rFonts w:ascii="Times New Roman" w:hAnsi="Times New Roman" w:cs="Times New Roman"/>
          <w:sz w:val="26"/>
          <w:szCs w:val="26"/>
        </w:rPr>
        <w:t>nguồn tạo doanh thu tương tự các kênh đào tư nhân</w:t>
      </w:r>
      <w:r>
        <w:rPr>
          <w:rFonts w:ascii="Times New Roman" w:hAnsi="Times New Roman" w:cs="Times New Roman"/>
          <w:sz w:val="26"/>
          <w:szCs w:val="26"/>
        </w:rPr>
        <w:t xml:space="preserve"> thì</w:t>
      </w:r>
      <w:r w:rsidRPr="007854F3">
        <w:rPr>
          <w:rFonts w:ascii="Times New Roman" w:hAnsi="Times New Roman" w:cs="Times New Roman"/>
          <w:sz w:val="26"/>
          <w:szCs w:val="26"/>
        </w:rPr>
        <w:t xml:space="preserve"> hệ quả đối với thương mại quốc tế có thể </w:t>
      </w:r>
      <w:r>
        <w:rPr>
          <w:rFonts w:ascii="Times New Roman" w:hAnsi="Times New Roman" w:cs="Times New Roman"/>
          <w:sz w:val="26"/>
          <w:szCs w:val="26"/>
        </w:rPr>
        <w:t xml:space="preserve">là </w:t>
      </w:r>
      <w:r w:rsidRPr="007854F3">
        <w:rPr>
          <w:rFonts w:ascii="Times New Roman" w:hAnsi="Times New Roman" w:cs="Times New Roman"/>
          <w:sz w:val="26"/>
          <w:szCs w:val="26"/>
        </w:rPr>
        <w:t>rất đáng kể:</w:t>
      </w:r>
    </w:p>
    <w:p w14:paraId="4E2DE2DF" w14:textId="4C545B59" w:rsidR="007854F3" w:rsidRPr="007854F3" w:rsidRDefault="007854F3" w:rsidP="007854F3">
      <w:pPr>
        <w:numPr>
          <w:ilvl w:val="0"/>
          <w:numId w:val="11"/>
        </w:numPr>
        <w:spacing w:before="120" w:after="120"/>
        <w:jc w:val="both"/>
        <w:rPr>
          <w:rFonts w:ascii="Times New Roman" w:hAnsi="Times New Roman" w:cs="Times New Roman"/>
          <w:sz w:val="26"/>
          <w:szCs w:val="26"/>
        </w:rPr>
      </w:pPr>
      <w:r w:rsidRPr="007854F3">
        <w:rPr>
          <w:rFonts w:ascii="Times New Roman" w:hAnsi="Times New Roman" w:cs="Times New Roman"/>
          <w:b/>
          <w:bCs/>
          <w:sz w:val="26"/>
          <w:szCs w:val="26"/>
        </w:rPr>
        <w:t>Chi phí tăng cao cho người tiêu dùng và doanh nghiệp:</w:t>
      </w:r>
      <w:r>
        <w:rPr>
          <w:rFonts w:ascii="Times New Roman" w:hAnsi="Times New Roman" w:cs="Times New Roman"/>
          <w:b/>
          <w:bCs/>
          <w:sz w:val="26"/>
          <w:szCs w:val="26"/>
        </w:rPr>
        <w:t xml:space="preserve"> </w:t>
      </w:r>
      <w:r w:rsidRPr="007854F3">
        <w:rPr>
          <w:rFonts w:ascii="Times New Roman" w:hAnsi="Times New Roman" w:cs="Times New Roman"/>
          <w:sz w:val="26"/>
          <w:szCs w:val="26"/>
        </w:rPr>
        <w:t xml:space="preserve">Chi phí vận tải tăng sẽ dẫn đến giá năng lượng, nguyên liệu thô, thực phẩm và hàng tiêu dùng trên toàn cầu cao hơn. </w:t>
      </w:r>
    </w:p>
    <w:p w14:paraId="516571CF" w14:textId="720D020C" w:rsidR="007854F3" w:rsidRPr="007854F3" w:rsidRDefault="007854F3" w:rsidP="007854F3">
      <w:pPr>
        <w:numPr>
          <w:ilvl w:val="0"/>
          <w:numId w:val="11"/>
        </w:numPr>
        <w:spacing w:before="120" w:after="120"/>
        <w:jc w:val="both"/>
        <w:rPr>
          <w:rFonts w:ascii="Times New Roman" w:hAnsi="Times New Roman" w:cs="Times New Roman"/>
          <w:sz w:val="26"/>
          <w:szCs w:val="26"/>
        </w:rPr>
      </w:pPr>
      <w:r w:rsidRPr="007854F3">
        <w:rPr>
          <w:rFonts w:ascii="Times New Roman" w:hAnsi="Times New Roman" w:cs="Times New Roman"/>
          <w:b/>
          <w:bCs/>
          <w:sz w:val="26"/>
          <w:szCs w:val="26"/>
        </w:rPr>
        <w:t>“Vũ khí hóa” địa lý:</w:t>
      </w:r>
      <w:r>
        <w:rPr>
          <w:rFonts w:ascii="Times New Roman" w:hAnsi="Times New Roman" w:cs="Times New Roman"/>
          <w:b/>
          <w:bCs/>
          <w:sz w:val="26"/>
          <w:szCs w:val="26"/>
        </w:rPr>
        <w:t xml:space="preserve"> </w:t>
      </w:r>
      <w:r w:rsidRPr="007854F3">
        <w:rPr>
          <w:rFonts w:ascii="Times New Roman" w:hAnsi="Times New Roman" w:cs="Times New Roman"/>
          <w:sz w:val="26"/>
          <w:szCs w:val="26"/>
        </w:rPr>
        <w:t xml:space="preserve">Các tuyến đường thủy chiến lược có thể bị biến thành công cụ gây sức ép kinh tế hoặc chính trị trong thời kỳ căng thẳng. </w:t>
      </w:r>
    </w:p>
    <w:p w14:paraId="3BCBE226" w14:textId="4AA801CF" w:rsidR="007854F3" w:rsidRPr="007854F3" w:rsidRDefault="007854F3" w:rsidP="007854F3">
      <w:pPr>
        <w:numPr>
          <w:ilvl w:val="0"/>
          <w:numId w:val="11"/>
        </w:numPr>
        <w:spacing w:before="120" w:after="120"/>
        <w:jc w:val="both"/>
        <w:rPr>
          <w:rFonts w:ascii="Times New Roman" w:hAnsi="Times New Roman" w:cs="Times New Roman"/>
          <w:sz w:val="26"/>
          <w:szCs w:val="26"/>
        </w:rPr>
      </w:pPr>
      <w:r w:rsidRPr="007854F3">
        <w:rPr>
          <w:rFonts w:ascii="Times New Roman" w:hAnsi="Times New Roman" w:cs="Times New Roman"/>
          <w:b/>
          <w:bCs/>
          <w:sz w:val="26"/>
          <w:szCs w:val="26"/>
        </w:rPr>
        <w:t>Xói mòn tính chắc chắn pháp lý:</w:t>
      </w:r>
      <w:r>
        <w:rPr>
          <w:rFonts w:ascii="Times New Roman" w:hAnsi="Times New Roman" w:cs="Times New Roman"/>
          <w:b/>
          <w:bCs/>
          <w:sz w:val="26"/>
          <w:szCs w:val="26"/>
        </w:rPr>
        <w:t xml:space="preserve"> </w:t>
      </w:r>
      <w:r w:rsidRPr="007854F3">
        <w:rPr>
          <w:rFonts w:ascii="Times New Roman" w:hAnsi="Times New Roman" w:cs="Times New Roman"/>
          <w:sz w:val="26"/>
          <w:szCs w:val="26"/>
        </w:rPr>
        <w:t xml:space="preserve">Sự suy yếu của các chuẩn mực hàng hải đã được thiết lập có thể dẫn đến tình trạng phân mảnh, </w:t>
      </w:r>
      <w:r>
        <w:rPr>
          <w:rFonts w:ascii="Times New Roman" w:hAnsi="Times New Roman" w:cs="Times New Roman"/>
          <w:sz w:val="26"/>
          <w:szCs w:val="26"/>
        </w:rPr>
        <w:t>trong đó</w:t>
      </w:r>
      <w:r w:rsidRPr="007854F3">
        <w:rPr>
          <w:rFonts w:ascii="Times New Roman" w:hAnsi="Times New Roman" w:cs="Times New Roman"/>
          <w:sz w:val="26"/>
          <w:szCs w:val="26"/>
        </w:rPr>
        <w:t xml:space="preserve"> các quy định đơn phương thay thế </w:t>
      </w:r>
      <w:r>
        <w:rPr>
          <w:rFonts w:ascii="Times New Roman" w:hAnsi="Times New Roman" w:cs="Times New Roman"/>
          <w:sz w:val="26"/>
          <w:szCs w:val="26"/>
        </w:rPr>
        <w:t xml:space="preserve">cho </w:t>
      </w:r>
      <w:r w:rsidRPr="007854F3">
        <w:rPr>
          <w:rFonts w:ascii="Times New Roman" w:hAnsi="Times New Roman" w:cs="Times New Roman"/>
          <w:sz w:val="26"/>
          <w:szCs w:val="26"/>
        </w:rPr>
        <w:t xml:space="preserve">các tiêu chuẩn quốc tế ổn định, từ đó làm gia tăng tranh chấp, phí bảo hiểm và việc chuyển hướng các luồng thương mại. </w:t>
      </w:r>
    </w:p>
    <w:p w14:paraId="475BA928" w14:textId="6EF40D6D" w:rsidR="007854F3" w:rsidRPr="007854F3" w:rsidRDefault="007854F3" w:rsidP="007854F3">
      <w:pPr>
        <w:spacing w:before="120" w:after="120"/>
        <w:jc w:val="both"/>
        <w:rPr>
          <w:rFonts w:ascii="Times New Roman" w:hAnsi="Times New Roman" w:cs="Times New Roman"/>
          <w:sz w:val="26"/>
          <w:szCs w:val="26"/>
        </w:rPr>
      </w:pPr>
      <w:r w:rsidRPr="007854F3">
        <w:rPr>
          <w:rFonts w:ascii="Times New Roman" w:hAnsi="Times New Roman" w:cs="Times New Roman"/>
          <w:sz w:val="26"/>
          <w:szCs w:val="26"/>
        </w:rPr>
        <w:t xml:space="preserve">Sự khác biệt vẫn rất rõ ràng và có ý nghĩa quan trọng: </w:t>
      </w:r>
      <w:r w:rsidRPr="007854F3">
        <w:rPr>
          <w:rFonts w:ascii="Times New Roman" w:hAnsi="Times New Roman" w:cs="Times New Roman"/>
          <w:b/>
          <w:bCs/>
          <w:sz w:val="26"/>
          <w:szCs w:val="26"/>
        </w:rPr>
        <w:t>kênh đào nhân tạo</w:t>
      </w:r>
      <w:r w:rsidRPr="007854F3">
        <w:rPr>
          <w:rFonts w:ascii="Times New Roman" w:hAnsi="Times New Roman" w:cs="Times New Roman"/>
          <w:sz w:val="26"/>
          <w:szCs w:val="26"/>
        </w:rPr>
        <w:t xml:space="preserve"> là hạ tầng có thu phí dịch vụ, </w:t>
      </w:r>
      <w:r>
        <w:rPr>
          <w:rFonts w:ascii="Times New Roman" w:hAnsi="Times New Roman" w:cs="Times New Roman"/>
          <w:sz w:val="26"/>
          <w:szCs w:val="26"/>
        </w:rPr>
        <w:t>cỏn</w:t>
      </w:r>
      <w:r w:rsidRPr="007854F3">
        <w:rPr>
          <w:rFonts w:ascii="Times New Roman" w:hAnsi="Times New Roman" w:cs="Times New Roman"/>
          <w:sz w:val="26"/>
          <w:szCs w:val="26"/>
        </w:rPr>
        <w:t xml:space="preserve"> </w:t>
      </w:r>
      <w:r w:rsidRPr="007854F3">
        <w:rPr>
          <w:rFonts w:ascii="Times New Roman" w:hAnsi="Times New Roman" w:cs="Times New Roman"/>
          <w:b/>
          <w:bCs/>
          <w:sz w:val="26"/>
          <w:szCs w:val="26"/>
        </w:rPr>
        <w:t>eo biển tự nhiên</w:t>
      </w:r>
      <w:r w:rsidRPr="007854F3">
        <w:rPr>
          <w:rFonts w:ascii="Times New Roman" w:hAnsi="Times New Roman" w:cs="Times New Roman"/>
          <w:sz w:val="26"/>
          <w:szCs w:val="26"/>
        </w:rPr>
        <w:t xml:space="preserve"> dùng cho hàng hải quốc tế được điều chỉnh bởi quyền quá cảnh nhằm bảo đảm tự do hàng hải phục vụ lợi ích thương mại </w:t>
      </w:r>
      <w:r>
        <w:rPr>
          <w:rFonts w:ascii="Times New Roman" w:hAnsi="Times New Roman" w:cs="Times New Roman"/>
          <w:sz w:val="26"/>
          <w:szCs w:val="26"/>
        </w:rPr>
        <w:t xml:space="preserve">của </w:t>
      </w:r>
      <w:r w:rsidRPr="007854F3">
        <w:rPr>
          <w:rFonts w:ascii="Times New Roman" w:hAnsi="Times New Roman" w:cs="Times New Roman"/>
          <w:sz w:val="26"/>
          <w:szCs w:val="26"/>
        </w:rPr>
        <w:t>toàn cầu.</w:t>
      </w:r>
    </w:p>
    <w:p w14:paraId="22754D08" w14:textId="44E5825A" w:rsidR="007854F3" w:rsidRPr="007854F3" w:rsidRDefault="007854F3" w:rsidP="007854F3">
      <w:pPr>
        <w:spacing w:before="120" w:after="120"/>
        <w:jc w:val="both"/>
        <w:rPr>
          <w:rFonts w:ascii="Times New Roman" w:hAnsi="Times New Roman" w:cs="Times New Roman"/>
          <w:sz w:val="26"/>
          <w:szCs w:val="26"/>
        </w:rPr>
      </w:pPr>
      <w:r w:rsidRPr="007854F3">
        <w:rPr>
          <w:rFonts w:ascii="Times New Roman" w:hAnsi="Times New Roman" w:cs="Times New Roman"/>
          <w:sz w:val="26"/>
          <w:szCs w:val="26"/>
        </w:rPr>
        <w:t xml:space="preserve">Trong bối cảnh áp lực địa chính trị gia tăng </w:t>
      </w:r>
      <w:r>
        <w:rPr>
          <w:rFonts w:ascii="Times New Roman" w:hAnsi="Times New Roman" w:cs="Times New Roman"/>
          <w:sz w:val="26"/>
          <w:szCs w:val="26"/>
        </w:rPr>
        <w:t>-</w:t>
      </w:r>
      <w:r w:rsidRPr="007854F3">
        <w:rPr>
          <w:rFonts w:ascii="Times New Roman" w:hAnsi="Times New Roman" w:cs="Times New Roman"/>
          <w:sz w:val="26"/>
          <w:szCs w:val="26"/>
        </w:rPr>
        <w:t xml:space="preserve"> thể hiện qua tình hình tại eo biển Hormuz và những thay đổi chính sách của Thổ Nhĩ Kỳ đối với eo Dardanelles</w:t>
      </w:r>
      <w:r>
        <w:rPr>
          <w:rFonts w:ascii="Times New Roman" w:hAnsi="Times New Roman" w:cs="Times New Roman"/>
          <w:sz w:val="26"/>
          <w:szCs w:val="26"/>
        </w:rPr>
        <w:t xml:space="preserve"> thì</w:t>
      </w:r>
      <w:r w:rsidRPr="007854F3">
        <w:rPr>
          <w:rFonts w:ascii="Times New Roman" w:hAnsi="Times New Roman" w:cs="Times New Roman"/>
          <w:sz w:val="26"/>
          <w:szCs w:val="26"/>
        </w:rPr>
        <w:t xml:space="preserve"> sự cân bằng lâu nay giữa quyền của quốc gia ven biển và tự do hàng hải quốc tế đang chịu sức ép ngày càng lớn.</w:t>
      </w:r>
    </w:p>
    <w:p w14:paraId="0918FC28" w14:textId="31109CEC" w:rsidR="007854F3" w:rsidRPr="007854F3" w:rsidRDefault="007854F3" w:rsidP="007854F3">
      <w:pPr>
        <w:spacing w:before="120" w:after="120"/>
        <w:jc w:val="both"/>
        <w:rPr>
          <w:rFonts w:ascii="Times New Roman" w:hAnsi="Times New Roman" w:cs="Times New Roman"/>
          <w:sz w:val="26"/>
          <w:szCs w:val="26"/>
        </w:rPr>
      </w:pPr>
      <w:r w:rsidRPr="007854F3">
        <w:rPr>
          <w:rFonts w:ascii="Times New Roman" w:hAnsi="Times New Roman" w:cs="Times New Roman"/>
          <w:sz w:val="26"/>
          <w:szCs w:val="26"/>
        </w:rPr>
        <w:t xml:space="preserve">Việc duy trì tính toàn vẹn của các nguyên tắc này là yếu tố then chốt để bảo đảm </w:t>
      </w:r>
      <w:r w:rsidRPr="007854F3">
        <w:rPr>
          <w:rFonts w:ascii="Times New Roman" w:hAnsi="Times New Roman" w:cs="Times New Roman"/>
          <w:b/>
          <w:bCs/>
          <w:sz w:val="26"/>
          <w:szCs w:val="26"/>
        </w:rPr>
        <w:t xml:space="preserve">sự ổn định, dự đoán </w:t>
      </w:r>
      <w:r>
        <w:rPr>
          <w:rFonts w:ascii="Times New Roman" w:hAnsi="Times New Roman" w:cs="Times New Roman"/>
          <w:b/>
          <w:bCs/>
          <w:sz w:val="26"/>
          <w:szCs w:val="26"/>
        </w:rPr>
        <w:t xml:space="preserve">được </w:t>
      </w:r>
      <w:r w:rsidRPr="007854F3">
        <w:rPr>
          <w:rFonts w:ascii="Times New Roman" w:hAnsi="Times New Roman" w:cs="Times New Roman"/>
          <w:b/>
          <w:bCs/>
          <w:sz w:val="26"/>
          <w:szCs w:val="26"/>
        </w:rPr>
        <w:t>và</w:t>
      </w:r>
      <w:r>
        <w:rPr>
          <w:rFonts w:ascii="Times New Roman" w:hAnsi="Times New Roman" w:cs="Times New Roman"/>
          <w:b/>
          <w:bCs/>
          <w:sz w:val="26"/>
          <w:szCs w:val="26"/>
        </w:rPr>
        <w:t xml:space="preserve"> có</w:t>
      </w:r>
      <w:r w:rsidRPr="007854F3">
        <w:rPr>
          <w:rFonts w:ascii="Times New Roman" w:hAnsi="Times New Roman" w:cs="Times New Roman"/>
          <w:b/>
          <w:bCs/>
          <w:sz w:val="26"/>
          <w:szCs w:val="26"/>
        </w:rPr>
        <w:t xml:space="preserve"> hiệu quả</w:t>
      </w:r>
      <w:r w:rsidRPr="007854F3">
        <w:rPr>
          <w:rFonts w:ascii="Times New Roman" w:hAnsi="Times New Roman" w:cs="Times New Roman"/>
          <w:sz w:val="26"/>
          <w:szCs w:val="26"/>
        </w:rPr>
        <w:t xml:space="preserve"> của hệ thống thương mại hàng hải toàn cầu mà nền kinh tế thế giới </w:t>
      </w:r>
      <w:r>
        <w:rPr>
          <w:rFonts w:ascii="Times New Roman" w:hAnsi="Times New Roman" w:cs="Times New Roman"/>
          <w:sz w:val="26"/>
          <w:szCs w:val="26"/>
        </w:rPr>
        <w:t xml:space="preserve">đang </w:t>
      </w:r>
      <w:r w:rsidRPr="007854F3">
        <w:rPr>
          <w:rFonts w:ascii="Times New Roman" w:hAnsi="Times New Roman" w:cs="Times New Roman"/>
          <w:sz w:val="26"/>
          <w:szCs w:val="26"/>
        </w:rPr>
        <w:t>phụ thuộc</w:t>
      </w:r>
      <w:r>
        <w:rPr>
          <w:rFonts w:ascii="Times New Roman" w:hAnsi="Times New Roman" w:cs="Times New Roman"/>
          <w:sz w:val="26"/>
          <w:szCs w:val="26"/>
        </w:rPr>
        <w:t xml:space="preserve"> vào</w:t>
      </w:r>
      <w:r w:rsidRPr="007854F3">
        <w:rPr>
          <w:rFonts w:ascii="Times New Roman" w:hAnsi="Times New Roman" w:cs="Times New Roman"/>
          <w:sz w:val="26"/>
          <w:szCs w:val="26"/>
        </w:rPr>
        <w:t>.</w:t>
      </w:r>
    </w:p>
    <w:p w14:paraId="282D916F" w14:textId="1C3FBC9F" w:rsidR="00C13E10" w:rsidRDefault="007854F3" w:rsidP="007854F3">
      <w:pPr>
        <w:jc w:val="center"/>
      </w:pPr>
      <w:r>
        <w:t>------------------------------------------------</w:t>
      </w:r>
    </w:p>
    <w:sectPr w:rsidR="00C13E10" w:rsidSect="003C2982">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26F1"/>
    <w:multiLevelType w:val="multilevel"/>
    <w:tmpl w:val="2E2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728A2"/>
    <w:multiLevelType w:val="multilevel"/>
    <w:tmpl w:val="280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51205"/>
    <w:multiLevelType w:val="multilevel"/>
    <w:tmpl w:val="DA42A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A21A5"/>
    <w:multiLevelType w:val="multilevel"/>
    <w:tmpl w:val="C6ECE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A7FA4"/>
    <w:multiLevelType w:val="multilevel"/>
    <w:tmpl w:val="027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3440F"/>
    <w:multiLevelType w:val="multilevel"/>
    <w:tmpl w:val="8CDC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05DFA"/>
    <w:multiLevelType w:val="multilevel"/>
    <w:tmpl w:val="0F66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236D3"/>
    <w:multiLevelType w:val="multilevel"/>
    <w:tmpl w:val="FB5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E70F8"/>
    <w:multiLevelType w:val="multilevel"/>
    <w:tmpl w:val="76F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B20A7"/>
    <w:multiLevelType w:val="multilevel"/>
    <w:tmpl w:val="CEB0A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46961"/>
    <w:multiLevelType w:val="multilevel"/>
    <w:tmpl w:val="EB18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509666">
    <w:abstractNumId w:val="7"/>
  </w:num>
  <w:num w:numId="2" w16cid:durableId="1679307340">
    <w:abstractNumId w:val="0"/>
  </w:num>
  <w:num w:numId="3" w16cid:durableId="275911108">
    <w:abstractNumId w:val="8"/>
  </w:num>
  <w:num w:numId="4" w16cid:durableId="864828613">
    <w:abstractNumId w:val="3"/>
  </w:num>
  <w:num w:numId="5" w16cid:durableId="1146163484">
    <w:abstractNumId w:val="10"/>
  </w:num>
  <w:num w:numId="6" w16cid:durableId="1575779444">
    <w:abstractNumId w:val="4"/>
  </w:num>
  <w:num w:numId="7" w16cid:durableId="674264435">
    <w:abstractNumId w:val="5"/>
  </w:num>
  <w:num w:numId="8" w16cid:durableId="491258920">
    <w:abstractNumId w:val="1"/>
  </w:num>
  <w:num w:numId="9" w16cid:durableId="1976134997">
    <w:abstractNumId w:val="6"/>
  </w:num>
  <w:num w:numId="10" w16cid:durableId="719673502">
    <w:abstractNumId w:val="2"/>
  </w:num>
  <w:num w:numId="11" w16cid:durableId="724764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82"/>
    <w:rsid w:val="000501D0"/>
    <w:rsid w:val="003C2982"/>
    <w:rsid w:val="00555868"/>
    <w:rsid w:val="007854F3"/>
    <w:rsid w:val="00C13E10"/>
    <w:rsid w:val="00CD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9C6E"/>
  <w15:chartTrackingRefBased/>
  <w15:docId w15:val="{3A34C49D-3B0B-4BE2-A203-6087A6D4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982"/>
    <w:rPr>
      <w:rFonts w:eastAsiaTheme="majorEastAsia" w:cstheme="majorBidi"/>
      <w:color w:val="272727" w:themeColor="text1" w:themeTint="D8"/>
    </w:rPr>
  </w:style>
  <w:style w:type="paragraph" w:styleId="Title">
    <w:name w:val="Title"/>
    <w:basedOn w:val="Normal"/>
    <w:next w:val="Normal"/>
    <w:link w:val="TitleChar"/>
    <w:uiPriority w:val="10"/>
    <w:qFormat/>
    <w:rsid w:val="003C2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982"/>
    <w:pPr>
      <w:spacing w:before="160"/>
      <w:jc w:val="center"/>
    </w:pPr>
    <w:rPr>
      <w:i/>
      <w:iCs/>
      <w:color w:val="404040" w:themeColor="text1" w:themeTint="BF"/>
    </w:rPr>
  </w:style>
  <w:style w:type="character" w:customStyle="1" w:styleId="QuoteChar">
    <w:name w:val="Quote Char"/>
    <w:basedOn w:val="DefaultParagraphFont"/>
    <w:link w:val="Quote"/>
    <w:uiPriority w:val="29"/>
    <w:rsid w:val="003C2982"/>
    <w:rPr>
      <w:i/>
      <w:iCs/>
      <w:color w:val="404040" w:themeColor="text1" w:themeTint="BF"/>
    </w:rPr>
  </w:style>
  <w:style w:type="paragraph" w:styleId="ListParagraph">
    <w:name w:val="List Paragraph"/>
    <w:basedOn w:val="Normal"/>
    <w:uiPriority w:val="34"/>
    <w:qFormat/>
    <w:rsid w:val="003C2982"/>
    <w:pPr>
      <w:ind w:left="720"/>
      <w:contextualSpacing/>
    </w:pPr>
  </w:style>
  <w:style w:type="character" w:styleId="IntenseEmphasis">
    <w:name w:val="Intense Emphasis"/>
    <w:basedOn w:val="DefaultParagraphFont"/>
    <w:uiPriority w:val="21"/>
    <w:qFormat/>
    <w:rsid w:val="003C2982"/>
    <w:rPr>
      <w:i/>
      <w:iCs/>
      <w:color w:val="0F4761" w:themeColor="accent1" w:themeShade="BF"/>
    </w:rPr>
  </w:style>
  <w:style w:type="paragraph" w:styleId="IntenseQuote">
    <w:name w:val="Intense Quote"/>
    <w:basedOn w:val="Normal"/>
    <w:next w:val="Normal"/>
    <w:link w:val="IntenseQuoteChar"/>
    <w:uiPriority w:val="30"/>
    <w:qFormat/>
    <w:rsid w:val="003C2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982"/>
    <w:rPr>
      <w:i/>
      <w:iCs/>
      <w:color w:val="0F4761" w:themeColor="accent1" w:themeShade="BF"/>
    </w:rPr>
  </w:style>
  <w:style w:type="character" w:styleId="IntenseReference">
    <w:name w:val="Intense Reference"/>
    <w:basedOn w:val="DefaultParagraphFont"/>
    <w:uiPriority w:val="32"/>
    <w:qFormat/>
    <w:rsid w:val="003C2982"/>
    <w:rPr>
      <w:b/>
      <w:bCs/>
      <w:smallCaps/>
      <w:color w:val="0F4761" w:themeColor="accent1" w:themeShade="BF"/>
      <w:spacing w:val="5"/>
    </w:rPr>
  </w:style>
  <w:style w:type="character" w:styleId="Hyperlink">
    <w:name w:val="Hyperlink"/>
    <w:basedOn w:val="DefaultParagraphFont"/>
    <w:uiPriority w:val="99"/>
    <w:unhideWhenUsed/>
    <w:rsid w:val="003C2982"/>
    <w:rPr>
      <w:color w:val="467886" w:themeColor="hyperlink"/>
      <w:u w:val="single"/>
    </w:rPr>
  </w:style>
  <w:style w:type="character" w:styleId="UnresolvedMention">
    <w:name w:val="Unresolved Mention"/>
    <w:basedOn w:val="DefaultParagraphFont"/>
    <w:uiPriority w:val="99"/>
    <w:semiHidden/>
    <w:unhideWhenUsed/>
    <w:rsid w:val="003C2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aritimecyprus.com/wp-content/uploads/2026/04/straights-map.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2026-04-16T09:15:00Z</dcterms:created>
  <dcterms:modified xsi:type="dcterms:W3CDTF">2026-04-16T09:40:00Z</dcterms:modified>
</cp:coreProperties>
</file>