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206DA" w14:textId="7D0BEB8B" w:rsidR="00086AD7" w:rsidRPr="00086AD7" w:rsidRDefault="00086AD7" w:rsidP="00086AD7">
      <w:pPr>
        <w:spacing w:line="240" w:lineRule="auto"/>
        <w:jc w:val="center"/>
        <w:rPr>
          <w:rFonts w:ascii="Times New Roman" w:hAnsi="Times New Roman" w:cs="Times New Roman"/>
          <w:b/>
          <w:bCs/>
          <w:sz w:val="40"/>
          <w:szCs w:val="40"/>
        </w:rPr>
      </w:pPr>
      <w:r w:rsidRPr="00086AD7">
        <w:rPr>
          <w:rFonts w:ascii="Times New Roman" w:hAnsi="Times New Roman" w:cs="Times New Roman"/>
          <w:b/>
          <w:bCs/>
          <w:sz w:val="40"/>
          <w:szCs w:val="40"/>
        </w:rPr>
        <w:t xml:space="preserve">Mỹ tăng gấp đôi “bệ đỡ” bảo hiểm </w:t>
      </w:r>
      <w:r>
        <w:rPr>
          <w:rFonts w:ascii="Times New Roman" w:hAnsi="Times New Roman" w:cs="Times New Roman"/>
          <w:b/>
          <w:bCs/>
          <w:sz w:val="40"/>
          <w:szCs w:val="40"/>
        </w:rPr>
        <w:t xml:space="preserve">cho tàu đi qua </w:t>
      </w:r>
      <w:r w:rsidRPr="00086AD7">
        <w:rPr>
          <w:rFonts w:ascii="Times New Roman" w:hAnsi="Times New Roman" w:cs="Times New Roman"/>
          <w:b/>
          <w:bCs/>
          <w:sz w:val="40"/>
          <w:szCs w:val="40"/>
        </w:rPr>
        <w:t xml:space="preserve">Hormuz lên 40 tỷ USD nhằm thu hút </w:t>
      </w:r>
      <w:r>
        <w:rPr>
          <w:rFonts w:ascii="Times New Roman" w:hAnsi="Times New Roman" w:cs="Times New Roman"/>
          <w:b/>
          <w:bCs/>
          <w:sz w:val="40"/>
          <w:szCs w:val="40"/>
        </w:rPr>
        <w:t xml:space="preserve">các </w:t>
      </w:r>
      <w:r w:rsidRPr="00086AD7">
        <w:rPr>
          <w:rFonts w:ascii="Times New Roman" w:hAnsi="Times New Roman" w:cs="Times New Roman"/>
          <w:b/>
          <w:bCs/>
          <w:sz w:val="40"/>
          <w:szCs w:val="40"/>
        </w:rPr>
        <w:t>tàu quay trở lại</w:t>
      </w:r>
    </w:p>
    <w:p w14:paraId="55BDC64A" w14:textId="77777777" w:rsidR="00086AD7" w:rsidRPr="00086AD7" w:rsidRDefault="00086AD7" w:rsidP="00086AD7">
      <w:pPr>
        <w:jc w:val="right"/>
      </w:pPr>
      <w:hyperlink r:id="rId4" w:history="1">
        <w:r w:rsidRPr="00086AD7">
          <w:rPr>
            <w:rStyle w:val="Hyperlink"/>
            <w:b/>
            <w:bCs/>
          </w:rPr>
          <w:t>Mike Schuler</w:t>
        </w:r>
      </w:hyperlink>
    </w:p>
    <w:p w14:paraId="04E1457F" w14:textId="77777777" w:rsidR="00086AD7" w:rsidRDefault="00086AD7" w:rsidP="00086AD7">
      <w:r w:rsidRPr="00086AD7">
        <w:drawing>
          <wp:inline distT="0" distB="0" distL="0" distR="0" wp14:anchorId="29DB55C6" wp14:editId="3B32407F">
            <wp:extent cx="5943600" cy="3389630"/>
            <wp:effectExtent l="0" t="0" r="0" b="1270"/>
            <wp:docPr id="17620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0121" name=""/>
                    <pic:cNvPicPr/>
                  </pic:nvPicPr>
                  <pic:blipFill>
                    <a:blip r:embed="rId5"/>
                    <a:stretch>
                      <a:fillRect/>
                    </a:stretch>
                  </pic:blipFill>
                  <pic:spPr>
                    <a:xfrm>
                      <a:off x="0" y="0"/>
                      <a:ext cx="5943600" cy="3389630"/>
                    </a:xfrm>
                    <a:prstGeom prst="rect">
                      <a:avLst/>
                    </a:prstGeom>
                  </pic:spPr>
                </pic:pic>
              </a:graphicData>
            </a:graphic>
          </wp:inline>
        </w:drawing>
      </w:r>
    </w:p>
    <w:p w14:paraId="75A4A68A" w14:textId="2E2FB394" w:rsidR="00086AD7" w:rsidRPr="00086AD7" w:rsidRDefault="00086AD7" w:rsidP="00086AD7">
      <w:pPr>
        <w:spacing w:before="120" w:after="120"/>
        <w:jc w:val="both"/>
        <w:rPr>
          <w:rFonts w:ascii="Times New Roman" w:hAnsi="Times New Roman" w:cs="Times New Roman"/>
          <w:sz w:val="26"/>
          <w:szCs w:val="26"/>
        </w:rPr>
      </w:pPr>
      <w:r w:rsidRPr="00086AD7">
        <w:rPr>
          <w:rFonts w:ascii="Times New Roman" w:hAnsi="Times New Roman" w:cs="Times New Roman"/>
          <w:sz w:val="26"/>
          <w:szCs w:val="26"/>
        </w:rPr>
        <w:t xml:space="preserve">Chính quyền Trump đã tăng gấp đôi cơ chế hỗ trợ bảo hiểm hàng hải lên </w:t>
      </w:r>
      <w:r w:rsidRPr="00086AD7">
        <w:rPr>
          <w:rFonts w:ascii="Times New Roman" w:hAnsi="Times New Roman" w:cs="Times New Roman"/>
          <w:b/>
          <w:bCs/>
          <w:sz w:val="26"/>
          <w:szCs w:val="26"/>
        </w:rPr>
        <w:t>40 tỷ USD</w:t>
      </w:r>
      <w:r w:rsidRPr="00086AD7">
        <w:rPr>
          <w:rFonts w:ascii="Times New Roman" w:hAnsi="Times New Roman" w:cs="Times New Roman"/>
          <w:sz w:val="26"/>
          <w:szCs w:val="26"/>
        </w:rPr>
        <w:t>, mở rộng một nỗ lực trọng điểm nhằm khôi phục hoạt động vận tải thương mại qua Eo biển Hormuz—trong bối cảnh các chủ tàu vẫn phần lớn tránh khu vực này.</w:t>
      </w:r>
      <w:r>
        <w:rPr>
          <w:rFonts w:ascii="Times New Roman" w:hAnsi="Times New Roman" w:cs="Times New Roman"/>
          <w:sz w:val="26"/>
          <w:szCs w:val="26"/>
        </w:rPr>
        <w:t xml:space="preserve"> </w:t>
      </w:r>
    </w:p>
    <w:p w14:paraId="4895E961" w14:textId="6193FAB2" w:rsidR="00086AD7" w:rsidRPr="00086AD7" w:rsidRDefault="00086AD7" w:rsidP="00086AD7">
      <w:pPr>
        <w:spacing w:before="120" w:after="120"/>
        <w:jc w:val="both"/>
        <w:rPr>
          <w:rFonts w:ascii="Times New Roman" w:hAnsi="Times New Roman" w:cs="Times New Roman"/>
          <w:sz w:val="26"/>
          <w:szCs w:val="26"/>
        </w:rPr>
      </w:pPr>
      <w:r w:rsidRPr="00086AD7">
        <w:rPr>
          <w:rFonts w:ascii="Times New Roman" w:hAnsi="Times New Roman" w:cs="Times New Roman"/>
          <w:sz w:val="26"/>
          <w:szCs w:val="26"/>
        </w:rPr>
        <w:t>Tập đoàn Tài chính Phát triển Quốc tế Mỹ (DFC) và Chubb Limited thông báo hôm thứ Sáu</w:t>
      </w:r>
      <w:r>
        <w:rPr>
          <w:rFonts w:ascii="Times New Roman" w:hAnsi="Times New Roman" w:cs="Times New Roman"/>
          <w:sz w:val="26"/>
          <w:szCs w:val="26"/>
        </w:rPr>
        <w:t xml:space="preserve"> (3/4) </w:t>
      </w:r>
      <w:r w:rsidRPr="00086AD7">
        <w:rPr>
          <w:rFonts w:ascii="Times New Roman" w:hAnsi="Times New Roman" w:cs="Times New Roman"/>
          <w:sz w:val="26"/>
          <w:szCs w:val="26"/>
        </w:rPr>
        <w:t xml:space="preserve">rằng </w:t>
      </w:r>
      <w:r>
        <w:rPr>
          <w:rFonts w:ascii="Times New Roman" w:hAnsi="Times New Roman" w:cs="Times New Roman"/>
          <w:sz w:val="26"/>
          <w:szCs w:val="26"/>
        </w:rPr>
        <w:t>6</w:t>
      </w:r>
      <w:r w:rsidRPr="00086AD7">
        <w:rPr>
          <w:rFonts w:ascii="Times New Roman" w:hAnsi="Times New Roman" w:cs="Times New Roman"/>
          <w:sz w:val="26"/>
          <w:szCs w:val="26"/>
        </w:rPr>
        <w:t xml:space="preserve"> công ty bảo hiểm Mỹ—Travelers, Liberty Mutual, Berkshire Hathaway, AIG, Starr Companies và CNA Financial—đã tham gia cơ chế tái bảo hiểm hàng hải, đóng góp thêm 20 tỷ USD năng lực bảo hiểm bên cạnh cam kết ban đầu của DFC.</w:t>
      </w:r>
    </w:p>
    <w:p w14:paraId="3A2701C9" w14:textId="70B3A3C4" w:rsidR="00086AD7" w:rsidRPr="00086AD7" w:rsidRDefault="00086AD7" w:rsidP="00086AD7">
      <w:pPr>
        <w:spacing w:before="120" w:after="120"/>
        <w:jc w:val="both"/>
        <w:rPr>
          <w:rFonts w:ascii="Times New Roman" w:hAnsi="Times New Roman" w:cs="Times New Roman"/>
          <w:sz w:val="26"/>
          <w:szCs w:val="26"/>
        </w:rPr>
      </w:pPr>
      <w:r w:rsidRPr="00086AD7">
        <w:rPr>
          <w:rFonts w:ascii="Times New Roman" w:hAnsi="Times New Roman" w:cs="Times New Roman"/>
          <w:sz w:val="26"/>
          <w:szCs w:val="26"/>
        </w:rPr>
        <w:t xml:space="preserve">Động thái này diễn ra chưa đầy một tháng sau khi Washington triển khai chương trình ban đầu trị giá 20 tỷ USD, can thiệp vào thị trường bảo hiểm sau khi các cuộc tấn công bằng tên lửa và máy bay không người lái—cùng làn sóng rút lui của các nhà bảo hiểm—khiến lưu lượng tàu qua eo biển </w:t>
      </w:r>
      <w:r>
        <w:rPr>
          <w:rFonts w:ascii="Times New Roman" w:hAnsi="Times New Roman" w:cs="Times New Roman"/>
          <w:sz w:val="26"/>
          <w:szCs w:val="26"/>
        </w:rPr>
        <w:t xml:space="preserve">Hormuz </w:t>
      </w:r>
      <w:r w:rsidRPr="00086AD7">
        <w:rPr>
          <w:rFonts w:ascii="Times New Roman" w:hAnsi="Times New Roman" w:cs="Times New Roman"/>
          <w:sz w:val="26"/>
          <w:szCs w:val="26"/>
        </w:rPr>
        <w:t>sụt giảm mạnh.</w:t>
      </w:r>
    </w:p>
    <w:p w14:paraId="057C43CE" w14:textId="6C129708" w:rsidR="00086AD7" w:rsidRPr="00086AD7" w:rsidRDefault="00086AD7" w:rsidP="00086AD7">
      <w:pPr>
        <w:spacing w:before="120" w:after="120"/>
        <w:jc w:val="both"/>
        <w:rPr>
          <w:rFonts w:ascii="Times New Roman" w:hAnsi="Times New Roman" w:cs="Times New Roman"/>
          <w:sz w:val="26"/>
          <w:szCs w:val="26"/>
        </w:rPr>
      </w:pPr>
      <w:r w:rsidRPr="00086AD7">
        <w:rPr>
          <w:rFonts w:ascii="Times New Roman" w:hAnsi="Times New Roman" w:cs="Times New Roman"/>
          <w:sz w:val="26"/>
          <w:szCs w:val="26"/>
        </w:rPr>
        <w:t xml:space="preserve">Tuy nhiên, dù mở rộng nhanh chóng, hiện chưa có nhiều dấu hiệu chương trình </w:t>
      </w:r>
      <w:r>
        <w:rPr>
          <w:rFonts w:ascii="Times New Roman" w:hAnsi="Times New Roman" w:cs="Times New Roman"/>
          <w:sz w:val="26"/>
          <w:szCs w:val="26"/>
        </w:rPr>
        <w:t xml:space="preserve">này </w:t>
      </w:r>
      <w:r w:rsidRPr="00086AD7">
        <w:rPr>
          <w:rFonts w:ascii="Times New Roman" w:hAnsi="Times New Roman" w:cs="Times New Roman"/>
          <w:sz w:val="26"/>
          <w:szCs w:val="26"/>
        </w:rPr>
        <w:t xml:space="preserve">được sử dụng. Các nguồn tin trong ngành cho biết chưa có trường hợp nào được xác nhận sử dụng chương trình bảo hiểm do DFC hỗ trợ, ngay cả khi chính phủ </w:t>
      </w:r>
      <w:r>
        <w:rPr>
          <w:rFonts w:ascii="Times New Roman" w:hAnsi="Times New Roman" w:cs="Times New Roman"/>
          <w:sz w:val="26"/>
          <w:szCs w:val="26"/>
        </w:rPr>
        <w:t xml:space="preserve">Mỹ </w:t>
      </w:r>
      <w:r w:rsidRPr="00086AD7">
        <w:rPr>
          <w:rFonts w:ascii="Times New Roman" w:hAnsi="Times New Roman" w:cs="Times New Roman"/>
          <w:sz w:val="26"/>
          <w:szCs w:val="26"/>
        </w:rPr>
        <w:t>đang mở rộng quy mô.</w:t>
      </w:r>
    </w:p>
    <w:p w14:paraId="0B41E9C4" w14:textId="77777777" w:rsidR="00086AD7" w:rsidRPr="00086AD7" w:rsidRDefault="00086AD7" w:rsidP="00086AD7">
      <w:pPr>
        <w:spacing w:before="120" w:after="120"/>
        <w:jc w:val="both"/>
        <w:rPr>
          <w:rFonts w:ascii="Times New Roman" w:hAnsi="Times New Roman" w:cs="Times New Roman"/>
          <w:sz w:val="26"/>
          <w:szCs w:val="26"/>
        </w:rPr>
      </w:pPr>
      <w:r w:rsidRPr="00086AD7">
        <w:rPr>
          <w:rFonts w:ascii="Times New Roman" w:hAnsi="Times New Roman" w:cs="Times New Roman"/>
          <w:sz w:val="26"/>
          <w:szCs w:val="26"/>
        </w:rPr>
        <w:t>Một lý do chính là khoảng trống bảo hiểm mà chương trình hướng tới đã phần nào được lấp đầy. Bảo hiểm rủi ro chiến tranh—dù chi phí cao hơn đáng kể—đã quay trở lại thị trường theo từng chuyến, cho phép chủ tàu mua bảo hiểm mà không cần dựa vào hỗ trợ của chính phủ.</w:t>
      </w:r>
    </w:p>
    <w:p w14:paraId="7AB1B2F5" w14:textId="76DD46BE" w:rsidR="00086AD7" w:rsidRPr="00086AD7" w:rsidRDefault="00086AD7" w:rsidP="00086AD7">
      <w:pPr>
        <w:spacing w:before="120" w:after="120"/>
        <w:jc w:val="both"/>
        <w:rPr>
          <w:rFonts w:ascii="Times New Roman" w:hAnsi="Times New Roman" w:cs="Times New Roman"/>
          <w:sz w:val="26"/>
          <w:szCs w:val="26"/>
        </w:rPr>
      </w:pPr>
      <w:r w:rsidRPr="00086AD7">
        <w:rPr>
          <w:rFonts w:ascii="Times New Roman" w:hAnsi="Times New Roman" w:cs="Times New Roman"/>
          <w:sz w:val="26"/>
          <w:szCs w:val="26"/>
        </w:rPr>
        <w:lastRenderedPageBreak/>
        <w:t xml:space="preserve">Chiến lược ban đầu của Mỹ dựa trên giả định rằng việc các công ty bảo hiểm rút lui là nút thắt chính khiến </w:t>
      </w:r>
      <w:r>
        <w:rPr>
          <w:rFonts w:ascii="Times New Roman" w:hAnsi="Times New Roman" w:cs="Times New Roman"/>
          <w:sz w:val="26"/>
          <w:szCs w:val="26"/>
        </w:rPr>
        <w:t xml:space="preserve">các </w:t>
      </w:r>
      <w:r w:rsidRPr="00086AD7">
        <w:rPr>
          <w:rFonts w:ascii="Times New Roman" w:hAnsi="Times New Roman" w:cs="Times New Roman"/>
          <w:sz w:val="26"/>
          <w:szCs w:val="26"/>
        </w:rPr>
        <w:t>tàu không đi qua Hormuz. Tuy nhiên, sau hơn một tháng khủng hoảng, các nhà khai thác dường như lo ngại rủi ro vật lý nhiều hơn là vấn đề bảo hiểm tài chính.</w:t>
      </w:r>
    </w:p>
    <w:p w14:paraId="0E2B4809" w14:textId="7921838F" w:rsidR="00086AD7" w:rsidRPr="00086AD7" w:rsidRDefault="00086AD7" w:rsidP="00086AD7">
      <w:pPr>
        <w:spacing w:before="120" w:after="120"/>
        <w:jc w:val="both"/>
        <w:rPr>
          <w:rFonts w:ascii="Times New Roman" w:hAnsi="Times New Roman" w:cs="Times New Roman"/>
          <w:sz w:val="26"/>
          <w:szCs w:val="26"/>
        </w:rPr>
      </w:pPr>
      <w:r w:rsidRPr="00086AD7">
        <w:rPr>
          <w:rFonts w:ascii="Times New Roman" w:hAnsi="Times New Roman" w:cs="Times New Roman"/>
          <w:sz w:val="26"/>
          <w:szCs w:val="26"/>
        </w:rPr>
        <w:t>Các cuộc tấn công bằng tên lửa và drone, nhiễu điện tử và điều kiện hành trình khó lường tiếp tục ảnh hưởng đến quyết định</w:t>
      </w:r>
      <w:r>
        <w:rPr>
          <w:rFonts w:ascii="Times New Roman" w:hAnsi="Times New Roman" w:cs="Times New Roman"/>
          <w:sz w:val="26"/>
          <w:szCs w:val="26"/>
        </w:rPr>
        <w:t xml:space="preserve"> của họ</w:t>
      </w:r>
      <w:r w:rsidRPr="00086AD7">
        <w:rPr>
          <w:rFonts w:ascii="Times New Roman" w:hAnsi="Times New Roman" w:cs="Times New Roman"/>
          <w:sz w:val="26"/>
          <w:szCs w:val="26"/>
        </w:rPr>
        <w:t>, khiến nhiều chủ tàu không muốn mạo hiểm với thuyền viên và tàu—ngay cả khi đã có bảo hiểm.</w:t>
      </w:r>
    </w:p>
    <w:p w14:paraId="2D772B75" w14:textId="03AF1A24" w:rsidR="00086AD7" w:rsidRPr="00086AD7" w:rsidRDefault="00086AD7" w:rsidP="00086AD7">
      <w:pPr>
        <w:spacing w:before="120" w:after="120"/>
        <w:jc w:val="both"/>
        <w:rPr>
          <w:rFonts w:ascii="Times New Roman" w:hAnsi="Times New Roman" w:cs="Times New Roman"/>
          <w:sz w:val="26"/>
          <w:szCs w:val="26"/>
        </w:rPr>
      </w:pPr>
      <w:r w:rsidRPr="00086AD7">
        <w:rPr>
          <w:rFonts w:ascii="Times New Roman" w:hAnsi="Times New Roman" w:cs="Times New Roman"/>
          <w:sz w:val="26"/>
          <w:szCs w:val="26"/>
        </w:rPr>
        <w:t xml:space="preserve">Việc thiếu sự hộ tống hải quân càng làm tăng sự dè dặt này. Dù giới chức Mỹ đã đề cập </w:t>
      </w:r>
      <w:r>
        <w:rPr>
          <w:rFonts w:ascii="Times New Roman" w:hAnsi="Times New Roman" w:cs="Times New Roman"/>
          <w:sz w:val="26"/>
          <w:szCs w:val="26"/>
        </w:rPr>
        <w:t xml:space="preserve">đến </w:t>
      </w:r>
      <w:r w:rsidRPr="00086AD7">
        <w:rPr>
          <w:rFonts w:ascii="Times New Roman" w:hAnsi="Times New Roman" w:cs="Times New Roman"/>
          <w:sz w:val="26"/>
          <w:szCs w:val="26"/>
        </w:rPr>
        <w:t>khả năng hỗ trợ quân sự, nhưng chưa có chương trình hộ tống nào được triển khai, buộc các tàu thương mại phải tự đánh giá rủi ro.</w:t>
      </w:r>
    </w:p>
    <w:p w14:paraId="4FCAE518" w14:textId="2782D419" w:rsidR="00086AD7" w:rsidRPr="00086AD7" w:rsidRDefault="00086AD7" w:rsidP="00086AD7">
      <w:pPr>
        <w:spacing w:before="120" w:after="120"/>
        <w:jc w:val="both"/>
        <w:rPr>
          <w:rFonts w:ascii="Times New Roman" w:hAnsi="Times New Roman" w:cs="Times New Roman"/>
          <w:sz w:val="26"/>
          <w:szCs w:val="26"/>
        </w:rPr>
      </w:pPr>
      <w:r w:rsidRPr="00086AD7">
        <w:rPr>
          <w:rFonts w:ascii="Times New Roman" w:hAnsi="Times New Roman" w:cs="Times New Roman"/>
          <w:sz w:val="26"/>
          <w:szCs w:val="26"/>
        </w:rPr>
        <w:t>Theo cấu trúc mở rộng</w:t>
      </w:r>
      <w:r>
        <w:rPr>
          <w:rFonts w:ascii="Times New Roman" w:hAnsi="Times New Roman" w:cs="Times New Roman"/>
          <w:sz w:val="26"/>
          <w:szCs w:val="26"/>
        </w:rPr>
        <w:t xml:space="preserve"> này</w:t>
      </w:r>
      <w:r w:rsidRPr="00086AD7">
        <w:rPr>
          <w:rFonts w:ascii="Times New Roman" w:hAnsi="Times New Roman" w:cs="Times New Roman"/>
          <w:sz w:val="26"/>
          <w:szCs w:val="26"/>
        </w:rPr>
        <w:t>, Chubb sẽ đóng vai trò nhà bảo hiểm chính, phát hành hợp đồng và xử lý bồi thường cho các loại bảo hiểm thân tàu (war hull), trách nhiệm (P&amp;I) và hàng hóa, với tổng năng lực hiện đạt 40 tỷ USD theo cơ chế luân phiên.</w:t>
      </w:r>
    </w:p>
    <w:p w14:paraId="35C3AF66" w14:textId="6CB0AE13" w:rsidR="00086AD7" w:rsidRPr="00086AD7" w:rsidRDefault="00086AD7" w:rsidP="00086AD7">
      <w:pPr>
        <w:spacing w:before="120" w:after="120"/>
        <w:jc w:val="both"/>
        <w:rPr>
          <w:rFonts w:ascii="Times New Roman" w:hAnsi="Times New Roman" w:cs="Times New Roman"/>
          <w:sz w:val="26"/>
          <w:szCs w:val="26"/>
        </w:rPr>
      </w:pPr>
      <w:r w:rsidRPr="00086AD7">
        <w:rPr>
          <w:rFonts w:ascii="Times New Roman" w:hAnsi="Times New Roman" w:cs="Times New Roman"/>
          <w:sz w:val="26"/>
          <w:szCs w:val="26"/>
        </w:rPr>
        <w:t xml:space="preserve">Điều kiện tham gia sẽ được kiểm soát chặt chẽ thông qua quy trình thẩm định đa cơ quan, bao gồm kiểm tra </w:t>
      </w:r>
      <w:r>
        <w:rPr>
          <w:rFonts w:ascii="Times New Roman" w:hAnsi="Times New Roman" w:cs="Times New Roman"/>
          <w:sz w:val="26"/>
          <w:szCs w:val="26"/>
        </w:rPr>
        <w:t xml:space="preserve">về </w:t>
      </w:r>
      <w:r w:rsidRPr="00086AD7">
        <w:rPr>
          <w:rFonts w:ascii="Times New Roman" w:hAnsi="Times New Roman" w:cs="Times New Roman"/>
          <w:sz w:val="26"/>
          <w:szCs w:val="26"/>
        </w:rPr>
        <w:t>trừng phạt và yêu cầu khai báo chi tiết về quyền sở hữu, hàng hóa và tài chính. Quy mô chương trình—cùng việc nhanh chóng có thêm các nhà bảo hiểm lớn tham gia—cho thấy sự phối hợp chặt chẽ giữa Washington và ngành bảo hiểm.</w:t>
      </w:r>
    </w:p>
    <w:p w14:paraId="2F2CA230" w14:textId="77777777" w:rsidR="00086AD7" w:rsidRPr="00086AD7" w:rsidRDefault="00086AD7" w:rsidP="00086AD7">
      <w:pPr>
        <w:spacing w:before="120" w:after="120"/>
        <w:jc w:val="both"/>
        <w:rPr>
          <w:rFonts w:ascii="Times New Roman" w:hAnsi="Times New Roman" w:cs="Times New Roman"/>
          <w:sz w:val="26"/>
          <w:szCs w:val="26"/>
        </w:rPr>
      </w:pPr>
      <w:r w:rsidRPr="00086AD7">
        <w:rPr>
          <w:rFonts w:ascii="Times New Roman" w:hAnsi="Times New Roman" w:cs="Times New Roman"/>
          <w:sz w:val="26"/>
          <w:szCs w:val="26"/>
        </w:rPr>
        <w:t xml:space="preserve">Tuy nhiên, phản ứng của thị trường vẫn khá </w:t>
      </w:r>
      <w:r w:rsidRPr="00086AD7">
        <w:rPr>
          <w:rFonts w:ascii="Times New Roman" w:hAnsi="Times New Roman" w:cs="Times New Roman"/>
          <w:color w:val="C00000"/>
          <w:sz w:val="26"/>
          <w:szCs w:val="26"/>
        </w:rPr>
        <w:t>trầm lắng</w:t>
      </w:r>
      <w:r w:rsidRPr="00086AD7">
        <w:rPr>
          <w:rFonts w:ascii="Times New Roman" w:hAnsi="Times New Roman" w:cs="Times New Roman"/>
          <w:sz w:val="26"/>
          <w:szCs w:val="26"/>
        </w:rPr>
        <w:t>. Lưu lượng tàu qua Eo biển Hormuz vẫn thấp hơn nhiều so với bình thường, sau khi từng giảm tới 90% ở đỉnh điểm gián đoạn, với nhiều tàu tiếp tục chờ đợi, chuyển hướng hoặc tránh hoàn toàn khu vực này.</w:t>
      </w:r>
    </w:p>
    <w:p w14:paraId="5E56E5E0" w14:textId="77777777" w:rsidR="00086AD7" w:rsidRDefault="00086AD7" w:rsidP="00086AD7">
      <w:pPr>
        <w:spacing w:before="120" w:after="120"/>
        <w:jc w:val="both"/>
        <w:rPr>
          <w:rFonts w:ascii="Times New Roman" w:hAnsi="Times New Roman" w:cs="Times New Roman"/>
          <w:sz w:val="26"/>
          <w:szCs w:val="26"/>
        </w:rPr>
      </w:pPr>
      <w:r w:rsidRPr="00086AD7">
        <w:rPr>
          <w:rFonts w:ascii="Times New Roman" w:hAnsi="Times New Roman" w:cs="Times New Roman"/>
          <w:sz w:val="26"/>
          <w:szCs w:val="26"/>
        </w:rPr>
        <w:t>Nếu không có cải thiện đáng kể về an ninh hoặc triển khai hộ tống hải quân, các chủ tàu có thể vẫn đứng ngoài cuộc bất chấp mức bảo hiểm được cung cấp lớn đến đâu.</w:t>
      </w:r>
    </w:p>
    <w:p w14:paraId="5EEAB179" w14:textId="6F53FA83" w:rsidR="00086AD7" w:rsidRPr="00086AD7" w:rsidRDefault="00086AD7" w:rsidP="00086AD7">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086AD7" w:rsidRPr="00086AD7" w:rsidSect="00086AD7">
      <w:pgSz w:w="12240" w:h="15840"/>
      <w:pgMar w:top="90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AD7"/>
    <w:rsid w:val="000501D0"/>
    <w:rsid w:val="00086AD7"/>
    <w:rsid w:val="008C4D70"/>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DBFCA"/>
  <w15:chartTrackingRefBased/>
  <w15:docId w15:val="{197349BE-94A2-4981-970E-E2357871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6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6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6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6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6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6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6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6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6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6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6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6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6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6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6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6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6AD7"/>
    <w:rPr>
      <w:rFonts w:eastAsiaTheme="majorEastAsia" w:cstheme="majorBidi"/>
      <w:color w:val="272727" w:themeColor="text1" w:themeTint="D8"/>
    </w:rPr>
  </w:style>
  <w:style w:type="paragraph" w:styleId="Title">
    <w:name w:val="Title"/>
    <w:basedOn w:val="Normal"/>
    <w:next w:val="Normal"/>
    <w:link w:val="TitleChar"/>
    <w:uiPriority w:val="10"/>
    <w:qFormat/>
    <w:rsid w:val="00086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6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6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6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6AD7"/>
    <w:pPr>
      <w:spacing w:before="160"/>
      <w:jc w:val="center"/>
    </w:pPr>
    <w:rPr>
      <w:i/>
      <w:iCs/>
      <w:color w:val="404040" w:themeColor="text1" w:themeTint="BF"/>
    </w:rPr>
  </w:style>
  <w:style w:type="character" w:customStyle="1" w:styleId="QuoteChar">
    <w:name w:val="Quote Char"/>
    <w:basedOn w:val="DefaultParagraphFont"/>
    <w:link w:val="Quote"/>
    <w:uiPriority w:val="29"/>
    <w:rsid w:val="00086AD7"/>
    <w:rPr>
      <w:i/>
      <w:iCs/>
      <w:color w:val="404040" w:themeColor="text1" w:themeTint="BF"/>
    </w:rPr>
  </w:style>
  <w:style w:type="paragraph" w:styleId="ListParagraph">
    <w:name w:val="List Paragraph"/>
    <w:basedOn w:val="Normal"/>
    <w:uiPriority w:val="34"/>
    <w:qFormat/>
    <w:rsid w:val="00086AD7"/>
    <w:pPr>
      <w:ind w:left="720"/>
      <w:contextualSpacing/>
    </w:pPr>
  </w:style>
  <w:style w:type="character" w:styleId="IntenseEmphasis">
    <w:name w:val="Intense Emphasis"/>
    <w:basedOn w:val="DefaultParagraphFont"/>
    <w:uiPriority w:val="21"/>
    <w:qFormat/>
    <w:rsid w:val="00086AD7"/>
    <w:rPr>
      <w:i/>
      <w:iCs/>
      <w:color w:val="0F4761" w:themeColor="accent1" w:themeShade="BF"/>
    </w:rPr>
  </w:style>
  <w:style w:type="paragraph" w:styleId="IntenseQuote">
    <w:name w:val="Intense Quote"/>
    <w:basedOn w:val="Normal"/>
    <w:next w:val="Normal"/>
    <w:link w:val="IntenseQuoteChar"/>
    <w:uiPriority w:val="30"/>
    <w:qFormat/>
    <w:rsid w:val="00086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6AD7"/>
    <w:rPr>
      <w:i/>
      <w:iCs/>
      <w:color w:val="0F4761" w:themeColor="accent1" w:themeShade="BF"/>
    </w:rPr>
  </w:style>
  <w:style w:type="character" w:styleId="IntenseReference">
    <w:name w:val="Intense Reference"/>
    <w:basedOn w:val="DefaultParagraphFont"/>
    <w:uiPriority w:val="32"/>
    <w:qFormat/>
    <w:rsid w:val="00086AD7"/>
    <w:rPr>
      <w:b/>
      <w:bCs/>
      <w:smallCaps/>
      <w:color w:val="0F4761" w:themeColor="accent1" w:themeShade="BF"/>
      <w:spacing w:val="5"/>
    </w:rPr>
  </w:style>
  <w:style w:type="character" w:styleId="Hyperlink">
    <w:name w:val="Hyperlink"/>
    <w:basedOn w:val="DefaultParagraphFont"/>
    <w:uiPriority w:val="99"/>
    <w:unhideWhenUsed/>
    <w:rsid w:val="00086AD7"/>
    <w:rPr>
      <w:color w:val="467886" w:themeColor="hyperlink"/>
      <w:u w:val="single"/>
    </w:rPr>
  </w:style>
  <w:style w:type="character" w:styleId="UnresolvedMention">
    <w:name w:val="Unresolved Mention"/>
    <w:basedOn w:val="DefaultParagraphFont"/>
    <w:uiPriority w:val="99"/>
    <w:semiHidden/>
    <w:unhideWhenUsed/>
    <w:rsid w:val="00086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m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492</Words>
  <Characters>2810</Characters>
  <Application>Microsoft Office Word</Application>
  <DocSecurity>0</DocSecurity>
  <Lines>23</Lines>
  <Paragraphs>6</Paragraphs>
  <ScaleCrop>false</ScaleCrop>
  <Company>HP</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2026-04-07T03:48:00Z</dcterms:created>
  <dcterms:modified xsi:type="dcterms:W3CDTF">2026-04-07T03:57:00Z</dcterms:modified>
</cp:coreProperties>
</file>