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2AE89" w14:textId="0BEF3B9F" w:rsidR="001D3249" w:rsidRPr="001D3249" w:rsidRDefault="001D3249" w:rsidP="001D3249">
      <w:pPr>
        <w:spacing w:line="240" w:lineRule="auto"/>
        <w:jc w:val="center"/>
        <w:rPr>
          <w:rFonts w:ascii="Times New Roman" w:hAnsi="Times New Roman" w:cs="Times New Roman"/>
          <w:b/>
          <w:bCs/>
          <w:color w:val="156082" w:themeColor="accent1"/>
          <w:sz w:val="40"/>
          <w:szCs w:val="40"/>
        </w:rPr>
      </w:pPr>
      <w:r w:rsidRPr="001D3249">
        <w:rPr>
          <w:rFonts w:ascii="Times New Roman" w:hAnsi="Times New Roman" w:cs="Times New Roman"/>
          <w:b/>
          <w:bCs/>
          <w:color w:val="156082" w:themeColor="accent1"/>
          <w:sz w:val="40"/>
          <w:szCs w:val="40"/>
        </w:rPr>
        <w:t>K</w:t>
      </w:r>
      <w:r w:rsidRPr="001D3249">
        <w:rPr>
          <w:rFonts w:ascii="Times New Roman" w:hAnsi="Times New Roman" w:cs="Times New Roman"/>
          <w:b/>
          <w:bCs/>
          <w:color w:val="156082" w:themeColor="accent1"/>
          <w:sz w:val="40"/>
          <w:szCs w:val="40"/>
        </w:rPr>
        <w:t xml:space="preserve">huyến nghị sửa đổi của IMO về việc vào không gian kín </w:t>
      </w:r>
      <w:r>
        <w:rPr>
          <w:rFonts w:ascii="Times New Roman" w:hAnsi="Times New Roman" w:cs="Times New Roman"/>
          <w:b/>
          <w:bCs/>
          <w:color w:val="156082" w:themeColor="accent1"/>
          <w:sz w:val="40"/>
          <w:szCs w:val="40"/>
        </w:rPr>
        <w:t xml:space="preserve">ở </w:t>
      </w:r>
      <w:r w:rsidRPr="001D3249">
        <w:rPr>
          <w:rFonts w:ascii="Times New Roman" w:hAnsi="Times New Roman" w:cs="Times New Roman"/>
          <w:b/>
          <w:bCs/>
          <w:color w:val="156082" w:themeColor="accent1"/>
          <w:sz w:val="40"/>
          <w:szCs w:val="40"/>
        </w:rPr>
        <w:t>trên tàu</w:t>
      </w:r>
    </w:p>
    <w:p w14:paraId="587D8D6B" w14:textId="203DC1B0" w:rsidR="001D3249" w:rsidRPr="001D3249" w:rsidRDefault="001D3249" w:rsidP="001D3249">
      <w:pPr>
        <w:spacing w:line="240" w:lineRule="auto"/>
        <w:jc w:val="right"/>
        <w:rPr>
          <w:rFonts w:ascii="Times New Roman" w:hAnsi="Times New Roman" w:cs="Times New Roman"/>
          <w:b/>
          <w:bCs/>
          <w:color w:val="156082" w:themeColor="accent1"/>
          <w:sz w:val="28"/>
          <w:szCs w:val="28"/>
        </w:rPr>
      </w:pPr>
      <w:r w:rsidRPr="001D3249">
        <w:rPr>
          <w:rFonts w:ascii="Times New Roman" w:hAnsi="Times New Roman" w:cs="Times New Roman"/>
          <w:b/>
          <w:bCs/>
          <w:color w:val="156082" w:themeColor="accent1"/>
          <w:sz w:val="28"/>
          <w:szCs w:val="28"/>
        </w:rPr>
        <w:t>DNV</w:t>
      </w:r>
    </w:p>
    <w:p w14:paraId="0EA52477" w14:textId="00DFF2F5" w:rsidR="001D3249" w:rsidRPr="001D3249" w:rsidRDefault="001D3249" w:rsidP="001D3249">
      <w:pPr>
        <w:jc w:val="both"/>
        <w:rPr>
          <w:rFonts w:ascii="Times New Roman" w:hAnsi="Times New Roman" w:cs="Times New Roman"/>
          <w:sz w:val="26"/>
          <w:szCs w:val="26"/>
        </w:rPr>
      </w:pPr>
      <w:r w:rsidRPr="001D3249">
        <w:rPr>
          <w:rFonts w:ascii="Times New Roman" w:hAnsi="Times New Roman" w:cs="Times New Roman"/>
          <w:sz w:val="26"/>
          <w:szCs w:val="26"/>
        </w:rPr>
        <w:t>Việc vào không gian kín vẫn là một thách thức lớn về an toàn trong khai thác tàu và điều kiện làm việc của thuyền viên. Ngày 27/6/2025, I</w:t>
      </w:r>
      <w:r w:rsidRPr="001D3249">
        <w:rPr>
          <w:rFonts w:ascii="Times New Roman" w:hAnsi="Times New Roman" w:cs="Times New Roman"/>
          <w:sz w:val="26"/>
          <w:szCs w:val="26"/>
        </w:rPr>
        <w:t>MO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D3249">
        <w:rPr>
          <w:rFonts w:ascii="Times New Roman" w:hAnsi="Times New Roman" w:cs="Times New Roman"/>
          <w:sz w:val="26"/>
          <w:szCs w:val="26"/>
        </w:rPr>
        <w:t xml:space="preserve">đã thông qua các khuyến nghị sửa đổi về việc vào không gian kín </w:t>
      </w:r>
      <w:r>
        <w:rPr>
          <w:rFonts w:ascii="Times New Roman" w:hAnsi="Times New Roman" w:cs="Times New Roman"/>
          <w:sz w:val="26"/>
          <w:szCs w:val="26"/>
        </w:rPr>
        <w:t xml:space="preserve">ở </w:t>
      </w:r>
      <w:r w:rsidRPr="001D3249">
        <w:rPr>
          <w:rFonts w:ascii="Times New Roman" w:hAnsi="Times New Roman" w:cs="Times New Roman"/>
          <w:sz w:val="26"/>
          <w:szCs w:val="26"/>
        </w:rPr>
        <w:t xml:space="preserve">trên tàu, cần được thực hiện theo hệ thống quản lý an toàn (SMS). Bản tin này tóm tắt nội dung chính của </w:t>
      </w:r>
      <w:r>
        <w:rPr>
          <w:rFonts w:ascii="Times New Roman" w:hAnsi="Times New Roman" w:cs="Times New Roman"/>
          <w:sz w:val="26"/>
          <w:szCs w:val="26"/>
        </w:rPr>
        <w:t>chủ</w:t>
      </w:r>
      <w:r w:rsidRPr="001D3249">
        <w:rPr>
          <w:rFonts w:ascii="Times New Roman" w:hAnsi="Times New Roman" w:cs="Times New Roman"/>
          <w:sz w:val="26"/>
          <w:szCs w:val="26"/>
        </w:rPr>
        <w:t xml:space="preserve"> đề</w:t>
      </w:r>
      <w:r>
        <w:rPr>
          <w:rFonts w:ascii="Times New Roman" w:hAnsi="Times New Roman" w:cs="Times New Roman"/>
          <w:sz w:val="26"/>
          <w:szCs w:val="26"/>
        </w:rPr>
        <w:t xml:space="preserve"> này</w:t>
      </w:r>
      <w:r w:rsidRPr="001D3249">
        <w:rPr>
          <w:rFonts w:ascii="Times New Roman" w:hAnsi="Times New Roman" w:cs="Times New Roman"/>
          <w:sz w:val="26"/>
          <w:szCs w:val="26"/>
        </w:rPr>
        <w:t>.</w:t>
      </w:r>
    </w:p>
    <w:p w14:paraId="70749D4E" w14:textId="62267C44" w:rsidR="001D3249" w:rsidRPr="001D3249" w:rsidRDefault="001D3249" w:rsidP="001D3249">
      <w:pPr>
        <w:jc w:val="both"/>
        <w:rPr>
          <w:i/>
          <w:iCs/>
        </w:rPr>
      </w:pPr>
      <w:r w:rsidRPr="001D3249">
        <w:rPr>
          <w:rFonts w:ascii="Times New Roman" w:hAnsi="Times New Roman" w:cs="Times New Roman"/>
          <w:b/>
          <w:bCs/>
          <w:i/>
          <w:iCs/>
          <w:sz w:val="26"/>
          <w:szCs w:val="26"/>
        </w:rPr>
        <w:t>Đối tượng áp dụng:</w:t>
      </w:r>
      <w:r w:rsidRPr="001D3249">
        <w:rPr>
          <w:rFonts w:ascii="Times New Roman" w:hAnsi="Times New Roman" w:cs="Times New Roman"/>
          <w:i/>
          <w:iCs/>
          <w:sz w:val="26"/>
          <w:szCs w:val="26"/>
        </w:rPr>
        <w:t xml:space="preserve"> Nhà cung </w:t>
      </w:r>
      <w:r w:rsidRPr="001D3249">
        <w:rPr>
          <w:rFonts w:ascii="Times New Roman" w:hAnsi="Times New Roman" w:cs="Times New Roman"/>
          <w:i/>
          <w:iCs/>
          <w:sz w:val="26"/>
          <w:szCs w:val="26"/>
        </w:rPr>
        <w:t>ứng</w:t>
      </w:r>
      <w:r w:rsidRPr="001D3249">
        <w:rPr>
          <w:rFonts w:ascii="Times New Roman" w:hAnsi="Times New Roman" w:cs="Times New Roman"/>
          <w:i/>
          <w:iCs/>
          <w:sz w:val="26"/>
          <w:szCs w:val="26"/>
        </w:rPr>
        <w:t xml:space="preserve">, nhà sản xuất, chủ tàu/người quản lý và quốc gia </w:t>
      </w:r>
      <w:r w:rsidRPr="001D3249">
        <w:rPr>
          <w:rFonts w:ascii="Times New Roman" w:hAnsi="Times New Roman" w:cs="Times New Roman"/>
          <w:i/>
          <w:iCs/>
          <w:sz w:val="26"/>
          <w:szCs w:val="26"/>
        </w:rPr>
        <w:t>đăng ký tàu</w:t>
      </w:r>
      <w:r w:rsidRPr="001D3249">
        <w:rPr>
          <w:i/>
          <w:iCs/>
        </w:rPr>
        <w:t>.</w:t>
      </w:r>
    </w:p>
    <w:p w14:paraId="123A67A4" w14:textId="66A02F20" w:rsidR="001D3249" w:rsidRPr="001D3249" w:rsidRDefault="001D3249" w:rsidP="00450943">
      <w:pPr>
        <w:jc w:val="center"/>
      </w:pPr>
      <w:r w:rsidRPr="001D3249">
        <w:rPr>
          <w:i/>
          <w:iCs/>
        </w:rPr>
        <w:drawing>
          <wp:inline distT="0" distB="0" distL="0" distR="0" wp14:anchorId="3B08730E" wp14:editId="438529C4">
            <wp:extent cx="5943600" cy="2968625"/>
            <wp:effectExtent l="0" t="0" r="0" b="3175"/>
            <wp:docPr id="916677536" name="Picture 2" descr="Revised IMO recommendations for entering enclosed spa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vised IMO recommendations for entering enclosed spac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6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9D9F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5"/>
        <w:gridCol w:w="4803"/>
      </w:tblGrid>
      <w:tr w:rsidR="001D3249" w:rsidRPr="001D3249" w14:paraId="7C367F8B" w14:textId="77777777" w:rsidTr="001D3249">
        <w:trPr>
          <w:trHeight w:val="140"/>
        </w:trPr>
        <w:tc>
          <w:tcPr>
            <w:tcW w:w="5035" w:type="dxa"/>
            <w:shd w:val="clear" w:color="auto" w:fill="99D9F0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4203F0C1" w14:textId="08F45C9C" w:rsidR="001D3249" w:rsidRPr="001D3249" w:rsidRDefault="001D3249" w:rsidP="001D324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NHỮNG ĐIỀU CẦN BIẾT</w:t>
            </w:r>
          </w:p>
        </w:tc>
        <w:tc>
          <w:tcPr>
            <w:tcW w:w="4803" w:type="dxa"/>
            <w:shd w:val="clear" w:color="auto" w:fill="99D9F0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2C380577" w14:textId="77777777" w:rsidR="001D3249" w:rsidRPr="001D3249" w:rsidRDefault="001D3249" w:rsidP="004F3510">
            <w:r w:rsidRPr="001D3249">
              <w:t> </w:t>
            </w:r>
          </w:p>
        </w:tc>
      </w:tr>
      <w:tr w:rsidR="001D3249" w:rsidRPr="001D3249" w14:paraId="089FF945" w14:textId="77777777" w:rsidTr="00450943">
        <w:trPr>
          <w:trHeight w:val="3137"/>
        </w:trPr>
        <w:tc>
          <w:tcPr>
            <w:tcW w:w="5035" w:type="dxa"/>
            <w:shd w:val="clear" w:color="auto" w:fill="99D9F0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51C7E51E" w14:textId="3A03CDF7" w:rsidR="001D3249" w:rsidRPr="001D3249" w:rsidRDefault="001D3249" w:rsidP="004F3510">
            <w:pPr>
              <w:numPr>
                <w:ilvl w:val="0"/>
                <w:numId w:val="1"/>
              </w:numPr>
            </w:pPr>
            <w:r w:rsidRPr="001D3249">
              <w:t xml:space="preserve">Việc liên tục và có hệ thống trong việc không nhận diện </w:t>
            </w:r>
            <w:r w:rsidRPr="001D3249">
              <w:t xml:space="preserve">các </w:t>
            </w:r>
            <w:r w:rsidRPr="001D3249">
              <w:t>mối nguy</w:t>
            </w:r>
            <w:r w:rsidRPr="001D3249">
              <w:t xml:space="preserve"> hiểm</w:t>
            </w:r>
            <w:r w:rsidRPr="001D3249">
              <w:t>, đánh giá rủi ro và áp dụng quy trình phù hợp vẫn là nguyên nhân quan trọng dẫn đến nhiều tai nạn</w:t>
            </w:r>
          </w:p>
          <w:p w14:paraId="7CAD7FD8" w14:textId="1179421C" w:rsidR="001D3249" w:rsidRPr="001D3249" w:rsidRDefault="001D3249" w:rsidP="004F3510">
            <w:pPr>
              <w:numPr>
                <w:ilvl w:val="0"/>
                <w:numId w:val="1"/>
              </w:numPr>
            </w:pPr>
            <w:r w:rsidRPr="001D3249">
              <w:t>Hệ thống quản lý an toàn phải được rà soát để đảm bảo an toàn liên quan đến không gian kín</w:t>
            </w:r>
          </w:p>
        </w:tc>
        <w:tc>
          <w:tcPr>
            <w:tcW w:w="4803" w:type="dxa"/>
            <w:shd w:val="clear" w:color="auto" w:fill="99D9F0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270E7A68" w14:textId="23C2CB1A" w:rsidR="001D3249" w:rsidRPr="001D3249" w:rsidRDefault="001D3249" w:rsidP="004F3510">
            <w:pPr>
              <w:numPr>
                <w:ilvl w:val="0"/>
                <w:numId w:val="2"/>
              </w:numPr>
            </w:pPr>
            <w:r w:rsidRPr="001D3249">
              <w:t xml:space="preserve">Vai trò lãnh đạo của tổ chức, cả </w:t>
            </w:r>
            <w:r>
              <w:t xml:space="preserve">ở </w:t>
            </w:r>
            <w:r w:rsidRPr="001D3249">
              <w:t>trên tàu và trên bờ, là yếu tố then chốt để triển khai thành công các biện pháp</w:t>
            </w:r>
          </w:p>
          <w:p w14:paraId="717AA1D9" w14:textId="13CB7035" w:rsidR="001D3249" w:rsidRPr="001D3249" w:rsidRDefault="00450943" w:rsidP="004F3510">
            <w:pPr>
              <w:numPr>
                <w:ilvl w:val="0"/>
                <w:numId w:val="2"/>
              </w:numPr>
            </w:pPr>
            <w:r w:rsidRPr="00450943">
              <w:t>Việc trao quyền cho thuyền viên đưa ra quyết định đúng đắn là rất cần thiết</w:t>
            </w:r>
          </w:p>
        </w:tc>
      </w:tr>
    </w:tbl>
    <w:p w14:paraId="560D31C4" w14:textId="723450FF" w:rsidR="00450943" w:rsidRPr="00450943" w:rsidRDefault="00450943" w:rsidP="00450943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50943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Vì sao cần cập nhật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các </w:t>
      </w:r>
      <w:r w:rsidRPr="00450943">
        <w:rPr>
          <w:rFonts w:ascii="Times New Roman" w:hAnsi="Times New Roman" w:cs="Times New Roman"/>
          <w:b/>
          <w:bCs/>
          <w:sz w:val="26"/>
          <w:szCs w:val="26"/>
        </w:rPr>
        <w:t>khuyến nghị</w:t>
      </w:r>
    </w:p>
    <w:p w14:paraId="64A3266F" w14:textId="61FEBCF6" w:rsidR="00450943" w:rsidRPr="00450943" w:rsidRDefault="00450943" w:rsidP="00450943">
      <w:pPr>
        <w:spacing w:before="120" w:after="0"/>
        <w:jc w:val="both"/>
        <w:rPr>
          <w:rFonts w:ascii="Times New Roman" w:hAnsi="Times New Roman" w:cs="Times New Roman"/>
          <w:sz w:val="26"/>
          <w:szCs w:val="26"/>
        </w:rPr>
      </w:pPr>
      <w:r w:rsidRPr="00450943">
        <w:rPr>
          <w:rFonts w:ascii="Times New Roman" w:hAnsi="Times New Roman" w:cs="Times New Roman"/>
          <w:sz w:val="26"/>
          <w:szCs w:val="26"/>
        </w:rPr>
        <w:t xml:space="preserve">Ngành hàng hải vẫn ghi nhận các trường hợp tử vong khi con người vào </w:t>
      </w:r>
      <w:r>
        <w:rPr>
          <w:rFonts w:ascii="Times New Roman" w:hAnsi="Times New Roman" w:cs="Times New Roman"/>
          <w:sz w:val="26"/>
          <w:szCs w:val="26"/>
        </w:rPr>
        <w:t>những</w:t>
      </w:r>
      <w:r w:rsidRPr="00450943">
        <w:rPr>
          <w:rFonts w:ascii="Times New Roman" w:hAnsi="Times New Roman" w:cs="Times New Roman"/>
          <w:sz w:val="26"/>
          <w:szCs w:val="26"/>
        </w:rPr>
        <w:t xml:space="preserve"> không gian </w:t>
      </w:r>
      <w:r>
        <w:rPr>
          <w:rFonts w:ascii="Times New Roman" w:hAnsi="Times New Roman" w:cs="Times New Roman"/>
          <w:sz w:val="26"/>
          <w:szCs w:val="26"/>
        </w:rPr>
        <w:t xml:space="preserve">ở </w:t>
      </w:r>
      <w:r w:rsidRPr="00450943">
        <w:rPr>
          <w:rFonts w:ascii="Times New Roman" w:hAnsi="Times New Roman" w:cs="Times New Roman"/>
          <w:sz w:val="26"/>
          <w:szCs w:val="26"/>
        </w:rPr>
        <w:t>trên tàu mà bầu không khí không thể duy trì sự sống, do</w:t>
      </w:r>
      <w:r>
        <w:rPr>
          <w:rFonts w:ascii="Times New Roman" w:hAnsi="Times New Roman" w:cs="Times New Roman"/>
          <w:sz w:val="26"/>
          <w:szCs w:val="26"/>
        </w:rPr>
        <w:t xml:space="preserve"> t</w:t>
      </w:r>
      <w:r w:rsidRPr="00450943">
        <w:rPr>
          <w:rFonts w:ascii="Times New Roman" w:hAnsi="Times New Roman" w:cs="Times New Roman"/>
          <w:sz w:val="26"/>
          <w:szCs w:val="26"/>
        </w:rPr>
        <w:t>hiếu oxy</w:t>
      </w:r>
      <w:r>
        <w:rPr>
          <w:rFonts w:ascii="Times New Roman" w:hAnsi="Times New Roman" w:cs="Times New Roman"/>
          <w:sz w:val="26"/>
          <w:szCs w:val="26"/>
        </w:rPr>
        <w:t>, d</w:t>
      </w:r>
      <w:r w:rsidRPr="00450943">
        <w:rPr>
          <w:rFonts w:ascii="Times New Roman" w:hAnsi="Times New Roman" w:cs="Times New Roman"/>
          <w:sz w:val="26"/>
          <w:szCs w:val="26"/>
        </w:rPr>
        <w:t>ư thừa oxy</w:t>
      </w:r>
      <w:r>
        <w:rPr>
          <w:rFonts w:ascii="Times New Roman" w:hAnsi="Times New Roman" w:cs="Times New Roman"/>
          <w:sz w:val="26"/>
          <w:szCs w:val="26"/>
        </w:rPr>
        <w:t>, có đ</w:t>
      </w:r>
      <w:r w:rsidRPr="00450943">
        <w:rPr>
          <w:rFonts w:ascii="Times New Roman" w:hAnsi="Times New Roman" w:cs="Times New Roman"/>
          <w:sz w:val="26"/>
          <w:szCs w:val="26"/>
        </w:rPr>
        <w:t xml:space="preserve">ộc tính </w:t>
      </w:r>
      <w:r>
        <w:rPr>
          <w:rFonts w:ascii="Times New Roman" w:hAnsi="Times New Roman" w:cs="Times New Roman"/>
          <w:sz w:val="26"/>
          <w:szCs w:val="26"/>
        </w:rPr>
        <w:t>hoặc có k</w:t>
      </w:r>
      <w:r w:rsidRPr="00450943">
        <w:rPr>
          <w:rFonts w:ascii="Times New Roman" w:hAnsi="Times New Roman" w:cs="Times New Roman"/>
          <w:sz w:val="26"/>
          <w:szCs w:val="26"/>
        </w:rPr>
        <w:t>hả năng cháy nổ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450943">
        <w:rPr>
          <w:rFonts w:ascii="Times New Roman" w:hAnsi="Times New Roman" w:cs="Times New Roman"/>
          <w:sz w:val="26"/>
          <w:szCs w:val="26"/>
        </w:rPr>
        <w:t>Do đó, IMO đã ban hành các khuyến nghị sửa đổi về việc vào không gian kín theo Nghị quyết IMO 581(110).</w:t>
      </w:r>
    </w:p>
    <w:p w14:paraId="53B0479F" w14:textId="593BF73B" w:rsidR="00450943" w:rsidRPr="00450943" w:rsidRDefault="00450943" w:rsidP="00450943">
      <w:p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450943">
        <w:rPr>
          <w:rFonts w:ascii="Times New Roman" w:hAnsi="Times New Roman" w:cs="Times New Roman"/>
          <w:sz w:val="26"/>
          <w:szCs w:val="26"/>
        </w:rPr>
        <w:t xml:space="preserve">Các cuộc điều tra tai nạn </w:t>
      </w:r>
      <w:r>
        <w:rPr>
          <w:rFonts w:ascii="Times New Roman" w:hAnsi="Times New Roman" w:cs="Times New Roman"/>
          <w:sz w:val="26"/>
          <w:szCs w:val="26"/>
        </w:rPr>
        <w:t xml:space="preserve">khi vào không gian kín </w:t>
      </w:r>
      <w:r w:rsidRPr="00450943">
        <w:rPr>
          <w:rFonts w:ascii="Times New Roman" w:hAnsi="Times New Roman" w:cs="Times New Roman"/>
          <w:sz w:val="26"/>
          <w:szCs w:val="26"/>
        </w:rPr>
        <w:t xml:space="preserve">cho thấy nhiều </w:t>
      </w:r>
      <w:r>
        <w:rPr>
          <w:rFonts w:ascii="Times New Roman" w:hAnsi="Times New Roman" w:cs="Times New Roman"/>
          <w:sz w:val="26"/>
          <w:szCs w:val="26"/>
        </w:rPr>
        <w:t>tai nạn</w:t>
      </w:r>
      <w:r w:rsidRPr="00450943">
        <w:rPr>
          <w:rFonts w:ascii="Times New Roman" w:hAnsi="Times New Roman" w:cs="Times New Roman"/>
          <w:sz w:val="26"/>
          <w:szCs w:val="26"/>
        </w:rPr>
        <w:t xml:space="preserve"> xảy ra do</w:t>
      </w:r>
      <w:r>
        <w:rPr>
          <w:rFonts w:ascii="Times New Roman" w:hAnsi="Times New Roman" w:cs="Times New Roman"/>
          <w:sz w:val="26"/>
          <w:szCs w:val="26"/>
        </w:rPr>
        <w:t xml:space="preserve"> k</w:t>
      </w:r>
      <w:r w:rsidRPr="00450943">
        <w:rPr>
          <w:rFonts w:ascii="Times New Roman" w:hAnsi="Times New Roman" w:cs="Times New Roman"/>
          <w:sz w:val="26"/>
          <w:szCs w:val="26"/>
        </w:rPr>
        <w:t xml:space="preserve">hông xác định đầy đủ mối nguy </w:t>
      </w:r>
      <w:r>
        <w:rPr>
          <w:rFonts w:ascii="Times New Roman" w:hAnsi="Times New Roman" w:cs="Times New Roman"/>
          <w:sz w:val="26"/>
          <w:szCs w:val="26"/>
        </w:rPr>
        <w:t>hiểm, k</w:t>
      </w:r>
      <w:r w:rsidRPr="00450943">
        <w:rPr>
          <w:rFonts w:ascii="Times New Roman" w:hAnsi="Times New Roman" w:cs="Times New Roman"/>
          <w:sz w:val="26"/>
          <w:szCs w:val="26"/>
        </w:rPr>
        <w:t xml:space="preserve">hông đánh giá rủi ro một cách hệ thống </w:t>
      </w:r>
      <w:r>
        <w:rPr>
          <w:rFonts w:ascii="Times New Roman" w:hAnsi="Times New Roman" w:cs="Times New Roman"/>
          <w:sz w:val="26"/>
          <w:szCs w:val="26"/>
        </w:rPr>
        <w:t>và k</w:t>
      </w:r>
      <w:r w:rsidRPr="00450943">
        <w:rPr>
          <w:rFonts w:ascii="Times New Roman" w:hAnsi="Times New Roman" w:cs="Times New Roman"/>
          <w:sz w:val="26"/>
          <w:szCs w:val="26"/>
        </w:rPr>
        <w:t>hông áp dụng đúng quy trình vào không gian kín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450943">
        <w:rPr>
          <w:rFonts w:ascii="Times New Roman" w:hAnsi="Times New Roman" w:cs="Times New Roman"/>
          <w:sz w:val="26"/>
          <w:szCs w:val="26"/>
        </w:rPr>
        <w:t>Ngoài ra, cấu trúc phức tạp của một số không gian trên tàu gây khó khăn cho</w:t>
      </w:r>
      <w:r>
        <w:rPr>
          <w:rFonts w:ascii="Times New Roman" w:hAnsi="Times New Roman" w:cs="Times New Roman"/>
          <w:sz w:val="26"/>
          <w:szCs w:val="26"/>
        </w:rPr>
        <w:t xml:space="preserve"> việc t</w:t>
      </w:r>
      <w:r w:rsidRPr="00450943">
        <w:rPr>
          <w:rFonts w:ascii="Times New Roman" w:hAnsi="Times New Roman" w:cs="Times New Roman"/>
          <w:sz w:val="26"/>
          <w:szCs w:val="26"/>
        </w:rPr>
        <w:t>hông gió</w:t>
      </w:r>
      <w:r>
        <w:rPr>
          <w:rFonts w:ascii="Times New Roman" w:hAnsi="Times New Roman" w:cs="Times New Roman"/>
          <w:sz w:val="26"/>
          <w:szCs w:val="26"/>
        </w:rPr>
        <w:t>, chiếu</w:t>
      </w:r>
      <w:r w:rsidRPr="00450943">
        <w:rPr>
          <w:rFonts w:ascii="Times New Roman" w:hAnsi="Times New Roman" w:cs="Times New Roman"/>
          <w:sz w:val="26"/>
          <w:szCs w:val="26"/>
        </w:rPr>
        <w:t xml:space="preserve"> sáng </w:t>
      </w:r>
      <w:r>
        <w:rPr>
          <w:rFonts w:ascii="Times New Roman" w:hAnsi="Times New Roman" w:cs="Times New Roman"/>
          <w:sz w:val="26"/>
          <w:szCs w:val="26"/>
        </w:rPr>
        <w:t>và d</w:t>
      </w:r>
      <w:r w:rsidRPr="00450943">
        <w:rPr>
          <w:rFonts w:ascii="Times New Roman" w:hAnsi="Times New Roman" w:cs="Times New Roman"/>
          <w:sz w:val="26"/>
          <w:szCs w:val="26"/>
        </w:rPr>
        <w:t>i chuyển an toàn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45094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CB89094" w14:textId="04037D5E" w:rsidR="00450943" w:rsidRPr="00450943" w:rsidRDefault="00450943" w:rsidP="0045094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50943">
        <w:rPr>
          <w:rFonts w:ascii="Times New Roman" w:hAnsi="Times New Roman" w:cs="Times New Roman"/>
          <w:sz w:val="26"/>
          <w:szCs w:val="26"/>
        </w:rPr>
        <w:t xml:space="preserve">Vai trò lãnh đạo, cả </w:t>
      </w:r>
      <w:r>
        <w:rPr>
          <w:rFonts w:ascii="Times New Roman" w:hAnsi="Times New Roman" w:cs="Times New Roman"/>
          <w:sz w:val="26"/>
          <w:szCs w:val="26"/>
        </w:rPr>
        <w:t xml:space="preserve">ở </w:t>
      </w:r>
      <w:r w:rsidRPr="00450943">
        <w:rPr>
          <w:rFonts w:ascii="Times New Roman" w:hAnsi="Times New Roman" w:cs="Times New Roman"/>
          <w:sz w:val="26"/>
          <w:szCs w:val="26"/>
        </w:rPr>
        <w:t xml:space="preserve">trên tàu và trên bờ, là rất quan trọng để đảm bảo hướng dẫn này được thực hiện đúng, đồng thời trao quyền cho thuyền viên </w:t>
      </w:r>
      <w:r>
        <w:rPr>
          <w:rFonts w:ascii="Times New Roman" w:hAnsi="Times New Roman" w:cs="Times New Roman"/>
          <w:sz w:val="26"/>
          <w:szCs w:val="26"/>
        </w:rPr>
        <w:t xml:space="preserve">được </w:t>
      </w:r>
      <w:r w:rsidRPr="00450943">
        <w:rPr>
          <w:rFonts w:ascii="Times New Roman" w:hAnsi="Times New Roman" w:cs="Times New Roman"/>
          <w:sz w:val="26"/>
          <w:szCs w:val="26"/>
        </w:rPr>
        <w:t xml:space="preserve">đưa ra </w:t>
      </w:r>
      <w:r>
        <w:rPr>
          <w:rFonts w:ascii="Times New Roman" w:hAnsi="Times New Roman" w:cs="Times New Roman"/>
          <w:sz w:val="26"/>
          <w:szCs w:val="26"/>
        </w:rPr>
        <w:t xml:space="preserve">các </w:t>
      </w:r>
      <w:r w:rsidRPr="00450943">
        <w:rPr>
          <w:rFonts w:ascii="Times New Roman" w:hAnsi="Times New Roman" w:cs="Times New Roman"/>
          <w:sz w:val="26"/>
          <w:szCs w:val="26"/>
        </w:rPr>
        <w:t xml:space="preserve">quyết định </w:t>
      </w:r>
      <w:r>
        <w:rPr>
          <w:rFonts w:ascii="Times New Roman" w:hAnsi="Times New Roman" w:cs="Times New Roman"/>
          <w:sz w:val="26"/>
          <w:szCs w:val="26"/>
        </w:rPr>
        <w:t xml:space="preserve">liên quan </w:t>
      </w:r>
      <w:r w:rsidRPr="00450943">
        <w:rPr>
          <w:rFonts w:ascii="Times New Roman" w:hAnsi="Times New Roman" w:cs="Times New Roman"/>
          <w:sz w:val="26"/>
          <w:szCs w:val="26"/>
        </w:rPr>
        <w:t>an toàn.</w:t>
      </w:r>
    </w:p>
    <w:p w14:paraId="3F8F543C" w14:textId="43AAE9A4" w:rsidR="00450943" w:rsidRPr="00450943" w:rsidRDefault="00450943" w:rsidP="00450943">
      <w:p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450943">
        <w:rPr>
          <w:rFonts w:ascii="Times New Roman" w:hAnsi="Times New Roman" w:cs="Times New Roman"/>
          <w:sz w:val="26"/>
          <w:szCs w:val="26"/>
        </w:rPr>
        <w:t xml:space="preserve">Theo ước tính năm 2025 </w:t>
      </w:r>
      <w:r>
        <w:rPr>
          <w:rFonts w:ascii="Times New Roman" w:hAnsi="Times New Roman" w:cs="Times New Roman"/>
          <w:sz w:val="26"/>
          <w:szCs w:val="26"/>
        </w:rPr>
        <w:t xml:space="preserve">của </w:t>
      </w:r>
      <w:r w:rsidRPr="00450943">
        <w:rPr>
          <w:rFonts w:ascii="Times New Roman" w:hAnsi="Times New Roman" w:cs="Times New Roman"/>
          <w:sz w:val="26"/>
          <w:szCs w:val="26"/>
        </w:rPr>
        <w:t>tổ chức InterManager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450943">
        <w:rPr>
          <w:rFonts w:ascii="Times New Roman" w:hAnsi="Times New Roman" w:cs="Times New Roman"/>
          <w:sz w:val="26"/>
          <w:szCs w:val="26"/>
        </w:rPr>
        <w:t xml:space="preserve"> có khoảng 350 thuyền viên và lao động bên thứ ba đã tử vong do </w:t>
      </w:r>
      <w:r>
        <w:rPr>
          <w:rFonts w:ascii="Times New Roman" w:hAnsi="Times New Roman" w:cs="Times New Roman"/>
          <w:sz w:val="26"/>
          <w:szCs w:val="26"/>
        </w:rPr>
        <w:t xml:space="preserve">bị </w:t>
      </w:r>
      <w:r w:rsidRPr="00450943">
        <w:rPr>
          <w:rFonts w:ascii="Times New Roman" w:hAnsi="Times New Roman" w:cs="Times New Roman"/>
          <w:sz w:val="26"/>
          <w:szCs w:val="26"/>
        </w:rPr>
        <w:t>ngạt trong không gian kín từ năm 1996, trong đó 43 vụ tai nạn từ năm 2022 đã gây ra 70 ca tử vong.</w:t>
      </w:r>
    </w:p>
    <w:p w14:paraId="1252277F" w14:textId="77777777" w:rsidR="00450943" w:rsidRPr="00450943" w:rsidRDefault="00450943" w:rsidP="00450943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50943">
        <w:rPr>
          <w:rFonts w:ascii="Times New Roman" w:hAnsi="Times New Roman" w:cs="Times New Roman"/>
          <w:b/>
          <w:bCs/>
          <w:sz w:val="26"/>
          <w:szCs w:val="26"/>
        </w:rPr>
        <w:t>Các khuyến nghị chính</w:t>
      </w:r>
    </w:p>
    <w:p w14:paraId="74C1F080" w14:textId="77777777" w:rsidR="00450943" w:rsidRPr="00450943" w:rsidRDefault="00450943" w:rsidP="00450943">
      <w:p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450943">
        <w:rPr>
          <w:rFonts w:ascii="Times New Roman" w:hAnsi="Times New Roman" w:cs="Times New Roman"/>
          <w:sz w:val="26"/>
          <w:szCs w:val="26"/>
        </w:rPr>
        <w:t>Do những thách thức vẫn tiếp diễn, IMO đã cập nhật các khuyến nghị với các điểm chính sau:</w:t>
      </w:r>
    </w:p>
    <w:p w14:paraId="4F3455A3" w14:textId="058CC8CD" w:rsidR="00450943" w:rsidRPr="00450943" w:rsidRDefault="00450943" w:rsidP="00450943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50943">
        <w:rPr>
          <w:rFonts w:ascii="Times New Roman" w:hAnsi="Times New Roman" w:cs="Times New Roman"/>
          <w:sz w:val="26"/>
          <w:szCs w:val="26"/>
        </w:rPr>
        <w:t xml:space="preserve">Cần áp dụng một </w:t>
      </w:r>
      <w:r w:rsidRPr="00450943">
        <w:rPr>
          <w:rFonts w:ascii="Times New Roman" w:hAnsi="Times New Roman" w:cs="Times New Roman"/>
          <w:b/>
          <w:bCs/>
          <w:sz w:val="26"/>
          <w:szCs w:val="26"/>
        </w:rPr>
        <w:t>chiến lược an toàn toàn diện</w:t>
      </w:r>
      <w:r w:rsidRPr="00450943">
        <w:rPr>
          <w:rFonts w:ascii="Times New Roman" w:hAnsi="Times New Roman" w:cs="Times New Roman"/>
          <w:sz w:val="26"/>
          <w:szCs w:val="26"/>
        </w:rPr>
        <w:t xml:space="preserve"> để ngăn ngừa tai nạn khi vào không gian kín, do công ty xây dựng với sự tham vấn </w:t>
      </w:r>
      <w:r>
        <w:rPr>
          <w:rFonts w:ascii="Times New Roman" w:hAnsi="Times New Roman" w:cs="Times New Roman"/>
          <w:sz w:val="26"/>
          <w:szCs w:val="26"/>
        </w:rPr>
        <w:t xml:space="preserve">với </w:t>
      </w:r>
      <w:r w:rsidRPr="00450943">
        <w:rPr>
          <w:rFonts w:ascii="Times New Roman" w:hAnsi="Times New Roman" w:cs="Times New Roman"/>
          <w:sz w:val="26"/>
          <w:szCs w:val="26"/>
        </w:rPr>
        <w:t xml:space="preserve">thuyền viên. </w:t>
      </w:r>
    </w:p>
    <w:p w14:paraId="0DA7E0B5" w14:textId="37FBCDC0" w:rsidR="00450943" w:rsidRPr="00450943" w:rsidRDefault="00450943" w:rsidP="00450943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50943">
        <w:rPr>
          <w:rFonts w:ascii="Times New Roman" w:hAnsi="Times New Roman" w:cs="Times New Roman"/>
          <w:sz w:val="26"/>
          <w:szCs w:val="26"/>
        </w:rPr>
        <w:t xml:space="preserve">Thiết lập </w:t>
      </w:r>
      <w:r w:rsidRPr="00450943">
        <w:rPr>
          <w:rFonts w:ascii="Times New Roman" w:hAnsi="Times New Roman" w:cs="Times New Roman"/>
          <w:b/>
          <w:bCs/>
          <w:sz w:val="26"/>
          <w:szCs w:val="26"/>
        </w:rPr>
        <w:t>Sổ đăng ký không gian kín (Enclosed Space Register)</w:t>
      </w:r>
      <w:r w:rsidRPr="00450943">
        <w:rPr>
          <w:rFonts w:ascii="Times New Roman" w:hAnsi="Times New Roman" w:cs="Times New Roman"/>
          <w:sz w:val="26"/>
          <w:szCs w:val="26"/>
        </w:rPr>
        <w:t xml:space="preserve"> cho từng tàu, bao gồm: Danh sách các không gian kín</w:t>
      </w:r>
      <w:r w:rsidRPr="00450943">
        <w:rPr>
          <w:rFonts w:ascii="Times New Roman" w:hAnsi="Times New Roman" w:cs="Times New Roman"/>
          <w:sz w:val="26"/>
          <w:szCs w:val="26"/>
        </w:rPr>
        <w:t xml:space="preserve">; </w:t>
      </w:r>
      <w:r w:rsidRPr="00450943">
        <w:rPr>
          <w:rFonts w:ascii="Times New Roman" w:hAnsi="Times New Roman" w:cs="Times New Roman"/>
          <w:sz w:val="26"/>
          <w:szCs w:val="26"/>
        </w:rPr>
        <w:t xml:space="preserve">Các mối nguy </w:t>
      </w:r>
      <w:r w:rsidRPr="00450943">
        <w:rPr>
          <w:rFonts w:ascii="Times New Roman" w:hAnsi="Times New Roman" w:cs="Times New Roman"/>
          <w:sz w:val="26"/>
          <w:szCs w:val="26"/>
        </w:rPr>
        <w:t xml:space="preserve">hiểm </w:t>
      </w:r>
      <w:r w:rsidRPr="00450943">
        <w:rPr>
          <w:rFonts w:ascii="Times New Roman" w:hAnsi="Times New Roman" w:cs="Times New Roman"/>
          <w:sz w:val="26"/>
          <w:szCs w:val="26"/>
        </w:rPr>
        <w:t xml:space="preserve">trong từng không gian </w:t>
      </w:r>
      <w:r w:rsidRPr="00450943">
        <w:rPr>
          <w:rFonts w:ascii="Times New Roman" w:hAnsi="Times New Roman" w:cs="Times New Roman"/>
          <w:sz w:val="26"/>
          <w:szCs w:val="26"/>
        </w:rPr>
        <w:t xml:space="preserve">đó; </w:t>
      </w:r>
      <w:r w:rsidRPr="00450943">
        <w:rPr>
          <w:rFonts w:ascii="Times New Roman" w:hAnsi="Times New Roman" w:cs="Times New Roman"/>
          <w:sz w:val="26"/>
          <w:szCs w:val="26"/>
        </w:rPr>
        <w:t>Đánh giá rủi ro trong các điều kiện khác nhau</w:t>
      </w:r>
      <w:r w:rsidRPr="00450943">
        <w:rPr>
          <w:rFonts w:ascii="Times New Roman" w:hAnsi="Times New Roman" w:cs="Times New Roman"/>
          <w:sz w:val="26"/>
          <w:szCs w:val="26"/>
        </w:rPr>
        <w:t xml:space="preserve"> và </w:t>
      </w:r>
      <w:r w:rsidRPr="00450943">
        <w:rPr>
          <w:rFonts w:ascii="Times New Roman" w:hAnsi="Times New Roman" w:cs="Times New Roman"/>
          <w:sz w:val="26"/>
          <w:szCs w:val="26"/>
        </w:rPr>
        <w:t>Các biện pháp kiểm soát rủi ro cần thực hiện trước khi vào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5D807882" w14:textId="34A6F057" w:rsidR="00450943" w:rsidRPr="00450943" w:rsidRDefault="00450943" w:rsidP="00450943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50943">
        <w:rPr>
          <w:rFonts w:ascii="Times New Roman" w:hAnsi="Times New Roman" w:cs="Times New Roman"/>
          <w:sz w:val="26"/>
          <w:szCs w:val="26"/>
        </w:rPr>
        <w:t xml:space="preserve">Công ty cần xây dựng </w:t>
      </w:r>
      <w:r w:rsidRPr="00450943">
        <w:rPr>
          <w:rFonts w:ascii="Times New Roman" w:hAnsi="Times New Roman" w:cs="Times New Roman"/>
          <w:b/>
          <w:bCs/>
          <w:sz w:val="26"/>
          <w:szCs w:val="26"/>
        </w:rPr>
        <w:t>quy trình thực hiện chi tiết</w:t>
      </w:r>
      <w:r w:rsidRPr="00450943">
        <w:rPr>
          <w:rFonts w:ascii="Times New Roman" w:hAnsi="Times New Roman" w:cs="Times New Roman"/>
          <w:sz w:val="26"/>
          <w:szCs w:val="26"/>
        </w:rPr>
        <w:t xml:space="preserve">, bao gồm </w:t>
      </w:r>
      <w:r w:rsidRPr="00450943">
        <w:rPr>
          <w:rFonts w:ascii="Times New Roman" w:hAnsi="Times New Roman" w:cs="Times New Roman"/>
          <w:sz w:val="26"/>
          <w:szCs w:val="26"/>
        </w:rPr>
        <w:t xml:space="preserve">việc huấn luyện </w:t>
      </w:r>
      <w:r w:rsidRPr="00450943">
        <w:rPr>
          <w:rFonts w:ascii="Times New Roman" w:hAnsi="Times New Roman" w:cs="Times New Roman"/>
          <w:sz w:val="26"/>
          <w:szCs w:val="26"/>
        </w:rPr>
        <w:t>đầy đủ về</w:t>
      </w:r>
      <w:r w:rsidRPr="00450943">
        <w:rPr>
          <w:rFonts w:ascii="Times New Roman" w:hAnsi="Times New Roman" w:cs="Times New Roman"/>
          <w:sz w:val="26"/>
          <w:szCs w:val="26"/>
        </w:rPr>
        <w:t xml:space="preserve"> b</w:t>
      </w:r>
      <w:r w:rsidRPr="00450943">
        <w:rPr>
          <w:rFonts w:ascii="Times New Roman" w:hAnsi="Times New Roman" w:cs="Times New Roman"/>
          <w:sz w:val="26"/>
          <w:szCs w:val="26"/>
        </w:rPr>
        <w:t>ảo dưỡng</w:t>
      </w:r>
      <w:r w:rsidRPr="00450943">
        <w:rPr>
          <w:rFonts w:ascii="Times New Roman" w:hAnsi="Times New Roman" w:cs="Times New Roman"/>
          <w:sz w:val="26"/>
          <w:szCs w:val="26"/>
        </w:rPr>
        <w:t>, h</w:t>
      </w:r>
      <w:r w:rsidRPr="00450943">
        <w:rPr>
          <w:rFonts w:ascii="Times New Roman" w:hAnsi="Times New Roman" w:cs="Times New Roman"/>
          <w:sz w:val="26"/>
          <w:szCs w:val="26"/>
        </w:rPr>
        <w:t xml:space="preserve">iệu chuẩn </w:t>
      </w:r>
      <w:r w:rsidRPr="00450943">
        <w:rPr>
          <w:rFonts w:ascii="Times New Roman" w:hAnsi="Times New Roman" w:cs="Times New Roman"/>
          <w:sz w:val="26"/>
          <w:szCs w:val="26"/>
        </w:rPr>
        <w:t xml:space="preserve">và </w:t>
      </w:r>
      <w:r>
        <w:rPr>
          <w:rFonts w:ascii="Times New Roman" w:hAnsi="Times New Roman" w:cs="Times New Roman"/>
          <w:sz w:val="26"/>
          <w:szCs w:val="26"/>
        </w:rPr>
        <w:t>s</w:t>
      </w:r>
      <w:r w:rsidRPr="00450943">
        <w:rPr>
          <w:rFonts w:ascii="Times New Roman" w:hAnsi="Times New Roman" w:cs="Times New Roman"/>
          <w:sz w:val="26"/>
          <w:szCs w:val="26"/>
        </w:rPr>
        <w:t>ử dụng thiết bị đo khí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4BE525F" w14:textId="19129648" w:rsidR="00450943" w:rsidRPr="00450943" w:rsidRDefault="00450943" w:rsidP="003F119A">
      <w:pPr>
        <w:numPr>
          <w:ilvl w:val="0"/>
          <w:numId w:val="8"/>
        </w:num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450943">
        <w:rPr>
          <w:rFonts w:ascii="Times New Roman" w:hAnsi="Times New Roman" w:cs="Times New Roman"/>
          <w:sz w:val="26"/>
          <w:szCs w:val="26"/>
        </w:rPr>
        <w:t xml:space="preserve">Tập trung vào </w:t>
      </w:r>
      <w:r w:rsidRPr="00450943">
        <w:rPr>
          <w:rFonts w:ascii="Times New Roman" w:hAnsi="Times New Roman" w:cs="Times New Roman"/>
          <w:b/>
          <w:bCs/>
          <w:sz w:val="26"/>
          <w:szCs w:val="26"/>
        </w:rPr>
        <w:t>yếu tố con người</w:t>
      </w:r>
      <w:r w:rsidRPr="00450943">
        <w:rPr>
          <w:rFonts w:ascii="Times New Roman" w:hAnsi="Times New Roman" w:cs="Times New Roman"/>
          <w:sz w:val="26"/>
          <w:szCs w:val="26"/>
        </w:rPr>
        <w:t>, vì</w:t>
      </w:r>
      <w:r w:rsidRPr="00450943">
        <w:rPr>
          <w:rFonts w:ascii="Times New Roman" w:hAnsi="Times New Roman" w:cs="Times New Roman"/>
          <w:sz w:val="26"/>
          <w:szCs w:val="26"/>
        </w:rPr>
        <w:t xml:space="preserve"> c</w:t>
      </w:r>
      <w:r w:rsidRPr="00450943">
        <w:rPr>
          <w:rFonts w:ascii="Times New Roman" w:hAnsi="Times New Roman" w:cs="Times New Roman"/>
          <w:sz w:val="26"/>
          <w:szCs w:val="26"/>
        </w:rPr>
        <w:t>am kết</w:t>
      </w:r>
      <w:r w:rsidRPr="00450943">
        <w:rPr>
          <w:rFonts w:ascii="Times New Roman" w:hAnsi="Times New Roman" w:cs="Times New Roman"/>
          <w:sz w:val="26"/>
          <w:szCs w:val="26"/>
        </w:rPr>
        <w:t>, n</w:t>
      </w:r>
      <w:r w:rsidRPr="00450943">
        <w:rPr>
          <w:rFonts w:ascii="Times New Roman" w:hAnsi="Times New Roman" w:cs="Times New Roman"/>
          <w:sz w:val="26"/>
          <w:szCs w:val="26"/>
        </w:rPr>
        <w:t>ăng lực</w:t>
      </w:r>
      <w:r w:rsidRPr="00450943">
        <w:rPr>
          <w:rFonts w:ascii="Times New Roman" w:hAnsi="Times New Roman" w:cs="Times New Roman"/>
          <w:sz w:val="26"/>
          <w:szCs w:val="26"/>
        </w:rPr>
        <w:t>, t</w:t>
      </w:r>
      <w:r w:rsidRPr="00450943">
        <w:rPr>
          <w:rFonts w:ascii="Times New Roman" w:hAnsi="Times New Roman" w:cs="Times New Roman"/>
          <w:sz w:val="26"/>
          <w:szCs w:val="26"/>
        </w:rPr>
        <w:t xml:space="preserve">hái độ </w:t>
      </w:r>
      <w:r w:rsidRPr="00450943">
        <w:rPr>
          <w:rFonts w:ascii="Times New Roman" w:hAnsi="Times New Roman" w:cs="Times New Roman"/>
          <w:sz w:val="26"/>
          <w:szCs w:val="26"/>
        </w:rPr>
        <w:t>và đ</w:t>
      </w:r>
      <w:r w:rsidRPr="00450943">
        <w:rPr>
          <w:rFonts w:ascii="Times New Roman" w:hAnsi="Times New Roman" w:cs="Times New Roman"/>
          <w:sz w:val="26"/>
          <w:szCs w:val="26"/>
        </w:rPr>
        <w:t>ộng lực của mọi cấp độ nhân sự quyết định hiệu quả của hệ thống quản lý an toàn.</w:t>
      </w:r>
    </w:p>
    <w:p w14:paraId="489CEFC6" w14:textId="77777777" w:rsidR="00450943" w:rsidRPr="00450943" w:rsidRDefault="00450943" w:rsidP="00450943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50943">
        <w:rPr>
          <w:rFonts w:ascii="Times New Roman" w:hAnsi="Times New Roman" w:cs="Times New Roman"/>
          <w:b/>
          <w:bCs/>
          <w:sz w:val="26"/>
          <w:szCs w:val="26"/>
        </w:rPr>
        <w:t>Hướng dẫn mới về khí và thiết bị đo khí</w:t>
      </w:r>
    </w:p>
    <w:p w14:paraId="77FD3952" w14:textId="71987A30" w:rsidR="00450943" w:rsidRPr="00450943" w:rsidRDefault="00450943" w:rsidP="003F119A">
      <w:pPr>
        <w:tabs>
          <w:tab w:val="num" w:pos="720"/>
          <w:tab w:val="num" w:pos="1440"/>
        </w:tabs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450943">
        <w:rPr>
          <w:rFonts w:ascii="Times New Roman" w:hAnsi="Times New Roman" w:cs="Times New Roman"/>
          <w:sz w:val="26"/>
          <w:szCs w:val="26"/>
        </w:rPr>
        <w:t>Các hướng dẫn mới đã được thiết lập về</w:t>
      </w:r>
      <w:r w:rsidR="003F119A">
        <w:rPr>
          <w:rFonts w:ascii="Times New Roman" w:hAnsi="Times New Roman" w:cs="Times New Roman"/>
          <w:sz w:val="26"/>
          <w:szCs w:val="26"/>
        </w:rPr>
        <w:t xml:space="preserve"> m</w:t>
      </w:r>
      <w:r w:rsidRPr="00450943">
        <w:rPr>
          <w:rFonts w:ascii="Times New Roman" w:hAnsi="Times New Roman" w:cs="Times New Roman"/>
          <w:sz w:val="26"/>
          <w:szCs w:val="26"/>
        </w:rPr>
        <w:t>ức khí an toàn</w:t>
      </w:r>
      <w:r w:rsidR="003F119A">
        <w:rPr>
          <w:rFonts w:ascii="Times New Roman" w:hAnsi="Times New Roman" w:cs="Times New Roman"/>
          <w:sz w:val="26"/>
          <w:szCs w:val="26"/>
        </w:rPr>
        <w:t>, t</w:t>
      </w:r>
      <w:r w:rsidRPr="00450943">
        <w:rPr>
          <w:rFonts w:ascii="Times New Roman" w:hAnsi="Times New Roman" w:cs="Times New Roman"/>
          <w:sz w:val="26"/>
          <w:szCs w:val="26"/>
        </w:rPr>
        <w:t>hiết bị đo khí</w:t>
      </w:r>
      <w:r w:rsidR="003F119A">
        <w:rPr>
          <w:rFonts w:ascii="Times New Roman" w:hAnsi="Times New Roman" w:cs="Times New Roman"/>
          <w:sz w:val="26"/>
          <w:szCs w:val="26"/>
        </w:rPr>
        <w:t xml:space="preserve">. </w:t>
      </w:r>
      <w:r w:rsidRPr="00450943">
        <w:rPr>
          <w:rFonts w:ascii="Times New Roman" w:hAnsi="Times New Roman" w:cs="Times New Roman"/>
          <w:sz w:val="26"/>
          <w:szCs w:val="26"/>
        </w:rPr>
        <w:t>Tuy nhiên, cần lưu ý rằng</w:t>
      </w:r>
      <w:r w:rsidR="003F119A">
        <w:rPr>
          <w:rFonts w:ascii="Times New Roman" w:hAnsi="Times New Roman" w:cs="Times New Roman"/>
          <w:sz w:val="26"/>
          <w:szCs w:val="26"/>
        </w:rPr>
        <w:t xml:space="preserve"> c</w:t>
      </w:r>
      <w:r w:rsidRPr="00450943">
        <w:rPr>
          <w:rFonts w:ascii="Times New Roman" w:hAnsi="Times New Roman" w:cs="Times New Roman"/>
          <w:sz w:val="26"/>
          <w:szCs w:val="26"/>
        </w:rPr>
        <w:t xml:space="preserve">ác loại khí tối thiểu cần </w:t>
      </w:r>
      <w:r w:rsidR="003F119A">
        <w:rPr>
          <w:rFonts w:ascii="Times New Roman" w:hAnsi="Times New Roman" w:cs="Times New Roman"/>
          <w:sz w:val="26"/>
          <w:szCs w:val="26"/>
        </w:rPr>
        <w:t xml:space="preserve">được </w:t>
      </w:r>
      <w:r w:rsidRPr="00450943">
        <w:rPr>
          <w:rFonts w:ascii="Times New Roman" w:hAnsi="Times New Roman" w:cs="Times New Roman"/>
          <w:sz w:val="26"/>
          <w:szCs w:val="26"/>
        </w:rPr>
        <w:t>đo bằng thiết bị cầm tay được quy định trong SOLAS Regulation XI-1/7</w:t>
      </w:r>
      <w:r w:rsidR="003F119A">
        <w:rPr>
          <w:rFonts w:ascii="Times New Roman" w:hAnsi="Times New Roman" w:cs="Times New Roman"/>
          <w:sz w:val="26"/>
          <w:szCs w:val="26"/>
        </w:rPr>
        <w:t>, c</w:t>
      </w:r>
      <w:r w:rsidRPr="00450943">
        <w:rPr>
          <w:rFonts w:ascii="Times New Roman" w:hAnsi="Times New Roman" w:cs="Times New Roman"/>
          <w:sz w:val="26"/>
          <w:szCs w:val="26"/>
        </w:rPr>
        <w:t>ác biện pháp bổ sung phải dựa trên đánh giá rủi ro</w:t>
      </w:r>
      <w:r w:rsidR="003F119A">
        <w:rPr>
          <w:rFonts w:ascii="Times New Roman" w:hAnsi="Times New Roman" w:cs="Times New Roman"/>
          <w:sz w:val="26"/>
          <w:szCs w:val="26"/>
        </w:rPr>
        <w:t xml:space="preserve">. </w:t>
      </w:r>
      <w:r w:rsidRPr="00450943">
        <w:rPr>
          <w:rFonts w:ascii="Times New Roman" w:hAnsi="Times New Roman" w:cs="Times New Roman"/>
          <w:sz w:val="26"/>
          <w:szCs w:val="26"/>
        </w:rPr>
        <w:t>Đánh giá này cũng cần xem xét</w:t>
      </w:r>
      <w:r w:rsidR="003F119A">
        <w:rPr>
          <w:rFonts w:ascii="Times New Roman" w:hAnsi="Times New Roman" w:cs="Times New Roman"/>
          <w:sz w:val="26"/>
          <w:szCs w:val="26"/>
        </w:rPr>
        <w:t xml:space="preserve"> đến l</w:t>
      </w:r>
      <w:r w:rsidRPr="00450943">
        <w:rPr>
          <w:rFonts w:ascii="Times New Roman" w:hAnsi="Times New Roman" w:cs="Times New Roman"/>
          <w:sz w:val="26"/>
          <w:szCs w:val="26"/>
        </w:rPr>
        <w:t>oại hàng hóa chuyên chở</w:t>
      </w:r>
      <w:r w:rsidR="003F119A">
        <w:rPr>
          <w:rFonts w:ascii="Times New Roman" w:hAnsi="Times New Roman" w:cs="Times New Roman"/>
          <w:sz w:val="26"/>
          <w:szCs w:val="26"/>
        </w:rPr>
        <w:t>, c</w:t>
      </w:r>
      <w:r w:rsidRPr="00450943">
        <w:rPr>
          <w:rFonts w:ascii="Times New Roman" w:hAnsi="Times New Roman" w:cs="Times New Roman"/>
          <w:sz w:val="26"/>
          <w:szCs w:val="26"/>
        </w:rPr>
        <w:t xml:space="preserve">ác </w:t>
      </w:r>
      <w:r w:rsidR="003F119A">
        <w:rPr>
          <w:rFonts w:ascii="Times New Roman" w:hAnsi="Times New Roman" w:cs="Times New Roman"/>
          <w:sz w:val="26"/>
          <w:szCs w:val="26"/>
        </w:rPr>
        <w:t>văn kiện</w:t>
      </w:r>
      <w:r w:rsidRPr="00450943">
        <w:rPr>
          <w:rFonts w:ascii="Times New Roman" w:hAnsi="Times New Roman" w:cs="Times New Roman"/>
          <w:sz w:val="26"/>
          <w:szCs w:val="26"/>
        </w:rPr>
        <w:t xml:space="preserve"> liên quan, như</w:t>
      </w:r>
      <w:r w:rsidR="003F119A">
        <w:rPr>
          <w:rFonts w:ascii="Times New Roman" w:hAnsi="Times New Roman" w:cs="Times New Roman"/>
          <w:sz w:val="26"/>
          <w:szCs w:val="26"/>
        </w:rPr>
        <w:t xml:space="preserve"> </w:t>
      </w:r>
      <w:r w:rsidRPr="00450943">
        <w:rPr>
          <w:rFonts w:ascii="Times New Roman" w:hAnsi="Times New Roman" w:cs="Times New Roman"/>
          <w:sz w:val="26"/>
          <w:szCs w:val="26"/>
        </w:rPr>
        <w:t>SDS (Bảng dữ liệu an toàn)</w:t>
      </w:r>
      <w:r w:rsidR="003F119A">
        <w:rPr>
          <w:rFonts w:ascii="Times New Roman" w:hAnsi="Times New Roman" w:cs="Times New Roman"/>
          <w:sz w:val="26"/>
          <w:szCs w:val="26"/>
        </w:rPr>
        <w:t xml:space="preserve">; </w:t>
      </w:r>
      <w:r w:rsidRPr="00450943">
        <w:rPr>
          <w:rFonts w:ascii="Times New Roman" w:hAnsi="Times New Roman" w:cs="Times New Roman"/>
          <w:sz w:val="26"/>
          <w:szCs w:val="26"/>
        </w:rPr>
        <w:t>IMDG Code</w:t>
      </w:r>
      <w:r w:rsidR="003F119A">
        <w:rPr>
          <w:rFonts w:ascii="Times New Roman" w:hAnsi="Times New Roman" w:cs="Times New Roman"/>
          <w:sz w:val="26"/>
          <w:szCs w:val="26"/>
        </w:rPr>
        <w:t xml:space="preserve">; </w:t>
      </w:r>
      <w:r w:rsidRPr="00450943">
        <w:rPr>
          <w:rFonts w:ascii="Times New Roman" w:hAnsi="Times New Roman" w:cs="Times New Roman"/>
          <w:sz w:val="26"/>
          <w:szCs w:val="26"/>
        </w:rPr>
        <w:t>IMSBC Code</w:t>
      </w:r>
      <w:r w:rsidR="003F119A">
        <w:rPr>
          <w:rFonts w:ascii="Times New Roman" w:hAnsi="Times New Roman" w:cs="Times New Roman"/>
          <w:sz w:val="26"/>
          <w:szCs w:val="26"/>
        </w:rPr>
        <w:t xml:space="preserve">; </w:t>
      </w:r>
      <w:r w:rsidRPr="00450943">
        <w:rPr>
          <w:rFonts w:ascii="Times New Roman" w:hAnsi="Times New Roman" w:cs="Times New Roman"/>
          <w:sz w:val="26"/>
          <w:szCs w:val="26"/>
        </w:rPr>
        <w:t xml:space="preserve">IBC Code </w:t>
      </w:r>
      <w:r w:rsidR="003F119A">
        <w:rPr>
          <w:rFonts w:ascii="Times New Roman" w:hAnsi="Times New Roman" w:cs="Times New Roman"/>
          <w:sz w:val="26"/>
          <w:szCs w:val="26"/>
        </w:rPr>
        <w:t xml:space="preserve">và </w:t>
      </w:r>
      <w:r w:rsidRPr="00450943">
        <w:rPr>
          <w:rFonts w:ascii="Times New Roman" w:hAnsi="Times New Roman" w:cs="Times New Roman"/>
          <w:sz w:val="26"/>
          <w:szCs w:val="26"/>
        </w:rPr>
        <w:t>IGC Code</w:t>
      </w:r>
      <w:r w:rsidR="003F119A">
        <w:rPr>
          <w:rFonts w:ascii="Times New Roman" w:hAnsi="Times New Roman" w:cs="Times New Roman"/>
          <w:sz w:val="26"/>
          <w:szCs w:val="26"/>
        </w:rPr>
        <w:t>.</w:t>
      </w:r>
      <w:r w:rsidRPr="0045094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3A0C4A3" w14:textId="77777777" w:rsidR="00450943" w:rsidRPr="00450943" w:rsidRDefault="00450943" w:rsidP="00450943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50943">
        <w:rPr>
          <w:rFonts w:ascii="Times New Roman" w:hAnsi="Times New Roman" w:cs="Times New Roman"/>
          <w:b/>
          <w:bCs/>
          <w:sz w:val="26"/>
          <w:szCs w:val="26"/>
        </w:rPr>
        <w:t>Khuyến nghị từ DNV</w:t>
      </w:r>
    </w:p>
    <w:p w14:paraId="29A48D6A" w14:textId="1744F2E4" w:rsidR="00450943" w:rsidRPr="00450943" w:rsidRDefault="00450943" w:rsidP="0045094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50943">
        <w:rPr>
          <w:rFonts w:ascii="Times New Roman" w:hAnsi="Times New Roman" w:cs="Times New Roman"/>
          <w:sz w:val="26"/>
          <w:szCs w:val="26"/>
        </w:rPr>
        <w:t xml:space="preserve">Tổ chức </w:t>
      </w:r>
      <w:r w:rsidRPr="00450943">
        <w:rPr>
          <w:rFonts w:ascii="Times New Roman" w:hAnsi="Times New Roman" w:cs="Times New Roman"/>
          <w:b/>
          <w:bCs/>
          <w:sz w:val="26"/>
          <w:szCs w:val="26"/>
        </w:rPr>
        <w:t>DNV</w:t>
      </w:r>
      <w:r w:rsidRPr="00450943">
        <w:rPr>
          <w:rFonts w:ascii="Times New Roman" w:hAnsi="Times New Roman" w:cs="Times New Roman"/>
          <w:sz w:val="26"/>
          <w:szCs w:val="26"/>
        </w:rPr>
        <w:t xml:space="preserve"> khuyến nghị </w:t>
      </w:r>
      <w:r w:rsidR="003F119A">
        <w:rPr>
          <w:rFonts w:ascii="Times New Roman" w:hAnsi="Times New Roman" w:cs="Times New Roman"/>
          <w:sz w:val="26"/>
          <w:szCs w:val="26"/>
        </w:rPr>
        <w:t xml:space="preserve">các </w:t>
      </w:r>
      <w:r w:rsidRPr="00450943">
        <w:rPr>
          <w:rFonts w:ascii="Times New Roman" w:hAnsi="Times New Roman" w:cs="Times New Roman"/>
          <w:sz w:val="26"/>
          <w:szCs w:val="26"/>
        </w:rPr>
        <w:t>khách hàng:</w:t>
      </w:r>
    </w:p>
    <w:p w14:paraId="28D1DA13" w14:textId="77777777" w:rsidR="00450943" w:rsidRPr="00450943" w:rsidRDefault="00450943" w:rsidP="00450943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50943">
        <w:rPr>
          <w:rFonts w:ascii="Times New Roman" w:hAnsi="Times New Roman" w:cs="Times New Roman"/>
          <w:sz w:val="26"/>
          <w:szCs w:val="26"/>
        </w:rPr>
        <w:lastRenderedPageBreak/>
        <w:t xml:space="preserve">Sử dụng thông tư mới của IMO làm cơ sở để phát triển thêm hệ thống quản lý an toàn (SMS) </w:t>
      </w:r>
    </w:p>
    <w:p w14:paraId="15A7D815" w14:textId="72BAE7C4" w:rsidR="00450943" w:rsidRPr="00450943" w:rsidRDefault="00450943" w:rsidP="003F119A">
      <w:pPr>
        <w:numPr>
          <w:ilvl w:val="0"/>
          <w:numId w:val="12"/>
        </w:num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450943">
        <w:rPr>
          <w:rFonts w:ascii="Times New Roman" w:hAnsi="Times New Roman" w:cs="Times New Roman"/>
          <w:sz w:val="26"/>
          <w:szCs w:val="26"/>
        </w:rPr>
        <w:t xml:space="preserve">Trang bị cho tàu các thông tin, thiết bị và </w:t>
      </w:r>
      <w:r w:rsidR="003F119A">
        <w:rPr>
          <w:rFonts w:ascii="Times New Roman" w:hAnsi="Times New Roman" w:cs="Times New Roman"/>
          <w:sz w:val="26"/>
          <w:szCs w:val="26"/>
        </w:rPr>
        <w:t>huấn luyện</w:t>
      </w:r>
      <w:r w:rsidRPr="00450943">
        <w:rPr>
          <w:rFonts w:ascii="Times New Roman" w:hAnsi="Times New Roman" w:cs="Times New Roman"/>
          <w:sz w:val="26"/>
          <w:szCs w:val="26"/>
        </w:rPr>
        <w:t xml:space="preserve"> cần thiết theo MSC.581(110) </w:t>
      </w:r>
    </w:p>
    <w:p w14:paraId="6319548D" w14:textId="77777777" w:rsidR="00450943" w:rsidRPr="00450943" w:rsidRDefault="00450943" w:rsidP="0045094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50943">
        <w:rPr>
          <w:rFonts w:ascii="Times New Roman" w:hAnsi="Times New Roman" w:cs="Times New Roman"/>
          <w:sz w:val="26"/>
          <w:szCs w:val="26"/>
        </w:rPr>
        <w:t>Khách hàng nên rà soát và cập nhật SMS, đặc biệt tập trung vào:</w:t>
      </w:r>
    </w:p>
    <w:p w14:paraId="5DCD8488" w14:textId="278C71C0" w:rsidR="00450943" w:rsidRPr="00450943" w:rsidRDefault="00450943" w:rsidP="003F119A">
      <w:pPr>
        <w:numPr>
          <w:ilvl w:val="0"/>
          <w:numId w:val="13"/>
        </w:num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450943">
        <w:rPr>
          <w:rFonts w:ascii="Times New Roman" w:hAnsi="Times New Roman" w:cs="Times New Roman"/>
          <w:sz w:val="26"/>
          <w:szCs w:val="26"/>
        </w:rPr>
        <w:t xml:space="preserve">Xem việc vào không gian kín là hoạt động quan trọng liên quan trực tiếp đến an toàn </w:t>
      </w:r>
      <w:r w:rsidR="003F119A" w:rsidRPr="003F119A">
        <w:rPr>
          <w:rFonts w:ascii="Times New Roman" w:hAnsi="Times New Roman" w:cs="Times New Roman"/>
          <w:sz w:val="26"/>
          <w:szCs w:val="26"/>
        </w:rPr>
        <w:t xml:space="preserve">của </w:t>
      </w:r>
      <w:r w:rsidRPr="00450943">
        <w:rPr>
          <w:rFonts w:ascii="Times New Roman" w:hAnsi="Times New Roman" w:cs="Times New Roman"/>
          <w:sz w:val="26"/>
          <w:szCs w:val="26"/>
        </w:rPr>
        <w:t>con người</w:t>
      </w:r>
      <w:r w:rsidR="003F119A">
        <w:rPr>
          <w:rFonts w:ascii="Times New Roman" w:hAnsi="Times New Roman" w:cs="Times New Roman"/>
          <w:sz w:val="26"/>
          <w:szCs w:val="26"/>
        </w:rPr>
        <w:t>.</w:t>
      </w:r>
    </w:p>
    <w:p w14:paraId="3062310B" w14:textId="7A4F66C2" w:rsidR="00450943" w:rsidRPr="00450943" w:rsidRDefault="00450943" w:rsidP="003F119A">
      <w:pPr>
        <w:numPr>
          <w:ilvl w:val="0"/>
          <w:numId w:val="13"/>
        </w:num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450943">
        <w:rPr>
          <w:rFonts w:ascii="Times New Roman" w:hAnsi="Times New Roman" w:cs="Times New Roman"/>
          <w:sz w:val="26"/>
          <w:szCs w:val="26"/>
        </w:rPr>
        <w:t xml:space="preserve">Cung cấp </w:t>
      </w:r>
      <w:r w:rsidR="003F119A" w:rsidRPr="003F119A">
        <w:rPr>
          <w:rFonts w:ascii="Times New Roman" w:hAnsi="Times New Roman" w:cs="Times New Roman"/>
          <w:sz w:val="26"/>
          <w:szCs w:val="26"/>
        </w:rPr>
        <w:t>huấn luyện</w:t>
      </w:r>
      <w:r w:rsidRPr="00450943">
        <w:rPr>
          <w:rFonts w:ascii="Times New Roman" w:hAnsi="Times New Roman" w:cs="Times New Roman"/>
          <w:sz w:val="26"/>
          <w:szCs w:val="26"/>
        </w:rPr>
        <w:t xml:space="preserve"> đầy đủ về quản lý an toàn không gian kín </w:t>
      </w:r>
    </w:p>
    <w:p w14:paraId="42005274" w14:textId="5D3A647D" w:rsidR="00450943" w:rsidRPr="00450943" w:rsidRDefault="00450943" w:rsidP="003F119A">
      <w:pPr>
        <w:numPr>
          <w:ilvl w:val="0"/>
          <w:numId w:val="13"/>
        </w:num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450943">
        <w:rPr>
          <w:rFonts w:ascii="Times New Roman" w:hAnsi="Times New Roman" w:cs="Times New Roman"/>
          <w:sz w:val="26"/>
          <w:szCs w:val="26"/>
        </w:rPr>
        <w:t>Dành đủ thời gian</w:t>
      </w:r>
      <w:r w:rsidR="003F119A" w:rsidRPr="003F119A">
        <w:rPr>
          <w:rFonts w:ascii="Times New Roman" w:hAnsi="Times New Roman" w:cs="Times New Roman"/>
          <w:sz w:val="26"/>
          <w:szCs w:val="26"/>
        </w:rPr>
        <w:t xml:space="preserve"> cho việc</w:t>
      </w:r>
      <w:r w:rsidRPr="00450943">
        <w:rPr>
          <w:rFonts w:ascii="Times New Roman" w:hAnsi="Times New Roman" w:cs="Times New Roman"/>
          <w:sz w:val="26"/>
          <w:szCs w:val="26"/>
        </w:rPr>
        <w:t xml:space="preserve"> lập kế hoạch trước khi vào </w:t>
      </w:r>
    </w:p>
    <w:p w14:paraId="216815B7" w14:textId="77777777" w:rsidR="00450943" w:rsidRPr="00450943" w:rsidRDefault="00450943" w:rsidP="003F119A">
      <w:pPr>
        <w:numPr>
          <w:ilvl w:val="0"/>
          <w:numId w:val="13"/>
        </w:num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450943">
        <w:rPr>
          <w:rFonts w:ascii="Times New Roman" w:hAnsi="Times New Roman" w:cs="Times New Roman"/>
          <w:sz w:val="26"/>
          <w:szCs w:val="26"/>
        </w:rPr>
        <w:t xml:space="preserve">Đảm bảo có đầy đủ trang thiết bị an toàn </w:t>
      </w:r>
    </w:p>
    <w:p w14:paraId="285C3C16" w14:textId="51B8AA94" w:rsidR="00450943" w:rsidRPr="00450943" w:rsidRDefault="00450943" w:rsidP="003F119A">
      <w:pPr>
        <w:numPr>
          <w:ilvl w:val="0"/>
          <w:numId w:val="13"/>
        </w:num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450943">
        <w:rPr>
          <w:rFonts w:ascii="Times New Roman" w:hAnsi="Times New Roman" w:cs="Times New Roman"/>
          <w:sz w:val="26"/>
          <w:szCs w:val="26"/>
        </w:rPr>
        <w:t>Đưa nội dung quản lý không gian kín vào</w:t>
      </w:r>
      <w:r w:rsidR="003F119A" w:rsidRPr="003F119A">
        <w:rPr>
          <w:rFonts w:ascii="Times New Roman" w:hAnsi="Times New Roman" w:cs="Times New Roman"/>
          <w:sz w:val="26"/>
          <w:szCs w:val="26"/>
        </w:rPr>
        <w:t xml:space="preserve"> đ</w:t>
      </w:r>
      <w:r w:rsidRPr="00450943">
        <w:rPr>
          <w:rFonts w:ascii="Times New Roman" w:hAnsi="Times New Roman" w:cs="Times New Roman"/>
          <w:sz w:val="26"/>
          <w:szCs w:val="26"/>
        </w:rPr>
        <w:t>ánh giá nội bộ</w:t>
      </w:r>
      <w:r w:rsidR="003F119A" w:rsidRPr="003F119A">
        <w:rPr>
          <w:rFonts w:ascii="Times New Roman" w:hAnsi="Times New Roman" w:cs="Times New Roman"/>
          <w:sz w:val="26"/>
          <w:szCs w:val="26"/>
        </w:rPr>
        <w:t xml:space="preserve"> </w:t>
      </w:r>
      <w:r w:rsidR="003F119A">
        <w:rPr>
          <w:rFonts w:ascii="Times New Roman" w:hAnsi="Times New Roman" w:cs="Times New Roman"/>
          <w:sz w:val="26"/>
          <w:szCs w:val="26"/>
        </w:rPr>
        <w:t>và soát</w:t>
      </w:r>
      <w:r w:rsidRPr="00450943">
        <w:rPr>
          <w:rFonts w:ascii="Times New Roman" w:hAnsi="Times New Roman" w:cs="Times New Roman"/>
          <w:sz w:val="26"/>
          <w:szCs w:val="26"/>
        </w:rPr>
        <w:t xml:space="preserve"> xét của thuyền trưởng và ban </w:t>
      </w:r>
      <w:r w:rsidR="003F119A">
        <w:rPr>
          <w:rFonts w:ascii="Times New Roman" w:hAnsi="Times New Roman" w:cs="Times New Roman"/>
          <w:sz w:val="26"/>
          <w:szCs w:val="26"/>
        </w:rPr>
        <w:t>giám đốc công ty.</w:t>
      </w:r>
    </w:p>
    <w:p w14:paraId="25938BE9" w14:textId="285C770D" w:rsidR="001D3249" w:rsidRPr="001D3249" w:rsidRDefault="003F119A" w:rsidP="001D3249">
      <w:pPr>
        <w:rPr>
          <w:b/>
          <w:bCs/>
        </w:rPr>
      </w:pPr>
      <w:r>
        <w:rPr>
          <w:b/>
          <w:bCs/>
        </w:rPr>
        <w:t>Tài liệu tham khảo</w:t>
      </w:r>
    </w:p>
    <w:p w14:paraId="286B33FA" w14:textId="77777777" w:rsidR="001D3249" w:rsidRPr="001D3249" w:rsidRDefault="001D3249" w:rsidP="001D3249">
      <w:hyperlink r:id="rId6" w:history="1">
        <w:r w:rsidRPr="001D3249">
          <w:rPr>
            <w:rStyle w:val="Hyperlink"/>
          </w:rPr>
          <w:t>Annex 28 - Resolution MSC.581(110) (adopted on 27 June 2025</w:t>
        </w:r>
        <w:r w:rsidRPr="001D3249">
          <w:rPr>
            <w:rStyle w:val="Hyperlink"/>
          </w:rPr>
          <w:t>)</w:t>
        </w:r>
        <w:r w:rsidRPr="001D3249">
          <w:rPr>
            <w:rStyle w:val="Hyperlink"/>
          </w:rPr>
          <w:t>: Revised recommendations for entering enclosed spaces aboard ships</w:t>
        </w:r>
      </w:hyperlink>
    </w:p>
    <w:p w14:paraId="1DD0072C" w14:textId="2B489A65" w:rsidR="00C13E10" w:rsidRDefault="003F119A" w:rsidP="003F119A">
      <w:pPr>
        <w:jc w:val="center"/>
      </w:pPr>
      <w:r>
        <w:t>---------------------------------------</w:t>
      </w:r>
    </w:p>
    <w:sectPr w:rsidR="00C13E10" w:rsidSect="001D3249">
      <w:pgSz w:w="12240" w:h="15840"/>
      <w:pgMar w:top="1080" w:right="126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10EA"/>
    <w:multiLevelType w:val="multilevel"/>
    <w:tmpl w:val="40020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86612"/>
    <w:multiLevelType w:val="multilevel"/>
    <w:tmpl w:val="09008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2717E9"/>
    <w:multiLevelType w:val="multilevel"/>
    <w:tmpl w:val="17486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9E0487"/>
    <w:multiLevelType w:val="multilevel"/>
    <w:tmpl w:val="CB2CD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C32579"/>
    <w:multiLevelType w:val="multilevel"/>
    <w:tmpl w:val="A8266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DE4319"/>
    <w:multiLevelType w:val="multilevel"/>
    <w:tmpl w:val="A3EE5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F36FD9"/>
    <w:multiLevelType w:val="multilevel"/>
    <w:tmpl w:val="5B1CB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B37CD5"/>
    <w:multiLevelType w:val="multilevel"/>
    <w:tmpl w:val="9A3C7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DF073D"/>
    <w:multiLevelType w:val="multilevel"/>
    <w:tmpl w:val="C71E8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D343C0"/>
    <w:multiLevelType w:val="multilevel"/>
    <w:tmpl w:val="DA440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7338D3"/>
    <w:multiLevelType w:val="multilevel"/>
    <w:tmpl w:val="54243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A700F5"/>
    <w:multiLevelType w:val="multilevel"/>
    <w:tmpl w:val="CECAD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C33409"/>
    <w:multiLevelType w:val="multilevel"/>
    <w:tmpl w:val="E9E45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3409334">
    <w:abstractNumId w:val="2"/>
  </w:num>
  <w:num w:numId="2" w16cid:durableId="1490756054">
    <w:abstractNumId w:val="7"/>
  </w:num>
  <w:num w:numId="3" w16cid:durableId="1329213971">
    <w:abstractNumId w:val="10"/>
  </w:num>
  <w:num w:numId="4" w16cid:durableId="1232692674">
    <w:abstractNumId w:val="5"/>
  </w:num>
  <w:num w:numId="5" w16cid:durableId="1166893832">
    <w:abstractNumId w:val="4"/>
  </w:num>
  <w:num w:numId="6" w16cid:durableId="1463184569">
    <w:abstractNumId w:val="1"/>
  </w:num>
  <w:num w:numId="7" w16cid:durableId="680933875">
    <w:abstractNumId w:val="9"/>
  </w:num>
  <w:num w:numId="8" w16cid:durableId="1400715500">
    <w:abstractNumId w:val="8"/>
  </w:num>
  <w:num w:numId="9" w16cid:durableId="476847884">
    <w:abstractNumId w:val="11"/>
  </w:num>
  <w:num w:numId="10" w16cid:durableId="688800191">
    <w:abstractNumId w:val="6"/>
  </w:num>
  <w:num w:numId="11" w16cid:durableId="2048479767">
    <w:abstractNumId w:val="12"/>
  </w:num>
  <w:num w:numId="12" w16cid:durableId="629165488">
    <w:abstractNumId w:val="0"/>
  </w:num>
  <w:num w:numId="13" w16cid:durableId="4043742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249"/>
    <w:rsid w:val="000501D0"/>
    <w:rsid w:val="001D3249"/>
    <w:rsid w:val="003F119A"/>
    <w:rsid w:val="00450943"/>
    <w:rsid w:val="00BC7CF8"/>
    <w:rsid w:val="00C1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0B6B0"/>
  <w15:chartTrackingRefBased/>
  <w15:docId w15:val="{22DEBD3D-AA21-44EB-8EB8-DF518087C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32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32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32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32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32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32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32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32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32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32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32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32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32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32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32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32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32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32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32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32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32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32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32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32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32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32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32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32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324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D32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32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119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dcentral.dnv.com/download/DownloadGateway.dll?h=BE1B38BB718539CC0AB58A5FF2EA7A83EA67E725F82AFF33201F91AE98B612DD8CA34FA5CDBBE74AE34B3ACB387C2649&amp;utm_medium=email&amp;utm_source=Eloqua&amp;utm_campaign=MA_26Q2_GLOB_TRN_No_13_EXT_Enclosed_space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Van Thu</dc:creator>
  <cp:keywords/>
  <dc:description/>
  <cp:lastModifiedBy>Nguyen Van Thu</cp:lastModifiedBy>
  <cp:revision>1</cp:revision>
  <dcterms:created xsi:type="dcterms:W3CDTF">2026-04-09T06:43:00Z</dcterms:created>
  <dcterms:modified xsi:type="dcterms:W3CDTF">2026-04-09T07:11:00Z</dcterms:modified>
</cp:coreProperties>
</file>