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0A0D" w14:textId="512C2466" w:rsidR="0076742F" w:rsidRPr="0076742F" w:rsidRDefault="0076742F" w:rsidP="0076742F">
      <w:pPr>
        <w:spacing w:line="240" w:lineRule="auto"/>
        <w:jc w:val="center"/>
        <w:rPr>
          <w:rFonts w:ascii="Times New Roman" w:hAnsi="Times New Roman" w:cs="Times New Roman"/>
          <w:b/>
          <w:bCs/>
          <w:sz w:val="40"/>
          <w:szCs w:val="40"/>
        </w:rPr>
      </w:pPr>
      <w:r w:rsidRPr="0076742F">
        <w:rPr>
          <w:rFonts w:ascii="Times New Roman" w:hAnsi="Times New Roman" w:cs="Times New Roman"/>
          <w:b/>
          <w:bCs/>
          <w:sz w:val="40"/>
          <w:szCs w:val="40"/>
        </w:rPr>
        <w:t>IACS ban hành Khuyến nghị về Thiết bị nâng trên tàu (Rec.198)</w:t>
      </w:r>
    </w:p>
    <w:p w14:paraId="4097E019" w14:textId="77777777" w:rsidR="0076742F" w:rsidRDefault="0076742F" w:rsidP="0076742F">
      <w:pPr>
        <w:jc w:val="right"/>
      </w:pPr>
      <w:hyperlink r:id="rId5" w:history="1">
        <w:r w:rsidRPr="0076742F">
          <w:rPr>
            <w:rStyle w:val="Hyperlink"/>
            <w:b/>
            <w:bCs/>
          </w:rPr>
          <w:t>maritimecyprus</w:t>
        </w:r>
      </w:hyperlink>
      <w:r w:rsidRPr="0076742F">
        <w:t> </w:t>
      </w:r>
    </w:p>
    <w:p w14:paraId="346C88EF" w14:textId="541EE72F" w:rsidR="0076742F" w:rsidRPr="0076742F" w:rsidRDefault="0076742F" w:rsidP="0076742F">
      <w:pPr>
        <w:jc w:val="center"/>
      </w:pPr>
      <w:r w:rsidRPr="0076742F">
        <w:drawing>
          <wp:inline distT="0" distB="0" distL="0" distR="0" wp14:anchorId="7142A353" wp14:editId="1056F978">
            <wp:extent cx="5943600" cy="3347720"/>
            <wp:effectExtent l="0" t="0" r="0" b="5080"/>
            <wp:docPr id="1986858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17D60E43" w14:textId="49B50EB8"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Thiết bị nâng (LA) vốn là những máy móc tiềm ẩn nhiều </w:t>
      </w:r>
      <w:r>
        <w:rPr>
          <w:rFonts w:ascii="Times New Roman" w:hAnsi="Times New Roman" w:cs="Times New Roman"/>
          <w:sz w:val="26"/>
          <w:szCs w:val="26"/>
        </w:rPr>
        <w:t xml:space="preserve">mối </w:t>
      </w:r>
      <w:r w:rsidRPr="0076742F">
        <w:rPr>
          <w:rFonts w:ascii="Times New Roman" w:hAnsi="Times New Roman" w:cs="Times New Roman"/>
          <w:sz w:val="26"/>
          <w:szCs w:val="26"/>
        </w:rPr>
        <w:t xml:space="preserve">nguy hiểm, đặc biệt do tính </w:t>
      </w:r>
      <w:r>
        <w:rPr>
          <w:rFonts w:ascii="Times New Roman" w:hAnsi="Times New Roman" w:cs="Times New Roman"/>
          <w:sz w:val="26"/>
          <w:szCs w:val="26"/>
        </w:rPr>
        <w:t xml:space="preserve">hạn chế không gian </w:t>
      </w:r>
      <w:r w:rsidRPr="0076742F">
        <w:rPr>
          <w:rFonts w:ascii="Times New Roman" w:hAnsi="Times New Roman" w:cs="Times New Roman"/>
          <w:sz w:val="26"/>
          <w:szCs w:val="26"/>
        </w:rPr>
        <w:t>kết cấu ở các bộ phận quan trọng như hệ thống pa lăng cáp thép.</w:t>
      </w:r>
    </w:p>
    <w:p w14:paraId="09EDE0A2" w14:textId="51CA5DDC"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Với các yêu cầu mới theo Công ước SOLAS Chương II-1, Quy định 3-13 (được thông qua tại MSC 107), bối cảnh pháp lý đang thay đổi nhằm tăng cường an toàn cho các thiết bị nâng trên tàu và tời </w:t>
      </w:r>
      <w:r>
        <w:rPr>
          <w:rFonts w:ascii="Times New Roman" w:hAnsi="Times New Roman" w:cs="Times New Roman"/>
          <w:sz w:val="26"/>
          <w:szCs w:val="26"/>
        </w:rPr>
        <w:t>nâng hạ</w:t>
      </w:r>
      <w:r w:rsidRPr="0076742F">
        <w:rPr>
          <w:rFonts w:ascii="Times New Roman" w:hAnsi="Times New Roman" w:cs="Times New Roman"/>
          <w:sz w:val="26"/>
          <w:szCs w:val="26"/>
        </w:rPr>
        <w:t xml:space="preserve"> neo.</w:t>
      </w:r>
    </w:p>
    <w:p w14:paraId="05CF547D" w14:textId="5F1A1FB1"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International Association of Classification Societies (</w:t>
      </w:r>
      <w:r>
        <w:rPr>
          <w:rFonts w:ascii="Times New Roman" w:hAnsi="Times New Roman" w:cs="Times New Roman"/>
          <w:sz w:val="26"/>
          <w:szCs w:val="26"/>
        </w:rPr>
        <w:t>IACS</w:t>
      </w:r>
      <w:r w:rsidRPr="0076742F">
        <w:rPr>
          <w:rFonts w:ascii="Times New Roman" w:hAnsi="Times New Roman" w:cs="Times New Roman"/>
          <w:sz w:val="26"/>
          <w:szCs w:val="26"/>
        </w:rPr>
        <w:t xml:space="preserve">) ủng hộ mạnh mẽ việc đưa thiết bị nâng vào phạm vi </w:t>
      </w:r>
      <w:r>
        <w:rPr>
          <w:rFonts w:ascii="Times New Roman" w:hAnsi="Times New Roman" w:cs="Times New Roman"/>
          <w:sz w:val="26"/>
          <w:szCs w:val="26"/>
        </w:rPr>
        <w:t xml:space="preserve">của </w:t>
      </w:r>
      <w:r w:rsidRPr="0076742F">
        <w:rPr>
          <w:rFonts w:ascii="Times New Roman" w:hAnsi="Times New Roman" w:cs="Times New Roman"/>
          <w:sz w:val="26"/>
          <w:szCs w:val="26"/>
        </w:rPr>
        <w:t>Công ước SOLAS, qua đó mở rộng đáng kể phạm vi điều chỉnh và nâng cao an toàn trong toàn ngành hàng hải.</w:t>
      </w:r>
    </w:p>
    <w:p w14:paraId="7DE8E445" w14:textId="644C13A8"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Thiết bị nâng đóng vai trò thiết yếu trong công tác xếp dỡ hàng và vận hành tàu, tuy nhiên mức độ hạn chế </w:t>
      </w:r>
      <w:r>
        <w:rPr>
          <w:rFonts w:ascii="Times New Roman" w:hAnsi="Times New Roman" w:cs="Times New Roman"/>
          <w:sz w:val="26"/>
          <w:szCs w:val="26"/>
        </w:rPr>
        <w:t xml:space="preserve">trong không gian kết cấu </w:t>
      </w:r>
      <w:r w:rsidRPr="0076742F">
        <w:rPr>
          <w:rFonts w:ascii="Times New Roman" w:hAnsi="Times New Roman" w:cs="Times New Roman"/>
          <w:sz w:val="26"/>
          <w:szCs w:val="26"/>
        </w:rPr>
        <w:t xml:space="preserve">của chúng từ lâu đã gây ra rủi ro </w:t>
      </w:r>
      <w:r>
        <w:rPr>
          <w:rFonts w:ascii="Times New Roman" w:hAnsi="Times New Roman" w:cs="Times New Roman"/>
          <w:sz w:val="26"/>
          <w:szCs w:val="26"/>
        </w:rPr>
        <w:t xml:space="preserve">về </w:t>
      </w:r>
      <w:r w:rsidRPr="0076742F">
        <w:rPr>
          <w:rFonts w:ascii="Times New Roman" w:hAnsi="Times New Roman" w:cs="Times New Roman"/>
          <w:sz w:val="26"/>
          <w:szCs w:val="26"/>
        </w:rPr>
        <w:t xml:space="preserve">an toàn cho thuyền viên và tàu. Để giải quyết những </w:t>
      </w:r>
      <w:r>
        <w:rPr>
          <w:rFonts w:ascii="Times New Roman" w:hAnsi="Times New Roman" w:cs="Times New Roman"/>
          <w:sz w:val="26"/>
          <w:szCs w:val="26"/>
        </w:rPr>
        <w:t xml:space="preserve">mối </w:t>
      </w:r>
      <w:r w:rsidRPr="0076742F">
        <w:rPr>
          <w:rFonts w:ascii="Times New Roman" w:hAnsi="Times New Roman" w:cs="Times New Roman"/>
          <w:sz w:val="26"/>
          <w:szCs w:val="26"/>
        </w:rPr>
        <w:t xml:space="preserve">nguy </w:t>
      </w:r>
      <w:r>
        <w:rPr>
          <w:rFonts w:ascii="Times New Roman" w:hAnsi="Times New Roman" w:cs="Times New Roman"/>
          <w:sz w:val="26"/>
          <w:szCs w:val="26"/>
        </w:rPr>
        <w:t>hiểm</w:t>
      </w:r>
      <w:r w:rsidRPr="0076742F">
        <w:rPr>
          <w:rFonts w:ascii="Times New Roman" w:hAnsi="Times New Roman" w:cs="Times New Roman"/>
          <w:sz w:val="26"/>
          <w:szCs w:val="26"/>
        </w:rPr>
        <w:t xml:space="preserve"> này, I</w:t>
      </w:r>
      <w:r>
        <w:rPr>
          <w:rFonts w:ascii="Times New Roman" w:hAnsi="Times New Roman" w:cs="Times New Roman"/>
          <w:sz w:val="26"/>
          <w:szCs w:val="26"/>
        </w:rPr>
        <w:t xml:space="preserve">MO </w:t>
      </w:r>
      <w:r w:rsidRPr="0076742F">
        <w:rPr>
          <w:rFonts w:ascii="Times New Roman" w:hAnsi="Times New Roman" w:cs="Times New Roman"/>
          <w:sz w:val="26"/>
          <w:szCs w:val="26"/>
        </w:rPr>
        <w:t>đã đưa ra các yêu cầu bắt buộc mới về thiết kế, chế tạo, lắp đặt, thử nghiệm, kiểm tra, ghi nhãn, bảo dưỡng, thanh tra và vận hành thiết bị nâng theo Công ước SOLAS. Các quy định này có hiệu lực từ ngày 1/1/2026 và nhằm ngăn ngừa các sự cố từng dẫn đến tử vong, thương tích, mất thiết bị nâng và hư hỏng tàu.</w:t>
      </w:r>
    </w:p>
    <w:p w14:paraId="6A8A395A" w14:textId="6E4F6CF6"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Các quy định </w:t>
      </w:r>
      <w:r w:rsidR="00811BA9" w:rsidRPr="0076742F">
        <w:rPr>
          <w:rFonts w:ascii="Times New Roman" w:hAnsi="Times New Roman" w:cs="Times New Roman"/>
          <w:sz w:val="26"/>
          <w:szCs w:val="26"/>
        </w:rPr>
        <w:t xml:space="preserve">mới </w:t>
      </w:r>
      <w:r w:rsidR="00811BA9">
        <w:rPr>
          <w:rFonts w:ascii="Times New Roman" w:hAnsi="Times New Roman" w:cs="Times New Roman"/>
          <w:sz w:val="26"/>
          <w:szCs w:val="26"/>
        </w:rPr>
        <w:t xml:space="preserve">của </w:t>
      </w:r>
      <w:r w:rsidRPr="0076742F">
        <w:rPr>
          <w:rFonts w:ascii="Times New Roman" w:hAnsi="Times New Roman" w:cs="Times New Roman"/>
          <w:sz w:val="26"/>
          <w:szCs w:val="26"/>
        </w:rPr>
        <w:t xml:space="preserve">SOLAS áp dụng cho tất cả thiết bị nâng lắp đặt mới từ ngày 1/1/2026 trở đi, cũng như đối với thiết bị nâng hiện có và các phụ kiện rời liên quan chậm nhất </w:t>
      </w:r>
      <w:r w:rsidR="00811BA9">
        <w:rPr>
          <w:rFonts w:ascii="Times New Roman" w:hAnsi="Times New Roman" w:cs="Times New Roman"/>
          <w:sz w:val="26"/>
          <w:szCs w:val="26"/>
        </w:rPr>
        <w:t>vào</w:t>
      </w:r>
      <w:r w:rsidRPr="0076742F">
        <w:rPr>
          <w:rFonts w:ascii="Times New Roman" w:hAnsi="Times New Roman" w:cs="Times New Roman"/>
          <w:sz w:val="26"/>
          <w:szCs w:val="26"/>
        </w:rPr>
        <w:t xml:space="preserve"> kỳ kiểm tra gia hạn đầu tiên sau thời điểm này. Quy định II-1/3-13 đưa ra các yêu cầu về phân loại </w:t>
      </w:r>
      <w:r w:rsidRPr="0076742F">
        <w:rPr>
          <w:rFonts w:ascii="Times New Roman" w:hAnsi="Times New Roman" w:cs="Times New Roman"/>
          <w:sz w:val="26"/>
          <w:szCs w:val="26"/>
        </w:rPr>
        <w:lastRenderedPageBreak/>
        <w:t>thiết kế và chế tạo chuẩn, thử tải định kỳ và kiểm tra kỹ lưỡng đối với cả thiết bị nâng mới và hiện hữu.</w:t>
      </w:r>
    </w:p>
    <w:p w14:paraId="53C72F80" w14:textId="77777777"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IACS ủng hộ mạnh mẽ việc đưa thiết bị nâng vào Công ước SOLAS, ghi nhận sự cải thiện đáng kể về an toàn hàng hải mà điều này mang lại. Để hỗ trợ khuôn khổ mới và tạo điều kiện triển khai thống nhất các quy định SOLAS trên toàn cầu, IACS đã xây dựng một Khuyến nghị toàn diện về Thiết bị nâng trên tàu, cung cấp hướng dẫn về, ví dụ:</w:t>
      </w:r>
    </w:p>
    <w:p w14:paraId="1B761A5E" w14:textId="0CC059F7"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Phân biệt giữa thiết bị nâng mới và hiện </w:t>
      </w:r>
      <w:r w:rsidR="00811BA9">
        <w:rPr>
          <w:rFonts w:ascii="Times New Roman" w:hAnsi="Times New Roman" w:cs="Times New Roman"/>
          <w:sz w:val="26"/>
          <w:szCs w:val="26"/>
        </w:rPr>
        <w:t>có</w:t>
      </w:r>
      <w:r w:rsidRPr="0076742F">
        <w:rPr>
          <w:rFonts w:ascii="Times New Roman" w:hAnsi="Times New Roman" w:cs="Times New Roman"/>
          <w:sz w:val="26"/>
          <w:szCs w:val="26"/>
        </w:rPr>
        <w:t xml:space="preserve">; </w:t>
      </w:r>
    </w:p>
    <w:p w14:paraId="1CDE4BF6" w14:textId="0F956339"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Áp dụng Quy định II-1/3-13 </w:t>
      </w:r>
      <w:r w:rsidR="00811BA9">
        <w:rPr>
          <w:rFonts w:ascii="Times New Roman" w:hAnsi="Times New Roman" w:cs="Times New Roman"/>
          <w:sz w:val="26"/>
          <w:szCs w:val="26"/>
        </w:rPr>
        <w:t xml:space="preserve">của </w:t>
      </w:r>
      <w:r w:rsidR="00811BA9" w:rsidRPr="0076742F">
        <w:rPr>
          <w:rFonts w:ascii="Times New Roman" w:hAnsi="Times New Roman" w:cs="Times New Roman"/>
          <w:sz w:val="26"/>
          <w:szCs w:val="26"/>
        </w:rPr>
        <w:t xml:space="preserve">SOLAS </w:t>
      </w:r>
      <w:r w:rsidRPr="0076742F">
        <w:rPr>
          <w:rFonts w:ascii="Times New Roman" w:hAnsi="Times New Roman" w:cs="Times New Roman"/>
          <w:sz w:val="26"/>
          <w:szCs w:val="26"/>
        </w:rPr>
        <w:t xml:space="preserve">đối với thiết bị nâng có tải trọng làm việc an toàn dưới 1000 kg; </w:t>
      </w:r>
    </w:p>
    <w:p w14:paraId="1714DE9B" w14:textId="77777777"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Những thông tin cần thiết để đưa thiết bị nâng hiện có và phụ kiện rời vào phạm vi điều chỉnh của SOLAS (chứng chỉ, thử tải, kiểm tra kỹ lưỡng); </w:t>
      </w:r>
    </w:p>
    <w:p w14:paraId="16ACA9AB" w14:textId="34909926"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Ví dụ về các phụ kiện rời cần hoặc không cần áp dụng Quy định II-1/3-13</w:t>
      </w:r>
      <w:r w:rsidR="00811BA9" w:rsidRPr="00811BA9">
        <w:rPr>
          <w:rFonts w:ascii="Times New Roman" w:hAnsi="Times New Roman" w:cs="Times New Roman"/>
          <w:sz w:val="26"/>
          <w:szCs w:val="26"/>
        </w:rPr>
        <w:t xml:space="preserve"> </w:t>
      </w:r>
      <w:r w:rsidR="00811BA9">
        <w:rPr>
          <w:rFonts w:ascii="Times New Roman" w:hAnsi="Times New Roman" w:cs="Times New Roman"/>
          <w:sz w:val="26"/>
          <w:szCs w:val="26"/>
        </w:rPr>
        <w:t xml:space="preserve">của </w:t>
      </w:r>
      <w:r w:rsidR="00811BA9" w:rsidRPr="0076742F">
        <w:rPr>
          <w:rFonts w:ascii="Times New Roman" w:hAnsi="Times New Roman" w:cs="Times New Roman"/>
          <w:sz w:val="26"/>
          <w:szCs w:val="26"/>
        </w:rPr>
        <w:t>SOLAS</w:t>
      </w:r>
      <w:r w:rsidRPr="0076742F">
        <w:rPr>
          <w:rFonts w:ascii="Times New Roman" w:hAnsi="Times New Roman" w:cs="Times New Roman"/>
          <w:sz w:val="26"/>
          <w:szCs w:val="26"/>
        </w:rPr>
        <w:t xml:space="preserve">, cũng như tài liệu cần thiết để xem xét các phụ kiện rời hiện có trong phạm vi quy định này; </w:t>
      </w:r>
    </w:p>
    <w:p w14:paraId="78F5B1ED" w14:textId="2A502225"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Các thiết bị vừa đóng vai trò là thiết bị hạ phương tiện cứu sinh hoặc xuồng cứu nạn, vừa là thiết bị nâng phục vụ xếp dỡ hàng (sử dụng kép); </w:t>
      </w:r>
    </w:p>
    <w:p w14:paraId="04B7C2C5" w14:textId="77777777"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Tài liệu cần thiết và quy trình chứng nhận đối với thiết bị có sửa đổi hoặc cải hoán lớn; </w:t>
      </w:r>
    </w:p>
    <w:p w14:paraId="18B7A1D0" w14:textId="666F4455"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Chế độ khảo sát, thử nghiệm và mốc thời gian, bao gồm sự phù hợp với Hệ thống </w:t>
      </w:r>
      <w:r w:rsidR="00811BA9">
        <w:rPr>
          <w:rFonts w:ascii="Times New Roman" w:hAnsi="Times New Roman" w:cs="Times New Roman"/>
          <w:sz w:val="26"/>
          <w:szCs w:val="26"/>
        </w:rPr>
        <w:t>giám định</w:t>
      </w:r>
      <w:r w:rsidRPr="0076742F">
        <w:rPr>
          <w:rFonts w:ascii="Times New Roman" w:hAnsi="Times New Roman" w:cs="Times New Roman"/>
          <w:sz w:val="26"/>
          <w:szCs w:val="26"/>
        </w:rPr>
        <w:t xml:space="preserve"> và Chứng nhận Hài hòa (HSSC); </w:t>
      </w:r>
    </w:p>
    <w:p w14:paraId="57C75C69" w14:textId="2F90266C" w:rsidR="0076742F" w:rsidRPr="0076742F" w:rsidRDefault="0076742F" w:rsidP="0076742F">
      <w:pPr>
        <w:numPr>
          <w:ilvl w:val="0"/>
          <w:numId w:val="2"/>
        </w:num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Thời điểm xác nhận ban đầu về việc tuân thủ Quy định II-1/3-13</w:t>
      </w:r>
      <w:r w:rsidR="00811BA9" w:rsidRPr="00811BA9">
        <w:rPr>
          <w:rFonts w:ascii="Times New Roman" w:hAnsi="Times New Roman" w:cs="Times New Roman"/>
          <w:sz w:val="26"/>
          <w:szCs w:val="26"/>
        </w:rPr>
        <w:t xml:space="preserve"> </w:t>
      </w:r>
      <w:r w:rsidR="00811BA9">
        <w:rPr>
          <w:rFonts w:ascii="Times New Roman" w:hAnsi="Times New Roman" w:cs="Times New Roman"/>
          <w:sz w:val="26"/>
          <w:szCs w:val="26"/>
        </w:rPr>
        <w:t xml:space="preserve">của </w:t>
      </w:r>
      <w:r w:rsidR="00811BA9" w:rsidRPr="0076742F">
        <w:rPr>
          <w:rFonts w:ascii="Times New Roman" w:hAnsi="Times New Roman" w:cs="Times New Roman"/>
          <w:sz w:val="26"/>
          <w:szCs w:val="26"/>
        </w:rPr>
        <w:t>SOLAS</w:t>
      </w:r>
      <w:r w:rsidRPr="0076742F">
        <w:rPr>
          <w:rFonts w:ascii="Times New Roman" w:hAnsi="Times New Roman" w:cs="Times New Roman"/>
          <w:sz w:val="26"/>
          <w:szCs w:val="26"/>
        </w:rPr>
        <w:t xml:space="preserve">. </w:t>
      </w:r>
    </w:p>
    <w:p w14:paraId="179FA244" w14:textId="77777777" w:rsidR="00811BA9" w:rsidRDefault="00811BA9" w:rsidP="00811BA9">
      <w:pPr>
        <w:spacing w:before="120" w:after="120"/>
        <w:jc w:val="center"/>
        <w:rPr>
          <w:rFonts w:ascii="Times New Roman" w:hAnsi="Times New Roman" w:cs="Times New Roman"/>
          <w:sz w:val="26"/>
          <w:szCs w:val="26"/>
        </w:rPr>
      </w:pPr>
      <w:r w:rsidRPr="0076742F">
        <w:drawing>
          <wp:inline distT="0" distB="0" distL="0" distR="0" wp14:anchorId="58BBC7BC" wp14:editId="36EA691D">
            <wp:extent cx="5943600" cy="2479040"/>
            <wp:effectExtent l="0" t="0" r="0" b="0"/>
            <wp:docPr id="1843913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79040"/>
                    </a:xfrm>
                    <a:prstGeom prst="rect">
                      <a:avLst/>
                    </a:prstGeom>
                    <a:noFill/>
                    <a:ln>
                      <a:noFill/>
                    </a:ln>
                  </pic:spPr>
                </pic:pic>
              </a:graphicData>
            </a:graphic>
          </wp:inline>
        </w:drawing>
      </w:r>
    </w:p>
    <w:p w14:paraId="16311CA9" w14:textId="0A81261B"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Bình luận về quy định mới, ông Robert Ashdown, Tổng Thư ký IACS, cho biết:</w:t>
      </w:r>
      <w:r w:rsidRPr="0076742F">
        <w:rPr>
          <w:rFonts w:ascii="Times New Roman" w:hAnsi="Times New Roman" w:cs="Times New Roman"/>
          <w:sz w:val="26"/>
          <w:szCs w:val="26"/>
        </w:rPr>
        <w:br/>
        <w:t xml:space="preserve">“Khi các yêu cầu mới của SOLAS có hiệu lực, sự phối hợp chặt chẽ giữa các tổ chức </w:t>
      </w:r>
      <w:r w:rsidR="00811BA9">
        <w:rPr>
          <w:rFonts w:ascii="Times New Roman" w:hAnsi="Times New Roman" w:cs="Times New Roman"/>
          <w:sz w:val="26"/>
          <w:szCs w:val="26"/>
        </w:rPr>
        <w:t>đăng kiểm</w:t>
      </w:r>
      <w:r w:rsidRPr="0076742F">
        <w:rPr>
          <w:rFonts w:ascii="Times New Roman" w:hAnsi="Times New Roman" w:cs="Times New Roman"/>
          <w:sz w:val="26"/>
          <w:szCs w:val="26"/>
        </w:rPr>
        <w:t xml:space="preserve">, cơ quan quản lý </w:t>
      </w:r>
      <w:r w:rsidR="00811BA9">
        <w:rPr>
          <w:rFonts w:ascii="Times New Roman" w:hAnsi="Times New Roman" w:cs="Times New Roman"/>
          <w:sz w:val="26"/>
          <w:szCs w:val="26"/>
        </w:rPr>
        <w:t xml:space="preserve">của </w:t>
      </w:r>
      <w:r w:rsidRPr="0076742F">
        <w:rPr>
          <w:rFonts w:ascii="Times New Roman" w:hAnsi="Times New Roman" w:cs="Times New Roman"/>
          <w:sz w:val="26"/>
          <w:szCs w:val="26"/>
        </w:rPr>
        <w:t xml:space="preserve">quốc gia </w:t>
      </w:r>
      <w:r w:rsidR="00811BA9">
        <w:rPr>
          <w:rFonts w:ascii="Times New Roman" w:hAnsi="Times New Roman" w:cs="Times New Roman"/>
          <w:sz w:val="26"/>
          <w:szCs w:val="26"/>
        </w:rPr>
        <w:t>tàu mang</w:t>
      </w:r>
      <w:r w:rsidRPr="0076742F">
        <w:rPr>
          <w:rFonts w:ascii="Times New Roman" w:hAnsi="Times New Roman" w:cs="Times New Roman"/>
          <w:sz w:val="26"/>
          <w:szCs w:val="26"/>
        </w:rPr>
        <w:t xml:space="preserve"> cờ và các bên liên quan trong ngành là hết sức cần thiết. IACS cam kết tiếp tục cung cấp hướng dẫn rõ ràng, thực tiễn và hỗ trợ ngành hàng hải đạt được các hoạt động nâng hạ an toàn hơn trên toàn cầu. Khuyến nghị mới của IACS sẽ </w:t>
      </w:r>
      <w:r w:rsidRPr="0076742F">
        <w:rPr>
          <w:rFonts w:ascii="Times New Roman" w:hAnsi="Times New Roman" w:cs="Times New Roman"/>
          <w:sz w:val="26"/>
          <w:szCs w:val="26"/>
        </w:rPr>
        <w:lastRenderedPageBreak/>
        <w:t xml:space="preserve">giúp đảm bảo việc áp dụng nhất quán các quy định SOLAS, giảm thiểu rủi ro đối với thuyền viên và tàu do sự cố </w:t>
      </w:r>
      <w:r w:rsidR="00811BA9">
        <w:rPr>
          <w:rFonts w:ascii="Times New Roman" w:hAnsi="Times New Roman" w:cs="Times New Roman"/>
          <w:sz w:val="26"/>
          <w:szCs w:val="26"/>
        </w:rPr>
        <w:t xml:space="preserve">của </w:t>
      </w:r>
      <w:r w:rsidRPr="0076742F">
        <w:rPr>
          <w:rFonts w:ascii="Times New Roman" w:hAnsi="Times New Roman" w:cs="Times New Roman"/>
          <w:sz w:val="26"/>
          <w:szCs w:val="26"/>
        </w:rPr>
        <w:t>thiết bị nâng.”</w:t>
      </w:r>
    </w:p>
    <w:p w14:paraId="7525442D" w14:textId="255E3113"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 xml:space="preserve">Khuyến nghị mới của IACS </w:t>
      </w:r>
      <w:r w:rsidR="00811BA9">
        <w:rPr>
          <w:rFonts w:ascii="Times New Roman" w:hAnsi="Times New Roman" w:cs="Times New Roman"/>
          <w:sz w:val="26"/>
          <w:szCs w:val="26"/>
        </w:rPr>
        <w:t xml:space="preserve">được </w:t>
      </w:r>
      <w:r w:rsidRPr="0076742F">
        <w:rPr>
          <w:rFonts w:ascii="Times New Roman" w:hAnsi="Times New Roman" w:cs="Times New Roman"/>
          <w:sz w:val="26"/>
          <w:szCs w:val="26"/>
        </w:rPr>
        <w:t xml:space="preserve">phát triển dựa trên các quy định </w:t>
      </w:r>
      <w:r w:rsidR="00811BA9">
        <w:rPr>
          <w:rFonts w:ascii="Times New Roman" w:hAnsi="Times New Roman" w:cs="Times New Roman"/>
          <w:sz w:val="26"/>
          <w:szCs w:val="26"/>
        </w:rPr>
        <w:t xml:space="preserve">của </w:t>
      </w:r>
      <w:r w:rsidRPr="0076742F">
        <w:rPr>
          <w:rFonts w:ascii="Times New Roman" w:hAnsi="Times New Roman" w:cs="Times New Roman"/>
          <w:sz w:val="26"/>
          <w:szCs w:val="26"/>
        </w:rPr>
        <w:t xml:space="preserve">SOLAS bằng cách cung cấp tham chiếu chi tiết đến các khía cạnh liên quan của SOLAS và các tình huống áp dụng khác nhau của thiết bị nâng. Đồng thời, tài liệu này cũng làm rõ việc phân loại các thiết bị nâng thuộc phạm vi áp dụng của </w:t>
      </w:r>
      <w:r w:rsidR="00811BA9">
        <w:rPr>
          <w:rFonts w:ascii="Times New Roman" w:hAnsi="Times New Roman" w:cs="Times New Roman"/>
          <w:sz w:val="26"/>
          <w:szCs w:val="26"/>
        </w:rPr>
        <w:t xml:space="preserve">Điều </w:t>
      </w:r>
      <w:r w:rsidRPr="0076742F">
        <w:rPr>
          <w:rFonts w:ascii="Times New Roman" w:hAnsi="Times New Roman" w:cs="Times New Roman"/>
          <w:sz w:val="26"/>
          <w:szCs w:val="26"/>
        </w:rPr>
        <w:t>II-1/3-13</w:t>
      </w:r>
      <w:r w:rsidR="00811BA9">
        <w:rPr>
          <w:rFonts w:ascii="Times New Roman" w:hAnsi="Times New Roman" w:cs="Times New Roman"/>
          <w:sz w:val="26"/>
          <w:szCs w:val="26"/>
        </w:rPr>
        <w:t xml:space="preserve"> của</w:t>
      </w:r>
      <w:r w:rsidR="00811BA9" w:rsidRPr="00811BA9">
        <w:rPr>
          <w:rFonts w:ascii="Times New Roman" w:hAnsi="Times New Roman" w:cs="Times New Roman"/>
          <w:sz w:val="26"/>
          <w:szCs w:val="26"/>
        </w:rPr>
        <w:t xml:space="preserve"> </w:t>
      </w:r>
      <w:r w:rsidR="00811BA9" w:rsidRPr="0076742F">
        <w:rPr>
          <w:rFonts w:ascii="Times New Roman" w:hAnsi="Times New Roman" w:cs="Times New Roman"/>
          <w:sz w:val="26"/>
          <w:szCs w:val="26"/>
        </w:rPr>
        <w:t>SOLAS</w:t>
      </w:r>
      <w:r w:rsidRPr="0076742F">
        <w:rPr>
          <w:rFonts w:ascii="Times New Roman" w:hAnsi="Times New Roman" w:cs="Times New Roman"/>
          <w:sz w:val="26"/>
          <w:szCs w:val="26"/>
        </w:rPr>
        <w:t>, cũng như đưa ra các ví dụ cụ thể về những thiết bị có thể hoặc không thuộc phạm vi áp dụng của quy định này.</w:t>
      </w:r>
    </w:p>
    <w:p w14:paraId="31B568CF" w14:textId="298D78B3"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Khuyến nghị này tiếp nối các nỗ lực trước đó của IACS nhằm nâng cao an toàn thiết bị nâng. Trước đó, IACS đã ban hành một Diễn giải Thống nhất mới (UI SC310, tháng 7/2025) – cũng được IMO công bố dưới dạng MSC.1/Circ.1696 – trong đó đưa ra mẫu “tuyên bố thực tế” xác nhận việc thử và kiểm tra các thiết bị nâng hiện có chưa được chứng nhận theo MSC.1/Circ.1663.</w:t>
      </w:r>
    </w:p>
    <w:p w14:paraId="1782ADC9" w14:textId="77777777"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Khuyến nghị mới tiếp tục phát triển nội dung này bằng cách đề xuất sử dụng “Factual Statements” và nhấn mạnh tầm quan trọng then chốt của việc xác định tải trọng làm việc an toàn (được Cơ quan quản lý chấp thuận), phù hợp với UI SC 310 (MSC.1/Circ.1696), đối với các thiết bị nâng hiện có chưa có chứng chỉ thử tải và kiểm tra hợp lệ.</w:t>
      </w:r>
    </w:p>
    <w:p w14:paraId="0B51B0AB" w14:textId="77777777" w:rsidR="0076742F" w:rsidRPr="0076742F" w:rsidRDefault="0076742F" w:rsidP="0076742F">
      <w:pPr>
        <w:spacing w:before="120" w:after="120"/>
        <w:jc w:val="both"/>
        <w:rPr>
          <w:rFonts w:ascii="Times New Roman" w:hAnsi="Times New Roman" w:cs="Times New Roman"/>
          <w:sz w:val="26"/>
          <w:szCs w:val="26"/>
        </w:rPr>
      </w:pPr>
      <w:r w:rsidRPr="0076742F">
        <w:rPr>
          <w:rFonts w:ascii="Times New Roman" w:hAnsi="Times New Roman" w:cs="Times New Roman"/>
          <w:sz w:val="26"/>
          <w:szCs w:val="26"/>
        </w:rPr>
        <w:t>IACS cũng đã ban hành Khuyến nghị số 191 vào năm 2025 đối với các thiết bị nâng sử dụng trong hoạt động nâng hạ con người.</w:t>
      </w:r>
    </w:p>
    <w:p w14:paraId="57F34FE2" w14:textId="7688C297" w:rsidR="0076742F" w:rsidRPr="00811BA9" w:rsidRDefault="0076742F" w:rsidP="0076742F">
      <w:pPr>
        <w:spacing w:before="120" w:after="120"/>
        <w:jc w:val="both"/>
        <w:rPr>
          <w:rFonts w:ascii="Times New Roman" w:hAnsi="Times New Roman" w:cs="Times New Roman"/>
          <w:sz w:val="26"/>
          <w:szCs w:val="26"/>
        </w:rPr>
      </w:pPr>
      <w:r w:rsidRPr="00811BA9">
        <w:rPr>
          <w:rFonts w:ascii="Times New Roman" w:hAnsi="Times New Roman" w:cs="Times New Roman"/>
          <w:sz w:val="26"/>
          <w:szCs w:val="26"/>
        </w:rPr>
        <w:t xml:space="preserve">Để biết thêm thông tin, toàn văn “Khuyến nghị về Thiết bị nâng trên tàu” có thể được tải về </w:t>
      </w:r>
      <w:r w:rsidR="00811BA9">
        <w:rPr>
          <w:rFonts w:ascii="Times New Roman" w:hAnsi="Times New Roman" w:cs="Times New Roman"/>
          <w:sz w:val="26"/>
          <w:szCs w:val="26"/>
        </w:rPr>
        <w:t xml:space="preserve">từ liên kết ở </w:t>
      </w:r>
      <w:r w:rsidRPr="00811BA9">
        <w:rPr>
          <w:rFonts w:ascii="Times New Roman" w:hAnsi="Times New Roman" w:cs="Times New Roman"/>
          <w:sz w:val="26"/>
          <w:szCs w:val="26"/>
        </w:rPr>
        <w:t>bên dưới.</w:t>
      </w:r>
    </w:p>
    <w:p w14:paraId="11FEB83D" w14:textId="1EDA149C" w:rsidR="00C13E10" w:rsidRDefault="00811BA9">
      <w:hyperlink r:id="rId8" w:history="1">
        <w:r w:rsidRPr="00C33A36">
          <w:rPr>
            <w:rStyle w:val="Hyperlink"/>
          </w:rPr>
          <w:t>https://maritimecyprus.com/wp-content/uploads/2026/04/IACS-Rec-198-New-Apr-2026.pdf</w:t>
        </w:r>
      </w:hyperlink>
    </w:p>
    <w:p w14:paraId="1B0F13F5" w14:textId="242F21D5" w:rsidR="00811BA9" w:rsidRDefault="00811BA9" w:rsidP="00811BA9">
      <w:pPr>
        <w:jc w:val="center"/>
      </w:pPr>
      <w:r>
        <w:t>---------------------------------------------------</w:t>
      </w:r>
    </w:p>
    <w:sectPr w:rsidR="00811BA9" w:rsidSect="00811BA9">
      <w:pgSz w:w="12240" w:h="15840"/>
      <w:pgMar w:top="72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8A0"/>
    <w:multiLevelType w:val="multilevel"/>
    <w:tmpl w:val="997A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E2E0C"/>
    <w:multiLevelType w:val="multilevel"/>
    <w:tmpl w:val="71F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3405">
    <w:abstractNumId w:val="0"/>
  </w:num>
  <w:num w:numId="2" w16cid:durableId="128064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2F"/>
    <w:rsid w:val="000501D0"/>
    <w:rsid w:val="00273359"/>
    <w:rsid w:val="0076742F"/>
    <w:rsid w:val="00811BA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B5A8"/>
  <w15:chartTrackingRefBased/>
  <w15:docId w15:val="{60540CAE-1D6A-4BB2-A212-D705558C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42F"/>
    <w:rPr>
      <w:rFonts w:eastAsiaTheme="majorEastAsia" w:cstheme="majorBidi"/>
      <w:color w:val="272727" w:themeColor="text1" w:themeTint="D8"/>
    </w:rPr>
  </w:style>
  <w:style w:type="paragraph" w:styleId="Title">
    <w:name w:val="Title"/>
    <w:basedOn w:val="Normal"/>
    <w:next w:val="Normal"/>
    <w:link w:val="TitleChar"/>
    <w:uiPriority w:val="10"/>
    <w:qFormat/>
    <w:rsid w:val="00767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42F"/>
    <w:pPr>
      <w:spacing w:before="160"/>
      <w:jc w:val="center"/>
    </w:pPr>
    <w:rPr>
      <w:i/>
      <w:iCs/>
      <w:color w:val="404040" w:themeColor="text1" w:themeTint="BF"/>
    </w:rPr>
  </w:style>
  <w:style w:type="character" w:customStyle="1" w:styleId="QuoteChar">
    <w:name w:val="Quote Char"/>
    <w:basedOn w:val="DefaultParagraphFont"/>
    <w:link w:val="Quote"/>
    <w:uiPriority w:val="29"/>
    <w:rsid w:val="0076742F"/>
    <w:rPr>
      <w:i/>
      <w:iCs/>
      <w:color w:val="404040" w:themeColor="text1" w:themeTint="BF"/>
    </w:rPr>
  </w:style>
  <w:style w:type="paragraph" w:styleId="ListParagraph">
    <w:name w:val="List Paragraph"/>
    <w:basedOn w:val="Normal"/>
    <w:uiPriority w:val="34"/>
    <w:qFormat/>
    <w:rsid w:val="0076742F"/>
    <w:pPr>
      <w:ind w:left="720"/>
      <w:contextualSpacing/>
    </w:pPr>
  </w:style>
  <w:style w:type="character" w:styleId="IntenseEmphasis">
    <w:name w:val="Intense Emphasis"/>
    <w:basedOn w:val="DefaultParagraphFont"/>
    <w:uiPriority w:val="21"/>
    <w:qFormat/>
    <w:rsid w:val="0076742F"/>
    <w:rPr>
      <w:i/>
      <w:iCs/>
      <w:color w:val="0F4761" w:themeColor="accent1" w:themeShade="BF"/>
    </w:rPr>
  </w:style>
  <w:style w:type="paragraph" w:styleId="IntenseQuote">
    <w:name w:val="Intense Quote"/>
    <w:basedOn w:val="Normal"/>
    <w:next w:val="Normal"/>
    <w:link w:val="IntenseQuoteChar"/>
    <w:uiPriority w:val="30"/>
    <w:qFormat/>
    <w:rsid w:val="00767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42F"/>
    <w:rPr>
      <w:i/>
      <w:iCs/>
      <w:color w:val="0F4761" w:themeColor="accent1" w:themeShade="BF"/>
    </w:rPr>
  </w:style>
  <w:style w:type="character" w:styleId="IntenseReference">
    <w:name w:val="Intense Reference"/>
    <w:basedOn w:val="DefaultParagraphFont"/>
    <w:uiPriority w:val="32"/>
    <w:qFormat/>
    <w:rsid w:val="0076742F"/>
    <w:rPr>
      <w:b/>
      <w:bCs/>
      <w:smallCaps/>
      <w:color w:val="0F4761" w:themeColor="accent1" w:themeShade="BF"/>
      <w:spacing w:val="5"/>
    </w:rPr>
  </w:style>
  <w:style w:type="character" w:styleId="Hyperlink">
    <w:name w:val="Hyperlink"/>
    <w:basedOn w:val="DefaultParagraphFont"/>
    <w:uiPriority w:val="99"/>
    <w:unhideWhenUsed/>
    <w:rsid w:val="0076742F"/>
    <w:rPr>
      <w:color w:val="467886" w:themeColor="hyperlink"/>
      <w:u w:val="single"/>
    </w:rPr>
  </w:style>
  <w:style w:type="character" w:styleId="UnresolvedMention">
    <w:name w:val="Unresolved Mention"/>
    <w:basedOn w:val="DefaultParagraphFont"/>
    <w:uiPriority w:val="99"/>
    <w:semiHidden/>
    <w:unhideWhenUsed/>
    <w:rsid w:val="00767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6/04/IACS-Rec-198-New-Apr-2026.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757</Words>
  <Characters>4321</Characters>
  <Application>Microsoft Office Word</Application>
  <DocSecurity>0</DocSecurity>
  <Lines>36</Lines>
  <Paragraphs>10</Paragraphs>
  <ScaleCrop>false</ScaleCrop>
  <Company>HP</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2026-04-30T04:28:00Z</dcterms:created>
  <dcterms:modified xsi:type="dcterms:W3CDTF">2026-04-30T07:03:00Z</dcterms:modified>
</cp:coreProperties>
</file>