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38EA" w14:textId="3301E480" w:rsidR="00965274" w:rsidRPr="00F9381A" w:rsidRDefault="00965274" w:rsidP="00F9381A">
      <w:pPr>
        <w:spacing w:before="8" w:after="0" w:line="240" w:lineRule="auto"/>
        <w:jc w:val="center"/>
        <w:rPr>
          <w:rFonts w:ascii="Times New Roman" w:eastAsia="Arial" w:hAnsi="Times New Roman" w:cs="Times New Roman"/>
          <w:b/>
          <w:bCs/>
          <w:color w:val="0070C0"/>
          <w:spacing w:val="4"/>
          <w:w w:val="101"/>
          <w:sz w:val="40"/>
          <w:szCs w:val="40"/>
        </w:rPr>
      </w:pPr>
      <w:r w:rsidRPr="00F9381A">
        <w:rPr>
          <w:rFonts w:ascii="Times New Roman" w:eastAsia="Arial" w:hAnsi="Times New Roman" w:cs="Times New Roman"/>
          <w:b/>
          <w:bCs/>
          <w:color w:val="0070C0"/>
          <w:spacing w:val="4"/>
          <w:w w:val="101"/>
          <w:sz w:val="40"/>
          <w:szCs w:val="40"/>
        </w:rPr>
        <w:t>KẾT QUẢ CỦA KỲ HỌP HTW 12</w:t>
      </w:r>
    </w:p>
    <w:p w14:paraId="41190420" w14:textId="72EE06DA" w:rsidR="00965274" w:rsidRPr="00F9381A" w:rsidRDefault="00F9381A" w:rsidP="00F9381A">
      <w:pPr>
        <w:spacing w:before="8" w:after="0" w:line="240" w:lineRule="auto"/>
        <w:jc w:val="center"/>
        <w:rPr>
          <w:rFonts w:ascii="Times New Roman" w:eastAsia="Arial" w:hAnsi="Times New Roman" w:cs="Times New Roman"/>
          <w:b/>
          <w:bCs/>
          <w:color w:val="0070C0"/>
          <w:spacing w:val="4"/>
          <w:w w:val="101"/>
          <w:sz w:val="40"/>
          <w:szCs w:val="40"/>
        </w:rPr>
      </w:pPr>
      <w:r>
        <w:rPr>
          <w:rFonts w:ascii="Times New Roman" w:eastAsia="Arial" w:hAnsi="Times New Roman" w:cs="Times New Roman"/>
          <w:b/>
          <w:bCs/>
          <w:color w:val="0070C0"/>
          <w:spacing w:val="4"/>
          <w:w w:val="101"/>
          <w:sz w:val="40"/>
          <w:szCs w:val="40"/>
        </w:rPr>
        <w:t xml:space="preserve">Từ </w:t>
      </w:r>
      <w:r w:rsidR="00965274" w:rsidRPr="00F9381A">
        <w:rPr>
          <w:rFonts w:ascii="Times New Roman" w:eastAsia="Arial" w:hAnsi="Times New Roman" w:cs="Times New Roman"/>
          <w:b/>
          <w:bCs/>
          <w:color w:val="0070C0"/>
          <w:spacing w:val="4"/>
          <w:w w:val="101"/>
          <w:sz w:val="40"/>
          <w:szCs w:val="40"/>
        </w:rPr>
        <w:t>ngày 23 – 27 tháng 2 năm 2026</w:t>
      </w:r>
    </w:p>
    <w:p w14:paraId="6C2BC725" w14:textId="77777777" w:rsidR="00965274" w:rsidRDefault="00965274" w:rsidP="00965274">
      <w:pPr>
        <w:spacing w:before="8" w:after="0" w:line="260" w:lineRule="exact"/>
        <w:jc w:val="center"/>
        <w:rPr>
          <w:rFonts w:ascii="Times New Roman" w:eastAsia="Arial" w:hAnsi="Times New Roman" w:cs="Times New Roman"/>
          <w:color w:val="22AD9F"/>
          <w:spacing w:val="4"/>
          <w:w w:val="101"/>
          <w:sz w:val="26"/>
          <w:szCs w:val="26"/>
        </w:rPr>
      </w:pPr>
    </w:p>
    <w:p w14:paraId="1D47AB34" w14:textId="442025EC" w:rsidR="00C13E10" w:rsidRDefault="00F9381A" w:rsidP="00F9381A">
      <w:pPr>
        <w:spacing w:before="120" w:after="120"/>
        <w:jc w:val="both"/>
        <w:rPr>
          <w:rFonts w:ascii="Times New Roman" w:eastAsia="Arial" w:hAnsi="Times New Roman" w:cs="Times New Roman"/>
          <w:w w:val="90"/>
          <w:sz w:val="26"/>
          <w:szCs w:val="26"/>
        </w:rPr>
      </w:pPr>
      <w:r>
        <w:rPr>
          <w:rFonts w:ascii="Times New Roman" w:eastAsia="Arial" w:hAnsi="Times New Roman" w:cs="Times New Roman"/>
          <w:w w:val="90"/>
          <w:sz w:val="26"/>
          <w:szCs w:val="26"/>
        </w:rPr>
        <w:t xml:space="preserve">Tiểu ban về con người, huấn luyện và trực ca đã tổ chức kỳ họp </w:t>
      </w:r>
      <w:r w:rsidR="00C66C32" w:rsidRPr="00C66C32">
        <w:rPr>
          <w:rFonts w:ascii="Times New Roman" w:eastAsia="Arial" w:hAnsi="Times New Roman" w:cs="Times New Roman"/>
          <w:w w:val="90"/>
          <w:sz w:val="26"/>
          <w:szCs w:val="26"/>
        </w:rPr>
        <w:t xml:space="preserve">HTW 12 diễn ra từ ngày 23–27/2/2026 tại IMO ở London. Báo cáo này tóm tắt các kết quả chính của </w:t>
      </w:r>
      <w:r w:rsidR="00C66C32">
        <w:rPr>
          <w:rFonts w:ascii="Times New Roman" w:eastAsia="Arial" w:hAnsi="Times New Roman" w:cs="Times New Roman"/>
          <w:w w:val="90"/>
          <w:sz w:val="26"/>
          <w:szCs w:val="26"/>
        </w:rPr>
        <w:t>kỳ</w:t>
      </w:r>
      <w:r w:rsidR="00C66C32" w:rsidRPr="00C66C32">
        <w:rPr>
          <w:rFonts w:ascii="Times New Roman" w:eastAsia="Arial" w:hAnsi="Times New Roman" w:cs="Times New Roman"/>
          <w:w w:val="90"/>
          <w:sz w:val="26"/>
          <w:szCs w:val="26"/>
        </w:rPr>
        <w:t xml:space="preserve"> họp</w:t>
      </w:r>
    </w:p>
    <w:p w14:paraId="62518D58" w14:textId="761C925E" w:rsidR="00C66C32" w:rsidRPr="00C66C32" w:rsidRDefault="00C66C32" w:rsidP="00C66C32">
      <w:pPr>
        <w:jc w:val="both"/>
        <w:rPr>
          <w:rFonts w:ascii="Times New Roman" w:eastAsia="Arial" w:hAnsi="Times New Roman" w:cs="Times New Roman"/>
          <w:b/>
          <w:bCs/>
          <w:spacing w:val="-3"/>
          <w:sz w:val="26"/>
          <w:szCs w:val="26"/>
        </w:rPr>
      </w:pPr>
      <w:r w:rsidRPr="00C66C32">
        <w:rPr>
          <w:rFonts w:ascii="Times New Roman" w:eastAsia="Arial" w:hAnsi="Times New Roman" w:cs="Times New Roman"/>
          <w:b/>
          <w:bCs/>
          <w:spacing w:val="-3"/>
          <w:sz w:val="26"/>
          <w:szCs w:val="26"/>
        </w:rPr>
        <w:t xml:space="preserve">Tiêu chuẩn huấn luyện cho thuyền viên </w:t>
      </w:r>
      <w:r>
        <w:rPr>
          <w:rFonts w:ascii="Times New Roman" w:eastAsia="Arial" w:hAnsi="Times New Roman" w:cs="Times New Roman"/>
          <w:b/>
          <w:bCs/>
          <w:spacing w:val="-3"/>
          <w:sz w:val="26"/>
          <w:szCs w:val="26"/>
        </w:rPr>
        <w:t xml:space="preserve">về </w:t>
      </w:r>
      <w:r w:rsidRPr="00C66C32">
        <w:rPr>
          <w:rFonts w:ascii="Times New Roman" w:eastAsia="Arial" w:hAnsi="Times New Roman" w:cs="Times New Roman"/>
          <w:b/>
          <w:bCs/>
          <w:spacing w:val="-3"/>
          <w:sz w:val="26"/>
          <w:szCs w:val="26"/>
        </w:rPr>
        <w:t>sử dụng nhiên liệu thay thế và công nghệ mới</w:t>
      </w:r>
    </w:p>
    <w:p w14:paraId="6DA853D0" w14:textId="77777777" w:rsidR="00C66C32" w:rsidRPr="00C66C32" w:rsidRDefault="00C66C32" w:rsidP="00D37548">
      <w:pPr>
        <w:spacing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Tiểu ban HTW được giao nhiệm vụ xây dựng hướng dẫn huấn luyện cho thuyền viên làm việc trên các tàu sử dụng nhiên liệu thay thế và công nghệ mới, nhằm đáp ứng việc ban hành các hướng dẫn tạm thời đối với nhiều loại nhiên liệu đã được phát triển trước đó.</w:t>
      </w:r>
    </w:p>
    <w:p w14:paraId="4CFA0E4F" w14:textId="6D4C9642" w:rsid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Các tiểu ban khác cũng đang đồng thời xây dựng kế hoạch phát triển tiêu chuẩn kỹ thuật cho các loại nhiên liệu và công nghệ mới — và HTW sẽ điều chỉnh nội dung huấn luyện tương ứng với các c</w:t>
      </w:r>
      <w:r>
        <w:rPr>
          <w:rFonts w:ascii="Times New Roman" w:eastAsia="Arial" w:hAnsi="Times New Roman" w:cs="Times New Roman"/>
          <w:spacing w:val="-3"/>
          <w:sz w:val="26"/>
          <w:szCs w:val="26"/>
        </w:rPr>
        <w:t xml:space="preserve">ông việc này. </w:t>
      </w:r>
      <w:r w:rsidRPr="00C66C32">
        <w:rPr>
          <w:rFonts w:ascii="Times New Roman" w:eastAsia="Arial" w:hAnsi="Times New Roman" w:cs="Times New Roman"/>
          <w:spacing w:val="-3"/>
          <w:sz w:val="26"/>
          <w:szCs w:val="26"/>
        </w:rPr>
        <w:t>Việc xây dựng hướng dẫn huấn luyện cho thuyền viên tiếp tục được triển khai tại kỳ họp này.</w:t>
      </w:r>
    </w:p>
    <w:p w14:paraId="5891D69A" w14:textId="77777777" w:rsidR="00C66C32" w:rsidRPr="00C66C32" w:rsidRDefault="00C66C32" w:rsidP="00D37548">
      <w:pPr>
        <w:spacing w:before="120" w:after="120"/>
        <w:jc w:val="both"/>
        <w:rPr>
          <w:rFonts w:ascii="Times New Roman" w:eastAsia="Arial" w:hAnsi="Times New Roman" w:cs="Times New Roman"/>
          <w:b/>
          <w:bCs/>
          <w:spacing w:val="-3"/>
          <w:sz w:val="26"/>
          <w:szCs w:val="26"/>
        </w:rPr>
      </w:pPr>
      <w:r w:rsidRPr="00C66C32">
        <w:rPr>
          <w:rFonts w:ascii="Times New Roman" w:eastAsia="Arial" w:hAnsi="Times New Roman" w:cs="Times New Roman"/>
          <w:b/>
          <w:bCs/>
          <w:spacing w:val="-3"/>
          <w:sz w:val="26"/>
          <w:szCs w:val="26"/>
        </w:rPr>
        <w:t>Dự thảo hướng dẫn tạm thời về huấn luyện thuyền viên sử dụng nhiên liệu methanol/ethanol</w:t>
      </w:r>
    </w:p>
    <w:p w14:paraId="6DE2AB08" w14:textId="77777777"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Dự thảo hướng dẫn tạm thời về huấn luyện thuyền viên làm việc trên tàu sử dụng methanol/ethanol làm nhiên liệu đã được hoàn thiện và sẽ được trình xem xét phê duyệt tại MSC 111 vào tháng 5/2026.</w:t>
      </w:r>
    </w:p>
    <w:p w14:paraId="2BC850FC" w14:textId="77777777"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Các hướng dẫn này về cơ bản dựa trên tiêu chuẩn huấn luyện đối với tàu sử dụng LNG làm nhiên liệu, lấy tài liệu STCW.7/Circular.25 – Hướng dẫn tạm thời chung về huấn luyện cho thuyền viên trên tàu sử dụng nhiên liệu thay thế và công nghệ mới làm cơ sở.</w:t>
      </w:r>
    </w:p>
    <w:p w14:paraId="3ED7AFC9" w14:textId="77777777" w:rsid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Mục tiêu của hướng dẫn là cung cấp tiêu chuẩn huấn luyện cho thuyền viên làm việc trên các tàu tuân thủ MSC.1/Circ.1621 – Hướng dẫn tạm thời về an toàn cho tàu sử dụng methanol/ethanol làm nhiên liệu.</w:t>
      </w:r>
    </w:p>
    <w:p w14:paraId="6240EFAA" w14:textId="77777777" w:rsidR="00C66C32" w:rsidRPr="00C66C32" w:rsidRDefault="00C66C32" w:rsidP="00D37548">
      <w:pPr>
        <w:spacing w:before="120" w:after="120"/>
        <w:jc w:val="both"/>
        <w:rPr>
          <w:rFonts w:ascii="Times New Roman" w:eastAsia="Arial" w:hAnsi="Times New Roman" w:cs="Times New Roman"/>
          <w:b/>
          <w:bCs/>
          <w:spacing w:val="-3"/>
          <w:sz w:val="26"/>
          <w:szCs w:val="26"/>
        </w:rPr>
      </w:pPr>
      <w:r w:rsidRPr="00C66C32">
        <w:rPr>
          <w:rFonts w:ascii="Times New Roman" w:eastAsia="Arial" w:hAnsi="Times New Roman" w:cs="Times New Roman"/>
          <w:b/>
          <w:bCs/>
          <w:spacing w:val="-3"/>
          <w:sz w:val="26"/>
          <w:szCs w:val="26"/>
        </w:rPr>
        <w:t>Dự thảo hướng dẫn tạm thời về huấn luyện thuyền viên sử dụng nhiên liệu amoniac</w:t>
      </w:r>
    </w:p>
    <w:p w14:paraId="70372F70" w14:textId="77777777"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Dự thảo hướng dẫn tạm thời về huấn luyện thuyền viên sử dụng amoniac làm nhiên liệu cũng đã được hoàn thiện và sẽ được gửi lên MSC 111 để phê duyệt.</w:t>
      </w:r>
    </w:p>
    <w:p w14:paraId="1023BDFF" w14:textId="77777777"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Tương tự như hướng dẫn đối với methanol/ethanol, tài liệu này cũng dựa trên tiêu chuẩn huấn luyện cho tàu sử dụng LNG làm nhiên liệu, lấy STCW.7/Circular.25 làm tài liệu nền tảng.</w:t>
      </w:r>
    </w:p>
    <w:p w14:paraId="463C9F1A" w14:textId="77777777" w:rsid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Mục tiêu là thiết lập tiêu chuẩn huấn luyện cho thuyền viên làm việc trên các tàu tuân thủ MSC.1/Circ.1687 – Hướng dẫn tạm thời về an toàn cho tàu sử dụng amoniac làm nhiên liệu.</w:t>
      </w:r>
    </w:p>
    <w:p w14:paraId="5DC3169C" w14:textId="77777777" w:rsidR="00C66C32" w:rsidRPr="00C66C32" w:rsidRDefault="00C66C32" w:rsidP="00D37548">
      <w:pPr>
        <w:spacing w:before="120" w:after="120"/>
        <w:jc w:val="both"/>
        <w:rPr>
          <w:rFonts w:ascii="Times New Roman" w:eastAsia="Arial" w:hAnsi="Times New Roman" w:cs="Times New Roman"/>
          <w:b/>
          <w:bCs/>
          <w:spacing w:val="-3"/>
          <w:sz w:val="26"/>
          <w:szCs w:val="26"/>
        </w:rPr>
      </w:pPr>
      <w:r w:rsidRPr="00C66C32">
        <w:rPr>
          <w:rFonts w:ascii="Times New Roman" w:eastAsia="Arial" w:hAnsi="Times New Roman" w:cs="Times New Roman"/>
          <w:b/>
          <w:bCs/>
          <w:spacing w:val="-3"/>
          <w:sz w:val="26"/>
          <w:szCs w:val="26"/>
        </w:rPr>
        <w:t>Vấn đề “một tàu – một bộ luật”</w:t>
      </w:r>
    </w:p>
    <w:p w14:paraId="66BB5CCE" w14:textId="33D397F8"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 xml:space="preserve">Liên quan đến quyết định về chính sách “một tàu – một bộ luật” áp dụng cho các tàu thuộc phạm vi điều chỉnh của Bộ luật IGF và IGC (xem báo cáo tóm tắt MSC 110 của Lloyd’s Register), HTW đã đề nghị MSC xem xét cách áp dụng tiêu chuẩn huấn luyện cho thuyền viên trên các </w:t>
      </w:r>
      <w:r w:rsidRPr="00C66C32">
        <w:rPr>
          <w:rFonts w:ascii="Times New Roman" w:eastAsia="Arial" w:hAnsi="Times New Roman" w:cs="Times New Roman"/>
          <w:spacing w:val="-3"/>
          <w:sz w:val="26"/>
          <w:szCs w:val="26"/>
        </w:rPr>
        <w:lastRenderedPageBreak/>
        <w:t>tàu sử dụng nhiên liệu thuộc phạm vi các hướng dẫn tạm thời nêu trên.</w:t>
      </w:r>
      <w:r>
        <w:rPr>
          <w:rFonts w:ascii="Times New Roman" w:eastAsia="Arial" w:hAnsi="Times New Roman" w:cs="Times New Roman"/>
          <w:spacing w:val="-3"/>
          <w:sz w:val="26"/>
          <w:szCs w:val="26"/>
        </w:rPr>
        <w:t xml:space="preserve"> </w:t>
      </w:r>
      <w:r w:rsidRPr="00C66C32">
        <w:rPr>
          <w:rFonts w:ascii="Times New Roman" w:eastAsia="Arial" w:hAnsi="Times New Roman" w:cs="Times New Roman"/>
          <w:spacing w:val="-3"/>
          <w:sz w:val="26"/>
          <w:szCs w:val="26"/>
        </w:rPr>
        <w:t>Vấn đề này đặc biệt quan trọng đối với tiêu chuẩn huấn luyện cho thuyền viên làm việc trên tàu chở khí khi sử dụng hàng amoniac làm nhiên liệu.</w:t>
      </w:r>
      <w:r>
        <w:rPr>
          <w:rFonts w:ascii="Times New Roman" w:eastAsia="Arial" w:hAnsi="Times New Roman" w:cs="Times New Roman"/>
          <w:spacing w:val="-3"/>
          <w:sz w:val="26"/>
          <w:szCs w:val="26"/>
        </w:rPr>
        <w:t xml:space="preserve"> </w:t>
      </w:r>
      <w:r w:rsidRPr="00C66C32">
        <w:rPr>
          <w:rFonts w:ascii="Times New Roman" w:eastAsia="Arial" w:hAnsi="Times New Roman" w:cs="Times New Roman"/>
          <w:spacing w:val="-3"/>
          <w:sz w:val="26"/>
          <w:szCs w:val="26"/>
        </w:rPr>
        <w:t>Các tiêu chuẩn kỹ thuật cho các tàu này – bao gồm Hướng dẫn tạm thời về sử dụng amoniac khan làm nhiên liệu – cũng sẽ được xem xét phê duyệt tại MSC 111.</w:t>
      </w:r>
    </w:p>
    <w:p w14:paraId="3CE44365" w14:textId="40744EC6" w:rsidR="00C66C32" w:rsidRDefault="00C66C32" w:rsidP="00D37548">
      <w:pPr>
        <w:spacing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Hiện tại, vẫn chưa rõ liệu các hướng dẫn huấn luyện nói trên có được áp dụng cho thuyền viên làm việc trên các tàu này hay không</w:t>
      </w:r>
      <w:r>
        <w:rPr>
          <w:rFonts w:ascii="Times New Roman" w:eastAsia="Arial" w:hAnsi="Times New Roman" w:cs="Times New Roman"/>
          <w:spacing w:val="-3"/>
          <w:sz w:val="26"/>
          <w:szCs w:val="26"/>
        </w:rPr>
        <w:t>.</w:t>
      </w:r>
    </w:p>
    <w:p w14:paraId="6A7F8628" w14:textId="77777777" w:rsidR="00C66C32" w:rsidRPr="00C66C32" w:rsidRDefault="00C66C32" w:rsidP="00D37548">
      <w:pPr>
        <w:spacing w:before="120" w:after="120"/>
        <w:jc w:val="both"/>
        <w:rPr>
          <w:rFonts w:ascii="Times New Roman" w:eastAsia="Arial" w:hAnsi="Times New Roman" w:cs="Times New Roman"/>
          <w:b/>
          <w:bCs/>
          <w:spacing w:val="-3"/>
          <w:sz w:val="26"/>
          <w:szCs w:val="26"/>
        </w:rPr>
      </w:pPr>
      <w:r w:rsidRPr="00C66C32">
        <w:rPr>
          <w:rFonts w:ascii="Times New Roman" w:eastAsia="Arial" w:hAnsi="Times New Roman" w:cs="Times New Roman"/>
          <w:b/>
          <w:bCs/>
          <w:spacing w:val="-3"/>
          <w:sz w:val="26"/>
          <w:szCs w:val="26"/>
        </w:rPr>
        <w:t>Phát triển huấn luyện cho thuyền viên sử dụng các công nghệ và nhiên liệu khác</w:t>
      </w:r>
    </w:p>
    <w:p w14:paraId="394A9BA7" w14:textId="77777777"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Một kế hoạch công tác đến năm 2029 đã được thống nhất nhằm xây dựng yêu cầu huấn luyện cho thuyền viên sử dụng các loại nhiên liệu/công nghệ sau, theo thứ tự ưu tiên:</w:t>
      </w:r>
    </w:p>
    <w:p w14:paraId="7E421774" w14:textId="77777777" w:rsidR="00C66C32" w:rsidRPr="00C66C32" w:rsidRDefault="00C66C32" w:rsidP="00D37548">
      <w:pPr>
        <w:numPr>
          <w:ilvl w:val="0"/>
          <w:numId w:val="3"/>
        </w:num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Pin nhiên liệu hydro</w:t>
      </w:r>
    </w:p>
    <w:p w14:paraId="488AA969" w14:textId="77777777" w:rsidR="00C66C32" w:rsidRPr="00C66C32" w:rsidRDefault="00C66C32" w:rsidP="00D37548">
      <w:pPr>
        <w:numPr>
          <w:ilvl w:val="0"/>
          <w:numId w:val="3"/>
        </w:num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LPG</w:t>
      </w:r>
    </w:p>
    <w:p w14:paraId="0A920D1F" w14:textId="77777777" w:rsidR="00C66C32" w:rsidRPr="00C66C32" w:rsidRDefault="00C66C32" w:rsidP="00D37548">
      <w:pPr>
        <w:numPr>
          <w:ilvl w:val="0"/>
          <w:numId w:val="3"/>
        </w:num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Hydro</w:t>
      </w:r>
    </w:p>
    <w:p w14:paraId="200E07ED" w14:textId="77777777" w:rsidR="00C66C32" w:rsidRPr="00C66C32" w:rsidRDefault="00C66C32" w:rsidP="00D37548">
      <w:pPr>
        <w:numPr>
          <w:ilvl w:val="0"/>
          <w:numId w:val="3"/>
        </w:num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Năng lượng pin</w:t>
      </w:r>
    </w:p>
    <w:p w14:paraId="5552C246" w14:textId="77777777" w:rsidR="00C66C32" w:rsidRPr="00C66C32" w:rsidRDefault="00C66C32" w:rsidP="00D37548">
      <w:pPr>
        <w:numPr>
          <w:ilvl w:val="0"/>
          <w:numId w:val="3"/>
        </w:num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Hệ thống đẩy bằng gió và công nghệ hỗ trợ bằng gió</w:t>
      </w:r>
    </w:p>
    <w:p w14:paraId="62F3D397" w14:textId="79D433A9" w:rsidR="00C66C32" w:rsidRP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Kế hoạch này là tài liệu “mở”, sẽ được rà soát và điều chỉnh tại các kỳ họp tiếp theo</w:t>
      </w:r>
      <w:r w:rsidRPr="00C66C32">
        <w:rPr>
          <w:rFonts w:ascii="Times New Roman" w:eastAsia="Arial" w:hAnsi="Times New Roman" w:cs="Times New Roman"/>
          <w:spacing w:val="-3"/>
          <w:sz w:val="26"/>
          <w:szCs w:val="26"/>
        </w:rPr>
        <w:t xml:space="preserve"> </w:t>
      </w:r>
      <w:r>
        <w:rPr>
          <w:rFonts w:ascii="Times New Roman" w:eastAsia="Arial" w:hAnsi="Times New Roman" w:cs="Times New Roman"/>
          <w:spacing w:val="-3"/>
          <w:sz w:val="26"/>
          <w:szCs w:val="26"/>
        </w:rPr>
        <w:t xml:space="preserve">của </w:t>
      </w:r>
      <w:r w:rsidRPr="00C66C32">
        <w:rPr>
          <w:rFonts w:ascii="Times New Roman" w:eastAsia="Arial" w:hAnsi="Times New Roman" w:cs="Times New Roman"/>
          <w:spacing w:val="-3"/>
          <w:sz w:val="26"/>
          <w:szCs w:val="26"/>
        </w:rPr>
        <w:t xml:space="preserve">HTW, tùy thuộc vào tiến độ thực hiện và các ưu tiên mới phát sinh. Đồng thời cũng lưu ý rằng việc xây dựng yêu cầu huấn luyện phải theo sau việc ban hành các yêu cầu </w:t>
      </w:r>
      <w:r>
        <w:rPr>
          <w:rFonts w:ascii="Times New Roman" w:eastAsia="Arial" w:hAnsi="Times New Roman" w:cs="Times New Roman"/>
          <w:spacing w:val="-3"/>
          <w:sz w:val="26"/>
          <w:szCs w:val="26"/>
        </w:rPr>
        <w:t xml:space="preserve">về </w:t>
      </w:r>
      <w:r w:rsidRPr="00C66C32">
        <w:rPr>
          <w:rFonts w:ascii="Times New Roman" w:eastAsia="Arial" w:hAnsi="Times New Roman" w:cs="Times New Roman"/>
          <w:spacing w:val="-3"/>
          <w:sz w:val="26"/>
          <w:szCs w:val="26"/>
        </w:rPr>
        <w:t>an toàn đối với nhiên liệu hoặc công nghệ do các tiểu ban khác của IMO phát triển.</w:t>
      </w:r>
    </w:p>
    <w:p w14:paraId="3F0931BB" w14:textId="77777777" w:rsidR="00C66C32" w:rsidRDefault="00C66C32" w:rsidP="00D37548">
      <w:pPr>
        <w:spacing w:before="120" w:after="120"/>
        <w:jc w:val="both"/>
        <w:rPr>
          <w:rFonts w:ascii="Times New Roman" w:eastAsia="Arial" w:hAnsi="Times New Roman" w:cs="Times New Roman"/>
          <w:spacing w:val="-3"/>
          <w:sz w:val="26"/>
          <w:szCs w:val="26"/>
        </w:rPr>
      </w:pPr>
      <w:r w:rsidRPr="00C66C32">
        <w:rPr>
          <w:rFonts w:ascii="Times New Roman" w:eastAsia="Arial" w:hAnsi="Times New Roman" w:cs="Times New Roman"/>
          <w:spacing w:val="-3"/>
          <w:sz w:val="26"/>
          <w:szCs w:val="26"/>
        </w:rPr>
        <w:t>Khi các yêu cầu an toàn mới được hoàn tất, các yêu cầu huấn luyện tương ứng cho thuyền viên sẽ được bổ sung vào kế hoạch công tác, và nhiều khả năng lộ trình này sẽ kéo dài sau năm 2029 khi tiếp tục được cập nhật.</w:t>
      </w:r>
    </w:p>
    <w:p w14:paraId="71F139E5" w14:textId="77777777" w:rsidR="00D37548" w:rsidRPr="00D37548" w:rsidRDefault="00D37548" w:rsidP="00D37548">
      <w:pPr>
        <w:spacing w:after="120"/>
        <w:jc w:val="both"/>
        <w:rPr>
          <w:rFonts w:ascii="Times New Roman" w:eastAsia="Arial" w:hAnsi="Times New Roman" w:cs="Times New Roman"/>
          <w:b/>
          <w:bCs/>
          <w:spacing w:val="-3"/>
          <w:sz w:val="26"/>
          <w:szCs w:val="26"/>
        </w:rPr>
      </w:pPr>
      <w:r w:rsidRPr="00D37548">
        <w:rPr>
          <w:rFonts w:ascii="Times New Roman" w:eastAsia="Arial" w:hAnsi="Times New Roman" w:cs="Times New Roman"/>
          <w:b/>
          <w:bCs/>
          <w:spacing w:val="-3"/>
          <w:sz w:val="26"/>
          <w:szCs w:val="26"/>
        </w:rPr>
        <w:t>Xây dựng sửa đổi đối với Công ước và Bộ luật STCW</w:t>
      </w:r>
    </w:p>
    <w:p w14:paraId="4E4709EA" w14:textId="77704480" w:rsidR="00D37548" w:rsidRPr="00D37548" w:rsidRDefault="00D37548" w:rsidP="00D37548">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Kế hoạch công tác nêu trên cũng tính đến các sửa đổi cần thiết </w:t>
      </w:r>
      <w:r>
        <w:rPr>
          <w:rFonts w:ascii="Times New Roman" w:eastAsia="Arial" w:hAnsi="Times New Roman" w:cs="Times New Roman"/>
          <w:spacing w:val="-3"/>
          <w:sz w:val="26"/>
          <w:szCs w:val="26"/>
        </w:rPr>
        <w:t xml:space="preserve">gồm </w:t>
      </w:r>
      <w:r w:rsidRPr="00D37548">
        <w:rPr>
          <w:rFonts w:ascii="Times New Roman" w:eastAsia="Arial" w:hAnsi="Times New Roman" w:cs="Times New Roman"/>
          <w:spacing w:val="-3"/>
          <w:sz w:val="26"/>
          <w:szCs w:val="26"/>
        </w:rPr>
        <w:t>rà soát toàn diện Công ước và Bộ luật STCW.</w:t>
      </w:r>
    </w:p>
    <w:p w14:paraId="16543C70" w14:textId="0F155FAF" w:rsidR="00D37548" w:rsidRPr="00D37548" w:rsidRDefault="00D37548" w:rsidP="00D37548">
      <w:pPr>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Các quy định hiện hành của STCW được xây dựng trên giả định (đúng vào thời điểm đó) rằng phần lớn tàu biển sử dụng nhiên liệu diesel (HFO/VLSFO/MGO) làm nguồn năng lượng chính. Tuy nhiên, khi các loại nhiên liệu và công nghệ mới ngày càng phổ biến, giả định này không còn hoàn toàn phù hợp, và do đó có khả năng cần sửa đổi nội dung </w:t>
      </w:r>
      <w:r>
        <w:rPr>
          <w:rFonts w:ascii="Times New Roman" w:eastAsia="Arial" w:hAnsi="Times New Roman" w:cs="Times New Roman"/>
          <w:spacing w:val="-3"/>
          <w:sz w:val="26"/>
          <w:szCs w:val="26"/>
        </w:rPr>
        <w:t xml:space="preserve">của </w:t>
      </w:r>
      <w:r w:rsidRPr="00D37548">
        <w:rPr>
          <w:rFonts w:ascii="Times New Roman" w:eastAsia="Arial" w:hAnsi="Times New Roman" w:cs="Times New Roman"/>
          <w:spacing w:val="-3"/>
          <w:sz w:val="26"/>
          <w:szCs w:val="26"/>
        </w:rPr>
        <w:t>Công ước và Bộ luật.</w:t>
      </w:r>
    </w:p>
    <w:p w14:paraId="389F53C7" w14:textId="77777777" w:rsidR="00D37548" w:rsidRPr="00D37548" w:rsidRDefault="00D37548" w:rsidP="00D37548">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Theo kế hoạch, các sửa đổi đối với năng lực chung và các KUP (kiến thức, hiểu biết và kỹ năng thành thạo) trong:</w:t>
      </w:r>
    </w:p>
    <w:p w14:paraId="535DD0E2" w14:textId="2D229FBB" w:rsidR="00D37548" w:rsidRPr="00D37548" w:rsidRDefault="00D37548" w:rsidP="00D37548">
      <w:pPr>
        <w:numPr>
          <w:ilvl w:val="0"/>
          <w:numId w:val="4"/>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Chương II (</w:t>
      </w:r>
      <w:r>
        <w:rPr>
          <w:rFonts w:ascii="Times New Roman" w:eastAsia="Arial" w:hAnsi="Times New Roman" w:cs="Times New Roman"/>
          <w:spacing w:val="-3"/>
          <w:sz w:val="26"/>
          <w:szCs w:val="26"/>
        </w:rPr>
        <w:t xml:space="preserve">Bộ phận </w:t>
      </w:r>
      <w:r w:rsidRPr="00D37548">
        <w:rPr>
          <w:rFonts w:ascii="Times New Roman" w:eastAsia="Arial" w:hAnsi="Times New Roman" w:cs="Times New Roman"/>
          <w:spacing w:val="-3"/>
          <w:sz w:val="26"/>
          <w:szCs w:val="26"/>
        </w:rPr>
        <w:t>boong),</w:t>
      </w:r>
    </w:p>
    <w:p w14:paraId="512354E7" w14:textId="0C83AE0C" w:rsidR="00D37548" w:rsidRPr="00D37548" w:rsidRDefault="00D37548" w:rsidP="00D37548">
      <w:pPr>
        <w:numPr>
          <w:ilvl w:val="0"/>
          <w:numId w:val="4"/>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Chương III (</w:t>
      </w:r>
      <w:r>
        <w:rPr>
          <w:rFonts w:ascii="Times New Roman" w:eastAsia="Arial" w:hAnsi="Times New Roman" w:cs="Times New Roman"/>
          <w:spacing w:val="-3"/>
          <w:sz w:val="26"/>
          <w:szCs w:val="26"/>
        </w:rPr>
        <w:t xml:space="preserve">Bộ phận </w:t>
      </w:r>
      <w:r w:rsidRPr="00D37548">
        <w:rPr>
          <w:rFonts w:ascii="Times New Roman" w:eastAsia="Arial" w:hAnsi="Times New Roman" w:cs="Times New Roman"/>
          <w:spacing w:val="-3"/>
          <w:sz w:val="26"/>
          <w:szCs w:val="26"/>
        </w:rPr>
        <w:t>máy),</w:t>
      </w:r>
    </w:p>
    <w:p w14:paraId="537D03D9" w14:textId="77777777" w:rsidR="00D37548" w:rsidRPr="00D37548" w:rsidRDefault="00D37548" w:rsidP="00D37548">
      <w:pPr>
        <w:numPr>
          <w:ilvl w:val="0"/>
          <w:numId w:val="4"/>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Chương V (yêu cầu huấn luyện đặc biệt cho nhân sự trên một số loại tàu),</w:t>
      </w:r>
    </w:p>
    <w:p w14:paraId="7E09852E" w14:textId="77777777" w:rsidR="00D37548" w:rsidRDefault="00D37548" w:rsidP="00D37548">
      <w:pPr>
        <w:spacing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sẽ được hoàn tất vào năm 2028 và sau đó được xem xét trong khuôn khổ rà soát toàn diện STCW.</w:t>
      </w:r>
    </w:p>
    <w:p w14:paraId="4851A4B6" w14:textId="77777777" w:rsidR="00D37548" w:rsidRPr="00D37548" w:rsidRDefault="00D37548" w:rsidP="00D37548">
      <w:pPr>
        <w:spacing w:before="120" w:after="120"/>
        <w:jc w:val="both"/>
        <w:rPr>
          <w:rFonts w:ascii="Times New Roman" w:eastAsia="Arial" w:hAnsi="Times New Roman" w:cs="Times New Roman"/>
          <w:b/>
          <w:bCs/>
          <w:spacing w:val="-3"/>
          <w:sz w:val="26"/>
          <w:szCs w:val="26"/>
        </w:rPr>
      </w:pPr>
      <w:r w:rsidRPr="00D37548">
        <w:rPr>
          <w:rFonts w:ascii="Times New Roman" w:eastAsia="Arial" w:hAnsi="Times New Roman" w:cs="Times New Roman"/>
          <w:b/>
          <w:bCs/>
          <w:spacing w:val="-3"/>
          <w:sz w:val="26"/>
          <w:szCs w:val="26"/>
        </w:rPr>
        <w:lastRenderedPageBreak/>
        <w:t>Rà soát toàn diện Công ước và Bộ luật STCW</w:t>
      </w:r>
    </w:p>
    <w:p w14:paraId="7F28A4AB" w14:textId="48987FA1" w:rsidR="00D37548" w:rsidRPr="00D37548" w:rsidRDefault="00D37548" w:rsidP="00D37548">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Trong giai đoạn đầu của quá trình rà soát toàn diện STCW, hơn 500 khoảng trống (gaps) đã được xác định </w:t>
      </w:r>
      <w:r>
        <w:rPr>
          <w:rFonts w:ascii="Times New Roman" w:eastAsia="Arial" w:hAnsi="Times New Roman" w:cs="Times New Roman"/>
          <w:spacing w:val="-3"/>
          <w:sz w:val="26"/>
          <w:szCs w:val="26"/>
        </w:rPr>
        <w:t xml:space="preserve">ra và </w:t>
      </w:r>
      <w:r w:rsidRPr="00D37548">
        <w:rPr>
          <w:rFonts w:ascii="Times New Roman" w:eastAsia="Arial" w:hAnsi="Times New Roman" w:cs="Times New Roman"/>
          <w:spacing w:val="-3"/>
          <w:sz w:val="26"/>
          <w:szCs w:val="26"/>
        </w:rPr>
        <w:t xml:space="preserve">cần </w:t>
      </w:r>
      <w:r>
        <w:rPr>
          <w:rFonts w:ascii="Times New Roman" w:eastAsia="Arial" w:hAnsi="Times New Roman" w:cs="Times New Roman"/>
          <w:spacing w:val="-3"/>
          <w:sz w:val="26"/>
          <w:szCs w:val="26"/>
        </w:rPr>
        <w:t xml:space="preserve">được </w:t>
      </w:r>
      <w:r w:rsidRPr="00D37548">
        <w:rPr>
          <w:rFonts w:ascii="Times New Roman" w:eastAsia="Arial" w:hAnsi="Times New Roman" w:cs="Times New Roman"/>
          <w:spacing w:val="-3"/>
          <w:sz w:val="26"/>
          <w:szCs w:val="26"/>
        </w:rPr>
        <w:t>xử lý. Trước kỳ họp HTW lần này, đã có một số lượng đáng kể đề xuất được gửi để xem xét.</w:t>
      </w:r>
    </w:p>
    <w:p w14:paraId="55422A0F" w14:textId="7591BDD8" w:rsidR="00D37548" w:rsidRPr="00D37548" w:rsidRDefault="00D37548" w:rsidP="00D37548">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Công việc rà soát đã được tiến hành và sẽ tiếp tục vào tuần tới tại Nhóm Công tác Liên kỳ. Trong kỳ họp này và trong tuần tiếp theo, dự kiến sẽ xây dựng các dự thảo sửa đổi cho Chương II (</w:t>
      </w:r>
      <w:r>
        <w:rPr>
          <w:rFonts w:ascii="Times New Roman" w:eastAsia="Arial" w:hAnsi="Times New Roman" w:cs="Times New Roman"/>
          <w:spacing w:val="-3"/>
          <w:sz w:val="26"/>
          <w:szCs w:val="26"/>
        </w:rPr>
        <w:t xml:space="preserve">Bộ phận </w:t>
      </w:r>
      <w:r w:rsidRPr="00D37548">
        <w:rPr>
          <w:rFonts w:ascii="Times New Roman" w:eastAsia="Arial" w:hAnsi="Times New Roman" w:cs="Times New Roman"/>
          <w:spacing w:val="-3"/>
          <w:sz w:val="26"/>
          <w:szCs w:val="26"/>
        </w:rPr>
        <w:t>boong) và Chương III (</w:t>
      </w:r>
      <w:r>
        <w:rPr>
          <w:rFonts w:ascii="Times New Roman" w:eastAsia="Arial" w:hAnsi="Times New Roman" w:cs="Times New Roman"/>
          <w:spacing w:val="-3"/>
          <w:sz w:val="26"/>
          <w:szCs w:val="26"/>
        </w:rPr>
        <w:t xml:space="preserve">Bộ phận </w:t>
      </w:r>
      <w:r w:rsidRPr="00D37548">
        <w:rPr>
          <w:rFonts w:ascii="Times New Roman" w:eastAsia="Arial" w:hAnsi="Times New Roman" w:cs="Times New Roman"/>
          <w:spacing w:val="-3"/>
          <w:sz w:val="26"/>
          <w:szCs w:val="26"/>
        </w:rPr>
        <w:t>máy) của Công ước và Bộ luật nhằm khắc phục các khoảng trống đã xác định</w:t>
      </w:r>
      <w:r>
        <w:rPr>
          <w:rFonts w:ascii="Times New Roman" w:eastAsia="Arial" w:hAnsi="Times New Roman" w:cs="Times New Roman"/>
          <w:spacing w:val="-3"/>
          <w:sz w:val="26"/>
          <w:szCs w:val="26"/>
        </w:rPr>
        <w:t xml:space="preserve"> ra</w:t>
      </w:r>
      <w:r w:rsidRPr="00D37548">
        <w:rPr>
          <w:rFonts w:ascii="Times New Roman" w:eastAsia="Arial" w:hAnsi="Times New Roman" w:cs="Times New Roman"/>
          <w:spacing w:val="-3"/>
          <w:sz w:val="26"/>
          <w:szCs w:val="26"/>
        </w:rPr>
        <w:t>.</w:t>
      </w:r>
    </w:p>
    <w:p w14:paraId="665457B1" w14:textId="69D8AAD4" w:rsidR="00D37548" w:rsidRDefault="00D37548" w:rsidP="00D37548">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Quá trình rà soát toàn diện dự kiến </w:t>
      </w:r>
      <w:r>
        <w:rPr>
          <w:rFonts w:ascii="Times New Roman" w:eastAsia="Arial" w:hAnsi="Times New Roman" w:cs="Times New Roman"/>
          <w:spacing w:val="-3"/>
          <w:sz w:val="26"/>
          <w:szCs w:val="26"/>
        </w:rPr>
        <w:t xml:space="preserve">hoàn tất </w:t>
      </w:r>
      <w:r w:rsidRPr="00D37548">
        <w:rPr>
          <w:rFonts w:ascii="Times New Roman" w:eastAsia="Arial" w:hAnsi="Times New Roman" w:cs="Times New Roman"/>
          <w:spacing w:val="-3"/>
          <w:sz w:val="26"/>
          <w:szCs w:val="26"/>
        </w:rPr>
        <w:t xml:space="preserve">vào năm 2029, với Công ước và Bộ luật sửa đổi </w:t>
      </w:r>
      <w:r>
        <w:rPr>
          <w:rFonts w:ascii="Times New Roman" w:eastAsia="Arial" w:hAnsi="Times New Roman" w:cs="Times New Roman"/>
          <w:spacing w:val="-3"/>
          <w:sz w:val="26"/>
          <w:szCs w:val="26"/>
        </w:rPr>
        <w:t xml:space="preserve">sẽ </w:t>
      </w:r>
      <w:r w:rsidRPr="00D37548">
        <w:rPr>
          <w:rFonts w:ascii="Times New Roman" w:eastAsia="Arial" w:hAnsi="Times New Roman" w:cs="Times New Roman"/>
          <w:spacing w:val="-3"/>
          <w:sz w:val="26"/>
          <w:szCs w:val="26"/>
        </w:rPr>
        <w:t>có hiệu lực vào khoảng năm 2032.</w:t>
      </w:r>
    </w:p>
    <w:p w14:paraId="34C0C547" w14:textId="7F9228E5" w:rsidR="00D37548" w:rsidRPr="00D37548" w:rsidRDefault="00D37548" w:rsidP="00D37548">
      <w:pPr>
        <w:jc w:val="both"/>
        <w:rPr>
          <w:rFonts w:ascii="Times New Roman" w:eastAsia="Arial" w:hAnsi="Times New Roman" w:cs="Times New Roman"/>
          <w:b/>
          <w:bCs/>
          <w:spacing w:val="-3"/>
          <w:sz w:val="26"/>
          <w:szCs w:val="26"/>
        </w:rPr>
      </w:pPr>
      <w:r w:rsidRPr="00D37548">
        <w:rPr>
          <w:rFonts w:ascii="Times New Roman" w:eastAsia="Arial" w:hAnsi="Times New Roman" w:cs="Times New Roman"/>
          <w:b/>
          <w:bCs/>
          <w:spacing w:val="-3"/>
          <w:sz w:val="26"/>
          <w:szCs w:val="26"/>
        </w:rPr>
        <w:t xml:space="preserve">Hiệu quả của các quy định về mệt mỏi và </w:t>
      </w:r>
      <w:r>
        <w:rPr>
          <w:rFonts w:ascii="Times New Roman" w:eastAsia="Arial" w:hAnsi="Times New Roman" w:cs="Times New Roman"/>
          <w:b/>
          <w:bCs/>
          <w:spacing w:val="-3"/>
          <w:sz w:val="26"/>
          <w:szCs w:val="26"/>
        </w:rPr>
        <w:t xml:space="preserve">số </w:t>
      </w:r>
      <w:r w:rsidRPr="00D37548">
        <w:rPr>
          <w:rFonts w:ascii="Times New Roman" w:eastAsia="Arial" w:hAnsi="Times New Roman" w:cs="Times New Roman"/>
          <w:b/>
          <w:bCs/>
          <w:spacing w:val="-3"/>
          <w:sz w:val="26"/>
          <w:szCs w:val="26"/>
        </w:rPr>
        <w:t>giờ làm việc, nghỉ ngơi của thuyền viên</w:t>
      </w:r>
    </w:p>
    <w:p w14:paraId="625D07A9" w14:textId="4A2E9C74" w:rsidR="00D37548" w:rsidRPr="00D37548" w:rsidRDefault="00D37548" w:rsidP="00F9381A">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Hoạt động rà soát phạm vi nhằm nâng cao hiệu quả </w:t>
      </w:r>
      <w:r>
        <w:rPr>
          <w:rFonts w:ascii="Times New Roman" w:eastAsia="Arial" w:hAnsi="Times New Roman" w:cs="Times New Roman"/>
          <w:spacing w:val="-3"/>
          <w:sz w:val="26"/>
          <w:szCs w:val="26"/>
        </w:rPr>
        <w:t xml:space="preserve">của </w:t>
      </w:r>
      <w:r w:rsidRPr="00D37548">
        <w:rPr>
          <w:rFonts w:ascii="Times New Roman" w:eastAsia="Arial" w:hAnsi="Times New Roman" w:cs="Times New Roman"/>
          <w:spacing w:val="-3"/>
          <w:sz w:val="26"/>
          <w:szCs w:val="26"/>
        </w:rPr>
        <w:t xml:space="preserve">các quy định về mệt mỏi và </w:t>
      </w:r>
      <w:r>
        <w:rPr>
          <w:rFonts w:ascii="Times New Roman" w:eastAsia="Arial" w:hAnsi="Times New Roman" w:cs="Times New Roman"/>
          <w:spacing w:val="-3"/>
          <w:sz w:val="26"/>
          <w:szCs w:val="26"/>
        </w:rPr>
        <w:t xml:space="preserve">số </w:t>
      </w:r>
      <w:r w:rsidRPr="00D37548">
        <w:rPr>
          <w:rFonts w:ascii="Times New Roman" w:eastAsia="Arial" w:hAnsi="Times New Roman" w:cs="Times New Roman"/>
          <w:spacing w:val="-3"/>
          <w:sz w:val="26"/>
          <w:szCs w:val="26"/>
        </w:rPr>
        <w:t>giờ làm việc, nghỉ ngơi của thuyền viên đã được khởi động. Công việc này được xem là cần thiết vì nhiều nghiên cứu thực nghiệm và kết luận điều tra tai nạn cho thấy tình trạng mệt mỏi trong ngành vận tải biển vẫn còn phổ biến.</w:t>
      </w:r>
    </w:p>
    <w:p w14:paraId="25FBDA8D" w14:textId="5070782D" w:rsidR="00D37548" w:rsidRPr="00D37548" w:rsidRDefault="00D37548" w:rsidP="00F9381A">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Điều này phản ánh những khó khăn trong việc thực thi và giám sát các quy định liên quan đến </w:t>
      </w:r>
      <w:r>
        <w:rPr>
          <w:rFonts w:ascii="Times New Roman" w:eastAsia="Arial" w:hAnsi="Times New Roman" w:cs="Times New Roman"/>
          <w:spacing w:val="-3"/>
          <w:sz w:val="26"/>
          <w:szCs w:val="26"/>
        </w:rPr>
        <w:t xml:space="preserve">số </w:t>
      </w:r>
      <w:r w:rsidRPr="00D37548">
        <w:rPr>
          <w:rFonts w:ascii="Times New Roman" w:eastAsia="Arial" w:hAnsi="Times New Roman" w:cs="Times New Roman"/>
          <w:spacing w:val="-3"/>
          <w:sz w:val="26"/>
          <w:szCs w:val="26"/>
        </w:rPr>
        <w:t>giờ làm việc, nghỉ ngơi và quản lý mệt mỏi của thuyền viên.</w:t>
      </w:r>
    </w:p>
    <w:p w14:paraId="49FC2C3D" w14:textId="77777777" w:rsidR="00D37548" w:rsidRPr="00D37548" w:rsidRDefault="00D37548" w:rsidP="00F9381A">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Ở giai đoạn đầu này, các tài liệu liên quan đã được tổng hợp theo bốn nhóm:</w:t>
      </w:r>
    </w:p>
    <w:p w14:paraId="6A39F1E8" w14:textId="035DCBC4" w:rsidR="00D37548" w:rsidRPr="00D37548" w:rsidRDefault="00D37548" w:rsidP="00F9381A">
      <w:pPr>
        <w:numPr>
          <w:ilvl w:val="0"/>
          <w:numId w:val="5"/>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Các tài liệu gửi lên IMO góp phần làm rõ các vấn đề và quan ngại về mệt mỏi và </w:t>
      </w:r>
      <w:r>
        <w:rPr>
          <w:rFonts w:ascii="Times New Roman" w:eastAsia="Arial" w:hAnsi="Times New Roman" w:cs="Times New Roman"/>
          <w:spacing w:val="-3"/>
          <w:sz w:val="26"/>
          <w:szCs w:val="26"/>
        </w:rPr>
        <w:t xml:space="preserve">số </w:t>
      </w:r>
      <w:r w:rsidRPr="00D37548">
        <w:rPr>
          <w:rFonts w:ascii="Times New Roman" w:eastAsia="Arial" w:hAnsi="Times New Roman" w:cs="Times New Roman"/>
          <w:spacing w:val="-3"/>
          <w:sz w:val="26"/>
          <w:szCs w:val="26"/>
        </w:rPr>
        <w:t>giờ làm việc, nghỉ ngơi của thuyền viên;</w:t>
      </w:r>
    </w:p>
    <w:p w14:paraId="4C0231A3" w14:textId="77777777" w:rsidR="00D37548" w:rsidRPr="00D37548" w:rsidRDefault="00D37548" w:rsidP="00F9381A">
      <w:pPr>
        <w:numPr>
          <w:ilvl w:val="0"/>
          <w:numId w:val="5"/>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Các công cụ pháp lý của IMO liên quan đến vấn đề này;</w:t>
      </w:r>
    </w:p>
    <w:p w14:paraId="0B372AB0" w14:textId="7E74C1AA" w:rsidR="00D37548" w:rsidRPr="00D37548" w:rsidRDefault="00D37548" w:rsidP="00F9381A">
      <w:pPr>
        <w:numPr>
          <w:ilvl w:val="0"/>
          <w:numId w:val="5"/>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Các công cụ của các cơ quan Liên Hợp Quốc khác, bao gồm nhưng không giới hạn ở ILO, có ảnh hưởng trực tiếp hoặc gián tiếp đến các quy định của IMO về mệt mỏi và </w:t>
      </w:r>
      <w:r>
        <w:rPr>
          <w:rFonts w:ascii="Times New Roman" w:eastAsia="Arial" w:hAnsi="Times New Roman" w:cs="Times New Roman"/>
          <w:spacing w:val="-3"/>
          <w:sz w:val="26"/>
          <w:szCs w:val="26"/>
        </w:rPr>
        <w:t xml:space="preserve">số </w:t>
      </w:r>
      <w:r w:rsidRPr="00D37548">
        <w:rPr>
          <w:rFonts w:ascii="Times New Roman" w:eastAsia="Arial" w:hAnsi="Times New Roman" w:cs="Times New Roman"/>
          <w:spacing w:val="-3"/>
          <w:sz w:val="26"/>
          <w:szCs w:val="26"/>
        </w:rPr>
        <w:t>giờ làm việc, nghỉ ngơi;</w:t>
      </w:r>
    </w:p>
    <w:p w14:paraId="5E6D47B3" w14:textId="77777777" w:rsidR="00D37548" w:rsidRPr="00D37548" w:rsidRDefault="00D37548" w:rsidP="00F9381A">
      <w:pPr>
        <w:numPr>
          <w:ilvl w:val="0"/>
          <w:numId w:val="5"/>
        </w:num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Các tài liệu quốc tế khác góp phần nâng cao hiểu biết tổng thể về vấn đề.</w:t>
      </w:r>
    </w:p>
    <w:p w14:paraId="21648CD9" w14:textId="0EA0A719" w:rsidR="00D37548" w:rsidRDefault="00D37548" w:rsidP="00F9381A">
      <w:pPr>
        <w:spacing w:before="120" w:after="120"/>
        <w:jc w:val="both"/>
        <w:rPr>
          <w:rFonts w:ascii="Times New Roman" w:eastAsia="Arial" w:hAnsi="Times New Roman" w:cs="Times New Roman"/>
          <w:spacing w:val="-3"/>
          <w:sz w:val="26"/>
          <w:szCs w:val="26"/>
        </w:rPr>
      </w:pPr>
      <w:r w:rsidRPr="00D37548">
        <w:rPr>
          <w:rFonts w:ascii="Times New Roman" w:eastAsia="Arial" w:hAnsi="Times New Roman" w:cs="Times New Roman"/>
          <w:spacing w:val="-3"/>
          <w:sz w:val="26"/>
          <w:szCs w:val="26"/>
        </w:rPr>
        <w:t xml:space="preserve">Quá trình rà soát sẽ được thực hiện trước kỳ họp HTW 13 (dự kiến tháng 2/2027) nhằm xác định </w:t>
      </w:r>
      <w:r>
        <w:rPr>
          <w:rFonts w:ascii="Times New Roman" w:eastAsia="Arial" w:hAnsi="Times New Roman" w:cs="Times New Roman"/>
          <w:spacing w:val="-3"/>
          <w:sz w:val="26"/>
          <w:szCs w:val="26"/>
        </w:rPr>
        <w:t xml:space="preserve">ra </w:t>
      </w:r>
      <w:r w:rsidRPr="00D37548">
        <w:rPr>
          <w:rFonts w:ascii="Times New Roman" w:eastAsia="Arial" w:hAnsi="Times New Roman" w:cs="Times New Roman"/>
          <w:spacing w:val="-3"/>
          <w:sz w:val="26"/>
          <w:szCs w:val="26"/>
        </w:rPr>
        <w:t xml:space="preserve">và xử lý các khoảng trống trong các công cụ pháp lý liên quan đến mệt mỏi và </w:t>
      </w:r>
      <w:r>
        <w:rPr>
          <w:rFonts w:ascii="Times New Roman" w:eastAsia="Arial" w:hAnsi="Times New Roman" w:cs="Times New Roman"/>
          <w:spacing w:val="-3"/>
          <w:sz w:val="26"/>
          <w:szCs w:val="26"/>
        </w:rPr>
        <w:t xml:space="preserve">số </w:t>
      </w:r>
      <w:r w:rsidRPr="00D37548">
        <w:rPr>
          <w:rFonts w:ascii="Times New Roman" w:eastAsia="Arial" w:hAnsi="Times New Roman" w:cs="Times New Roman"/>
          <w:spacing w:val="-3"/>
          <w:sz w:val="26"/>
          <w:szCs w:val="26"/>
        </w:rPr>
        <w:t>giờ làm việc, nghỉ ngơi của thuyền viên, cũng như các vấn đề về hiệu quả thực thi. Công việc này dự kiến hoàn tất trong năm 2027.</w:t>
      </w:r>
    </w:p>
    <w:p w14:paraId="157AE325" w14:textId="149F57E6" w:rsidR="00F9381A" w:rsidRPr="00D37548" w:rsidRDefault="00F9381A" w:rsidP="00F9381A">
      <w:pPr>
        <w:spacing w:before="120" w:after="120"/>
        <w:jc w:val="center"/>
        <w:rPr>
          <w:rFonts w:ascii="Times New Roman" w:eastAsia="Arial" w:hAnsi="Times New Roman" w:cs="Times New Roman"/>
          <w:spacing w:val="-3"/>
          <w:sz w:val="26"/>
          <w:szCs w:val="26"/>
        </w:rPr>
      </w:pPr>
      <w:r>
        <w:rPr>
          <w:rFonts w:ascii="Times New Roman" w:eastAsia="Arial" w:hAnsi="Times New Roman" w:cs="Times New Roman"/>
          <w:spacing w:val="-3"/>
          <w:sz w:val="26"/>
          <w:szCs w:val="26"/>
        </w:rPr>
        <w:t>----------------------------------------</w:t>
      </w:r>
    </w:p>
    <w:p w14:paraId="1EB424C5" w14:textId="77777777" w:rsidR="00965274" w:rsidRPr="00965274" w:rsidRDefault="00965274" w:rsidP="00965274">
      <w:pPr>
        <w:spacing w:before="120" w:after="120" w:line="262" w:lineRule="auto"/>
        <w:jc w:val="both"/>
        <w:rPr>
          <w:rFonts w:ascii="Times New Roman" w:eastAsia="Arial" w:hAnsi="Times New Roman" w:cs="Times New Roman"/>
          <w:sz w:val="26"/>
          <w:szCs w:val="26"/>
        </w:rPr>
      </w:pPr>
    </w:p>
    <w:p w14:paraId="68A3563A" w14:textId="77777777" w:rsidR="00965274" w:rsidRDefault="00965274" w:rsidP="00965274">
      <w:pPr>
        <w:spacing w:after="0" w:line="240" w:lineRule="auto"/>
        <w:ind w:right="-20"/>
        <w:rPr>
          <w:rFonts w:ascii="Arial" w:eastAsia="Arial" w:hAnsi="Arial" w:cs="Arial"/>
          <w:sz w:val="28"/>
          <w:szCs w:val="28"/>
        </w:rPr>
      </w:pPr>
    </w:p>
    <w:p w14:paraId="4A7865A2" w14:textId="77777777" w:rsidR="00965274" w:rsidRPr="00965274" w:rsidRDefault="00965274" w:rsidP="00965274">
      <w:pPr>
        <w:jc w:val="both"/>
        <w:rPr>
          <w:rFonts w:ascii="Times New Roman" w:hAnsi="Times New Roman" w:cs="Times New Roman"/>
          <w:sz w:val="26"/>
          <w:szCs w:val="26"/>
        </w:rPr>
      </w:pPr>
    </w:p>
    <w:sectPr w:rsidR="00965274" w:rsidRPr="00965274" w:rsidSect="00965274">
      <w:pgSz w:w="12240" w:h="15840"/>
      <w:pgMar w:top="81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2AC"/>
    <w:multiLevelType w:val="hybridMultilevel"/>
    <w:tmpl w:val="65500680"/>
    <w:lvl w:ilvl="0" w:tplc="CB94A610">
      <w:numFmt w:val="bullet"/>
      <w:lvlText w:val="•"/>
      <w:lvlJc w:val="left"/>
      <w:pPr>
        <w:ind w:left="1268" w:hanging="360"/>
      </w:pPr>
      <w:rPr>
        <w:rFonts w:ascii="Times New Roman" w:eastAsia="Times New Roman" w:hAnsi="Times New Roman" w:cs="Times New Roman" w:hint="default"/>
        <w:w w:val="131"/>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 w15:restartNumberingAfterBreak="0">
    <w:nsid w:val="17DA2BF8"/>
    <w:multiLevelType w:val="multilevel"/>
    <w:tmpl w:val="211E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07434"/>
    <w:multiLevelType w:val="multilevel"/>
    <w:tmpl w:val="9278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87EF9"/>
    <w:multiLevelType w:val="multilevel"/>
    <w:tmpl w:val="CC70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D3234"/>
    <w:multiLevelType w:val="hybridMultilevel"/>
    <w:tmpl w:val="796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34651">
    <w:abstractNumId w:val="4"/>
  </w:num>
  <w:num w:numId="2" w16cid:durableId="606425913">
    <w:abstractNumId w:val="0"/>
  </w:num>
  <w:num w:numId="3" w16cid:durableId="816148854">
    <w:abstractNumId w:val="1"/>
  </w:num>
  <w:num w:numId="4" w16cid:durableId="544215631">
    <w:abstractNumId w:val="3"/>
  </w:num>
  <w:num w:numId="5" w16cid:durableId="133722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74"/>
    <w:rsid w:val="000501D0"/>
    <w:rsid w:val="00161F1D"/>
    <w:rsid w:val="00965274"/>
    <w:rsid w:val="00C13E10"/>
    <w:rsid w:val="00C66C32"/>
    <w:rsid w:val="00D37548"/>
    <w:rsid w:val="00F9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5D56"/>
  <w15:chartTrackingRefBased/>
  <w15:docId w15:val="{BBDE43D7-E85E-45E6-942F-CFD8A877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74"/>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65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274"/>
    <w:rPr>
      <w:rFonts w:eastAsiaTheme="majorEastAsia" w:cstheme="majorBidi"/>
      <w:color w:val="272727" w:themeColor="text1" w:themeTint="D8"/>
    </w:rPr>
  </w:style>
  <w:style w:type="paragraph" w:styleId="Title">
    <w:name w:val="Title"/>
    <w:basedOn w:val="Normal"/>
    <w:next w:val="Normal"/>
    <w:link w:val="TitleChar"/>
    <w:uiPriority w:val="10"/>
    <w:qFormat/>
    <w:rsid w:val="0096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274"/>
    <w:pPr>
      <w:spacing w:before="160"/>
      <w:jc w:val="center"/>
    </w:pPr>
    <w:rPr>
      <w:i/>
      <w:iCs/>
      <w:color w:val="404040" w:themeColor="text1" w:themeTint="BF"/>
    </w:rPr>
  </w:style>
  <w:style w:type="character" w:customStyle="1" w:styleId="QuoteChar">
    <w:name w:val="Quote Char"/>
    <w:basedOn w:val="DefaultParagraphFont"/>
    <w:link w:val="Quote"/>
    <w:uiPriority w:val="29"/>
    <w:rsid w:val="00965274"/>
    <w:rPr>
      <w:i/>
      <w:iCs/>
      <w:color w:val="404040" w:themeColor="text1" w:themeTint="BF"/>
    </w:rPr>
  </w:style>
  <w:style w:type="paragraph" w:styleId="ListParagraph">
    <w:name w:val="List Paragraph"/>
    <w:basedOn w:val="Normal"/>
    <w:uiPriority w:val="34"/>
    <w:qFormat/>
    <w:rsid w:val="00965274"/>
    <w:pPr>
      <w:ind w:left="720"/>
      <w:contextualSpacing/>
    </w:pPr>
  </w:style>
  <w:style w:type="character" w:styleId="IntenseEmphasis">
    <w:name w:val="Intense Emphasis"/>
    <w:basedOn w:val="DefaultParagraphFont"/>
    <w:uiPriority w:val="21"/>
    <w:qFormat/>
    <w:rsid w:val="00965274"/>
    <w:rPr>
      <w:i/>
      <w:iCs/>
      <w:color w:val="0F4761" w:themeColor="accent1" w:themeShade="BF"/>
    </w:rPr>
  </w:style>
  <w:style w:type="paragraph" w:styleId="IntenseQuote">
    <w:name w:val="Intense Quote"/>
    <w:basedOn w:val="Normal"/>
    <w:next w:val="Normal"/>
    <w:link w:val="IntenseQuoteChar"/>
    <w:uiPriority w:val="30"/>
    <w:qFormat/>
    <w:rsid w:val="00965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274"/>
    <w:rPr>
      <w:i/>
      <w:iCs/>
      <w:color w:val="0F4761" w:themeColor="accent1" w:themeShade="BF"/>
    </w:rPr>
  </w:style>
  <w:style w:type="character" w:styleId="IntenseReference">
    <w:name w:val="Intense Reference"/>
    <w:basedOn w:val="DefaultParagraphFont"/>
    <w:uiPriority w:val="32"/>
    <w:qFormat/>
    <w:rsid w:val="009652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2026-03-02T03:36:00Z</dcterms:created>
  <dcterms:modified xsi:type="dcterms:W3CDTF">2026-03-02T04:11:00Z</dcterms:modified>
</cp:coreProperties>
</file>