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A60E" w14:textId="6D4CA5FF" w:rsidR="00A07ACC" w:rsidRPr="00A07ACC" w:rsidRDefault="00A07ACC" w:rsidP="00A07ACC">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Pháp luật Hàng hải: </w:t>
      </w:r>
      <w:r w:rsidRPr="00A07ACC">
        <w:rPr>
          <w:rFonts w:ascii="Times New Roman" w:hAnsi="Times New Roman" w:cs="Times New Roman"/>
          <w:b/>
          <w:bCs/>
          <w:sz w:val="40"/>
          <w:szCs w:val="40"/>
        </w:rPr>
        <w:t>Các Tiêu Chuẩn Mới của IACS về Phát Hiện và Chữa Cháy</w:t>
      </w:r>
    </w:p>
    <w:p w14:paraId="395DBE1F" w14:textId="77777777" w:rsidR="00A07ACC" w:rsidRPr="00A07ACC" w:rsidRDefault="00A07ACC" w:rsidP="00A07ACC">
      <w:pPr>
        <w:jc w:val="right"/>
      </w:pPr>
      <w:r w:rsidRPr="00A07ACC">
        <w:t> </w:t>
      </w:r>
      <w:hyperlink r:id="rId5" w:history="1">
        <w:r w:rsidRPr="00A07ACC">
          <w:rPr>
            <w:rStyle w:val="Hyperlink"/>
            <w:b/>
            <w:bCs/>
          </w:rPr>
          <w:t>maritimecyprus</w:t>
        </w:r>
      </w:hyperlink>
    </w:p>
    <w:p w14:paraId="27BBBF34" w14:textId="790D3675" w:rsidR="00A07ACC" w:rsidRPr="00A07ACC" w:rsidRDefault="00A07ACC" w:rsidP="00A07ACC">
      <w:r w:rsidRPr="00A07ACC">
        <w:drawing>
          <wp:inline distT="0" distB="0" distL="0" distR="0" wp14:anchorId="620700E1" wp14:editId="630F0C2B">
            <wp:extent cx="6301740" cy="3846195"/>
            <wp:effectExtent l="0" t="0" r="3810" b="1905"/>
            <wp:docPr id="22348688" name="Picture 2" descr="Fire fighting on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re fighting onbo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1740" cy="3846195"/>
                    </a:xfrm>
                    <a:prstGeom prst="rect">
                      <a:avLst/>
                    </a:prstGeom>
                    <a:noFill/>
                    <a:ln>
                      <a:noFill/>
                    </a:ln>
                  </pic:spPr>
                </pic:pic>
              </a:graphicData>
            </a:graphic>
          </wp:inline>
        </w:drawing>
      </w:r>
    </w:p>
    <w:p w14:paraId="026B477E" w14:textId="3DB70F38"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Hiệp hội Các Tổ chức Đăng kiểm Quốc tế (International Association of Classification Societies – IACS) tiếp tục đóng vai trò then chốt trong việc hài hòa </w:t>
      </w:r>
      <w:r>
        <w:rPr>
          <w:rFonts w:ascii="Times New Roman" w:hAnsi="Times New Roman" w:cs="Times New Roman"/>
          <w:sz w:val="26"/>
          <w:szCs w:val="26"/>
        </w:rPr>
        <w:t xml:space="preserve">hóa </w:t>
      </w:r>
      <w:r w:rsidRPr="00A07ACC">
        <w:rPr>
          <w:rFonts w:ascii="Times New Roman" w:hAnsi="Times New Roman" w:cs="Times New Roman"/>
          <w:sz w:val="26"/>
          <w:szCs w:val="26"/>
        </w:rPr>
        <w:t xml:space="preserve">cách diễn giải và áp dụng các quy định hàng hải quốc tế. Thông qua việc ban hành các </w:t>
      </w:r>
      <w:r w:rsidRPr="00A07ACC">
        <w:rPr>
          <w:rFonts w:ascii="Times New Roman" w:hAnsi="Times New Roman" w:cs="Times New Roman"/>
          <w:b/>
          <w:bCs/>
          <w:sz w:val="26"/>
          <w:szCs w:val="26"/>
        </w:rPr>
        <w:t>Diễn giải Thống nhất (Unified Interpretations – UI)</w:t>
      </w:r>
      <w:r w:rsidRPr="00A07ACC">
        <w:rPr>
          <w:rFonts w:ascii="Times New Roman" w:hAnsi="Times New Roman" w:cs="Times New Roman"/>
          <w:sz w:val="26"/>
          <w:szCs w:val="26"/>
        </w:rPr>
        <w:t xml:space="preserve">, IACS bảo đảm rằng ngôn ngữ mang tính khái quát trong các công ước SOLAS của IMO được áp dụng một cách nhất quán bởi tất cả các tổ chức đăng kiểm thành viên và các quốc gia </w:t>
      </w:r>
      <w:r>
        <w:rPr>
          <w:rFonts w:ascii="Times New Roman" w:hAnsi="Times New Roman" w:cs="Times New Roman"/>
          <w:sz w:val="26"/>
          <w:szCs w:val="26"/>
        </w:rPr>
        <w:t>đăng ký tàu</w:t>
      </w:r>
      <w:r w:rsidRPr="00A07ACC">
        <w:rPr>
          <w:rFonts w:ascii="Times New Roman" w:hAnsi="Times New Roman" w:cs="Times New Roman"/>
          <w:sz w:val="26"/>
          <w:szCs w:val="26"/>
        </w:rPr>
        <w:t>, qua đó loại bỏ những “vùng xám” có thể dẫn đến lỗ hổng an toàn hoặc sự nhầm lẫn về tuân thủ trong quá trình đóng mới và kiểm tra tàu.</w:t>
      </w:r>
    </w:p>
    <w:p w14:paraId="68A24D11"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Những sửa đổi gần đây đối với </w:t>
      </w:r>
      <w:r w:rsidRPr="00A07ACC">
        <w:rPr>
          <w:rFonts w:ascii="Times New Roman" w:hAnsi="Times New Roman" w:cs="Times New Roman"/>
          <w:b/>
          <w:bCs/>
          <w:sz w:val="26"/>
          <w:szCs w:val="26"/>
        </w:rPr>
        <w:t>UI SC73</w:t>
      </w:r>
      <w:r w:rsidRPr="00A07ACC">
        <w:rPr>
          <w:rFonts w:ascii="Times New Roman" w:hAnsi="Times New Roman" w:cs="Times New Roman"/>
          <w:sz w:val="26"/>
          <w:szCs w:val="26"/>
        </w:rPr>
        <w:t xml:space="preserve"> và </w:t>
      </w:r>
      <w:r w:rsidRPr="00A07ACC">
        <w:rPr>
          <w:rFonts w:ascii="Times New Roman" w:hAnsi="Times New Roman" w:cs="Times New Roman"/>
          <w:b/>
          <w:bCs/>
          <w:sz w:val="26"/>
          <w:szCs w:val="26"/>
        </w:rPr>
        <w:t>UI SC160</w:t>
      </w:r>
      <w:r w:rsidRPr="00A07ACC">
        <w:rPr>
          <w:rFonts w:ascii="Times New Roman" w:hAnsi="Times New Roman" w:cs="Times New Roman"/>
          <w:sz w:val="26"/>
          <w:szCs w:val="26"/>
        </w:rPr>
        <w:t xml:space="preserve"> thể hiện cách tiếp cận tinh chỉnh hơn trong công tác phòng cháy, chữa cháy, với sự phân biệt rõ ràng giữa môi trường ngoài trời và các khu vực dịch vụ kín có nguy cơ cháy cao.</w:t>
      </w:r>
    </w:p>
    <w:p w14:paraId="27B7921E"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Phân tích chi tiết các cập nhật của IACS</w:t>
      </w:r>
    </w:p>
    <w:p w14:paraId="486D613D" w14:textId="6F271AC9"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 xml:space="preserve">1. UI SC73 (Rev.3): Bình chữa cháy </w:t>
      </w:r>
      <w:r>
        <w:rPr>
          <w:rFonts w:ascii="Times New Roman" w:hAnsi="Times New Roman" w:cs="Times New Roman"/>
          <w:b/>
          <w:bCs/>
          <w:sz w:val="26"/>
          <w:szCs w:val="26"/>
        </w:rPr>
        <w:t>di động</w:t>
      </w:r>
      <w:r w:rsidRPr="00A07ACC">
        <w:rPr>
          <w:rFonts w:ascii="Times New Roman" w:hAnsi="Times New Roman" w:cs="Times New Roman"/>
          <w:b/>
          <w:bCs/>
          <w:sz w:val="26"/>
          <w:szCs w:val="26"/>
        </w:rPr>
        <w:t xml:space="preserve"> </w:t>
      </w:r>
      <w:r>
        <w:rPr>
          <w:rFonts w:ascii="Times New Roman" w:hAnsi="Times New Roman" w:cs="Times New Roman"/>
          <w:b/>
          <w:bCs/>
          <w:sz w:val="26"/>
          <w:szCs w:val="26"/>
        </w:rPr>
        <w:t>trong</w:t>
      </w:r>
      <w:r w:rsidRPr="00A07ACC">
        <w:rPr>
          <w:rFonts w:ascii="Times New Roman" w:hAnsi="Times New Roman" w:cs="Times New Roman"/>
          <w:b/>
          <w:bCs/>
          <w:sz w:val="26"/>
          <w:szCs w:val="26"/>
        </w:rPr>
        <w:t xml:space="preserve"> các không gian chở xe</w:t>
      </w:r>
      <w:r>
        <w:rPr>
          <w:rFonts w:ascii="Times New Roman" w:hAnsi="Times New Roman" w:cs="Times New Roman"/>
          <w:b/>
          <w:bCs/>
          <w:sz w:val="26"/>
          <w:szCs w:val="26"/>
        </w:rPr>
        <w:t xml:space="preserve"> ô tô</w:t>
      </w:r>
    </w:p>
    <w:p w14:paraId="273840EC" w14:textId="4A2BCC62"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Bản cập nhật này tập trung vào </w:t>
      </w:r>
      <w:r w:rsidRPr="00A07ACC">
        <w:rPr>
          <w:rFonts w:ascii="Times New Roman" w:hAnsi="Times New Roman" w:cs="Times New Roman"/>
          <w:color w:val="EE0000"/>
          <w:sz w:val="26"/>
          <w:szCs w:val="26"/>
        </w:rPr>
        <w:t>Quy định II-2/20.6.3.1</w:t>
      </w:r>
      <w:r w:rsidRPr="00A07ACC">
        <w:rPr>
          <w:rFonts w:ascii="Times New Roman" w:hAnsi="Times New Roman" w:cs="Times New Roman"/>
          <w:color w:val="EE0000"/>
          <w:sz w:val="26"/>
          <w:szCs w:val="26"/>
        </w:rPr>
        <w:t xml:space="preserve"> </w:t>
      </w:r>
      <w:r>
        <w:rPr>
          <w:rFonts w:ascii="Times New Roman" w:hAnsi="Times New Roman" w:cs="Times New Roman"/>
          <w:color w:val="EE0000"/>
          <w:sz w:val="26"/>
          <w:szCs w:val="26"/>
        </w:rPr>
        <w:t xml:space="preserve">của </w:t>
      </w:r>
      <w:r w:rsidRPr="00A07ACC">
        <w:rPr>
          <w:rFonts w:ascii="Times New Roman" w:hAnsi="Times New Roman" w:cs="Times New Roman"/>
          <w:color w:val="EE0000"/>
          <w:sz w:val="26"/>
          <w:szCs w:val="26"/>
        </w:rPr>
        <w:t xml:space="preserve">SOLAS, </w:t>
      </w:r>
      <w:r w:rsidRPr="00A07ACC">
        <w:rPr>
          <w:rFonts w:ascii="Times New Roman" w:hAnsi="Times New Roman" w:cs="Times New Roman"/>
          <w:sz w:val="26"/>
          <w:szCs w:val="26"/>
        </w:rPr>
        <w:t xml:space="preserve">quy định về số lượng và vị trí bố trí bình chữa cháy </w:t>
      </w:r>
      <w:r>
        <w:rPr>
          <w:rFonts w:ascii="Times New Roman" w:hAnsi="Times New Roman" w:cs="Times New Roman"/>
          <w:sz w:val="26"/>
          <w:szCs w:val="26"/>
        </w:rPr>
        <w:t>di động</w:t>
      </w:r>
      <w:r w:rsidRPr="00A07ACC">
        <w:rPr>
          <w:rFonts w:ascii="Times New Roman" w:hAnsi="Times New Roman" w:cs="Times New Roman"/>
          <w:sz w:val="26"/>
          <w:szCs w:val="26"/>
        </w:rPr>
        <w:t xml:space="preserve"> trong các không gian được thiết kế để chở </w:t>
      </w:r>
      <w:r>
        <w:rPr>
          <w:rFonts w:ascii="Times New Roman" w:hAnsi="Times New Roman" w:cs="Times New Roman"/>
          <w:sz w:val="26"/>
          <w:szCs w:val="26"/>
        </w:rPr>
        <w:t>xe ô tô</w:t>
      </w:r>
      <w:r w:rsidRPr="00A07ACC">
        <w:rPr>
          <w:rFonts w:ascii="Times New Roman" w:hAnsi="Times New Roman" w:cs="Times New Roman"/>
          <w:sz w:val="26"/>
          <w:szCs w:val="26"/>
        </w:rPr>
        <w:t>.</w:t>
      </w:r>
    </w:p>
    <w:p w14:paraId="341F5675" w14:textId="7F4B8A9D" w:rsidR="00A07ACC" w:rsidRPr="00A07ACC" w:rsidRDefault="00A07ACC" w:rsidP="00A07ACC">
      <w:pPr>
        <w:numPr>
          <w:ilvl w:val="0"/>
          <w:numId w:val="3"/>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lastRenderedPageBreak/>
        <w:t>Nội dung làm rõ:</w:t>
      </w:r>
      <w:r>
        <w:rPr>
          <w:rFonts w:ascii="Times New Roman" w:hAnsi="Times New Roman" w:cs="Times New Roman"/>
          <w:b/>
          <w:bCs/>
          <w:sz w:val="26"/>
          <w:szCs w:val="26"/>
        </w:rPr>
        <w:t xml:space="preserve"> </w:t>
      </w:r>
      <w:r w:rsidRPr="00A07ACC">
        <w:rPr>
          <w:rFonts w:ascii="Times New Roman" w:hAnsi="Times New Roman" w:cs="Times New Roman"/>
          <w:sz w:val="26"/>
          <w:szCs w:val="26"/>
        </w:rPr>
        <w:t xml:space="preserve">Thay đổi chính trong </w:t>
      </w:r>
      <w:r w:rsidRPr="00A07ACC">
        <w:rPr>
          <w:rFonts w:ascii="Times New Roman" w:hAnsi="Times New Roman" w:cs="Times New Roman"/>
          <w:color w:val="EE0000"/>
          <w:sz w:val="26"/>
          <w:szCs w:val="26"/>
        </w:rPr>
        <w:t xml:space="preserve">Phiên bản sửa đổi 3 là loại trừ rõ ràng các boong hở (weather decks) </w:t>
      </w:r>
      <w:r w:rsidRPr="00A07ACC">
        <w:rPr>
          <w:rFonts w:ascii="Times New Roman" w:hAnsi="Times New Roman" w:cs="Times New Roman"/>
          <w:sz w:val="26"/>
          <w:szCs w:val="26"/>
        </w:rPr>
        <w:t xml:space="preserve">khỏi yêu cầu phải trang bị bình chữa cháy </w:t>
      </w:r>
      <w:r>
        <w:rPr>
          <w:rFonts w:ascii="Times New Roman" w:hAnsi="Times New Roman" w:cs="Times New Roman"/>
          <w:sz w:val="26"/>
          <w:szCs w:val="26"/>
        </w:rPr>
        <w:t>di động</w:t>
      </w:r>
      <w:r w:rsidRPr="00A07ACC">
        <w:rPr>
          <w:rFonts w:ascii="Times New Roman" w:hAnsi="Times New Roman" w:cs="Times New Roman"/>
          <w:sz w:val="26"/>
          <w:szCs w:val="26"/>
        </w:rPr>
        <w:t xml:space="preserve"> dành riêng cho việc chở xe</w:t>
      </w:r>
      <w:r>
        <w:rPr>
          <w:rFonts w:ascii="Times New Roman" w:hAnsi="Times New Roman" w:cs="Times New Roman"/>
          <w:sz w:val="26"/>
          <w:szCs w:val="26"/>
        </w:rPr>
        <w:t xml:space="preserve"> ô tô</w:t>
      </w:r>
      <w:r w:rsidRPr="00A07ACC">
        <w:rPr>
          <w:rFonts w:ascii="Times New Roman" w:hAnsi="Times New Roman" w:cs="Times New Roman"/>
          <w:sz w:val="26"/>
          <w:szCs w:val="26"/>
        </w:rPr>
        <w:t>.</w:t>
      </w:r>
    </w:p>
    <w:p w14:paraId="31448D3D" w14:textId="49074538" w:rsidR="00A07ACC" w:rsidRPr="00A07ACC" w:rsidRDefault="00A07ACC" w:rsidP="00A07ACC">
      <w:pPr>
        <w:numPr>
          <w:ilvl w:val="0"/>
          <w:numId w:val="3"/>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t>Cơ sở lập luận:</w:t>
      </w:r>
      <w:r>
        <w:rPr>
          <w:rFonts w:ascii="Times New Roman" w:hAnsi="Times New Roman" w:cs="Times New Roman"/>
          <w:b/>
          <w:bCs/>
          <w:sz w:val="26"/>
          <w:szCs w:val="26"/>
        </w:rPr>
        <w:t xml:space="preserve"> </w:t>
      </w:r>
      <w:r w:rsidRPr="00A07ACC">
        <w:rPr>
          <w:rFonts w:ascii="Times New Roman" w:hAnsi="Times New Roman" w:cs="Times New Roman"/>
          <w:sz w:val="26"/>
          <w:szCs w:val="26"/>
        </w:rPr>
        <w:t>Công tác chữa cháy trên boong hở có đặc điểm và thách thức khác so với các boong kín chở xe</w:t>
      </w:r>
      <w:r>
        <w:rPr>
          <w:rFonts w:ascii="Times New Roman" w:hAnsi="Times New Roman" w:cs="Times New Roman"/>
          <w:sz w:val="26"/>
          <w:szCs w:val="26"/>
        </w:rPr>
        <w:t xml:space="preserve"> ô tô</w:t>
      </w:r>
      <w:r w:rsidRPr="00A07ACC">
        <w:rPr>
          <w:rFonts w:ascii="Times New Roman" w:hAnsi="Times New Roman" w:cs="Times New Roman"/>
          <w:sz w:val="26"/>
          <w:szCs w:val="26"/>
        </w:rPr>
        <w:t xml:space="preserve"> (ví dụ như trên tàu Ro-Ro). Các yêu cầu hiện hành về hệ thống cứu hỏa chính (vòi rồng và ống chữa cháy) được đánh giá là hiệu quả hơn đối với boong hở, nơi nguy cơ tích tụ khói không phải là mối đe dọa chính.</w:t>
      </w:r>
    </w:p>
    <w:p w14:paraId="2DEB229F" w14:textId="53940EE4" w:rsidR="00A07ACC" w:rsidRPr="00A07ACC" w:rsidRDefault="00A07ACC" w:rsidP="00A07ACC">
      <w:pPr>
        <w:numPr>
          <w:ilvl w:val="0"/>
          <w:numId w:val="3"/>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t>Áp dụng:</w:t>
      </w:r>
      <w:r>
        <w:rPr>
          <w:rFonts w:ascii="Times New Roman" w:hAnsi="Times New Roman" w:cs="Times New Roman"/>
          <w:b/>
          <w:bCs/>
          <w:sz w:val="26"/>
          <w:szCs w:val="26"/>
        </w:rPr>
        <w:t xml:space="preserve"> </w:t>
      </w:r>
      <w:r w:rsidRPr="00A07ACC">
        <w:rPr>
          <w:rFonts w:ascii="Times New Roman" w:hAnsi="Times New Roman" w:cs="Times New Roman"/>
          <w:sz w:val="26"/>
          <w:szCs w:val="26"/>
        </w:rPr>
        <w:t xml:space="preserve">Cách diễn giải này sẽ được các tổ chức thành viên </w:t>
      </w:r>
      <w:r>
        <w:rPr>
          <w:rFonts w:ascii="Times New Roman" w:hAnsi="Times New Roman" w:cs="Times New Roman"/>
          <w:sz w:val="26"/>
          <w:szCs w:val="26"/>
        </w:rPr>
        <w:t xml:space="preserve">của </w:t>
      </w:r>
      <w:r w:rsidRPr="00A07ACC">
        <w:rPr>
          <w:rFonts w:ascii="Times New Roman" w:hAnsi="Times New Roman" w:cs="Times New Roman"/>
          <w:sz w:val="26"/>
          <w:szCs w:val="26"/>
        </w:rPr>
        <w:t xml:space="preserve">IACS áp dụng thống nhất kể từ </w:t>
      </w:r>
      <w:r w:rsidRPr="00A07ACC">
        <w:rPr>
          <w:rFonts w:ascii="Times New Roman" w:hAnsi="Times New Roman" w:cs="Times New Roman"/>
          <w:color w:val="EE0000"/>
          <w:sz w:val="26"/>
          <w:szCs w:val="26"/>
        </w:rPr>
        <w:t>ngày 01 tháng 7 năm 2026</w:t>
      </w:r>
      <w:r w:rsidRPr="00A07ACC">
        <w:rPr>
          <w:rFonts w:ascii="Times New Roman" w:hAnsi="Times New Roman" w:cs="Times New Roman"/>
          <w:sz w:val="26"/>
          <w:szCs w:val="26"/>
        </w:rPr>
        <w:t>.</w:t>
      </w:r>
    </w:p>
    <w:p w14:paraId="694D399C"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2. UI SC160 (Rev.2): Yêu cầu về hệ thống phát hiện cháy cố định</w:t>
      </w:r>
    </w:p>
    <w:p w14:paraId="52A81772" w14:textId="2E493E89"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Bản sửa đổi này liên quan đến </w:t>
      </w:r>
      <w:r w:rsidRPr="00A07ACC">
        <w:rPr>
          <w:rFonts w:ascii="Times New Roman" w:hAnsi="Times New Roman" w:cs="Times New Roman"/>
          <w:color w:val="EE0000"/>
          <w:sz w:val="26"/>
          <w:szCs w:val="26"/>
        </w:rPr>
        <w:t>Quy định II-2/7.5.5.3</w:t>
      </w:r>
      <w:r w:rsidRPr="00A07ACC">
        <w:rPr>
          <w:rFonts w:ascii="Times New Roman" w:hAnsi="Times New Roman" w:cs="Times New Roman"/>
          <w:color w:val="EE0000"/>
          <w:sz w:val="26"/>
          <w:szCs w:val="26"/>
        </w:rPr>
        <w:t xml:space="preserve"> </w:t>
      </w:r>
      <w:r>
        <w:rPr>
          <w:rFonts w:ascii="Times New Roman" w:hAnsi="Times New Roman" w:cs="Times New Roman"/>
          <w:color w:val="EE0000"/>
          <w:sz w:val="26"/>
          <w:szCs w:val="26"/>
        </w:rPr>
        <w:t xml:space="preserve">của </w:t>
      </w:r>
      <w:r w:rsidRPr="00A07ACC">
        <w:rPr>
          <w:rFonts w:ascii="Times New Roman" w:hAnsi="Times New Roman" w:cs="Times New Roman"/>
          <w:color w:val="EE0000"/>
          <w:sz w:val="26"/>
          <w:szCs w:val="26"/>
        </w:rPr>
        <w:t>SOLAS</w:t>
      </w:r>
      <w:r w:rsidRPr="00A07ACC">
        <w:rPr>
          <w:rFonts w:ascii="Times New Roman" w:hAnsi="Times New Roman" w:cs="Times New Roman"/>
          <w:sz w:val="26"/>
          <w:szCs w:val="26"/>
        </w:rPr>
        <w:t xml:space="preserve">, quy định về việc bảo vệ thuyền viên và các chức năng thiết yếu của tàu thông qua hệ thống phát hiện và báo cháy cố định. Cách diễn giải phụ thuộc vào </w:t>
      </w:r>
      <w:r w:rsidRPr="00A07ACC">
        <w:rPr>
          <w:rFonts w:ascii="Times New Roman" w:hAnsi="Times New Roman" w:cs="Times New Roman"/>
          <w:b/>
          <w:bCs/>
          <w:sz w:val="26"/>
          <w:szCs w:val="26"/>
        </w:rPr>
        <w:t>“</w:t>
      </w:r>
      <w:r w:rsidRPr="00A07ACC">
        <w:rPr>
          <w:rFonts w:ascii="Times New Roman" w:hAnsi="Times New Roman" w:cs="Times New Roman"/>
          <w:color w:val="EE0000"/>
          <w:sz w:val="26"/>
          <w:szCs w:val="26"/>
        </w:rPr>
        <w:t xml:space="preserve">Phương pháp” bảo vệ chống cháy </w:t>
      </w:r>
      <w:r w:rsidRPr="00A07ACC">
        <w:rPr>
          <w:rFonts w:ascii="Times New Roman" w:hAnsi="Times New Roman" w:cs="Times New Roman"/>
          <w:sz w:val="26"/>
          <w:szCs w:val="26"/>
        </w:rPr>
        <w:t xml:space="preserve">được lựa chọn cho tàu, cụ thể là </w:t>
      </w:r>
      <w:r w:rsidRPr="00A07ACC">
        <w:rPr>
          <w:rFonts w:ascii="Times New Roman" w:hAnsi="Times New Roman" w:cs="Times New Roman"/>
          <w:color w:val="EE0000"/>
          <w:sz w:val="26"/>
          <w:szCs w:val="26"/>
        </w:rPr>
        <w:t>Phương pháp IIIC</w:t>
      </w:r>
      <w:r w:rsidRPr="00A07ACC">
        <w:rPr>
          <w:rFonts w:ascii="Times New Roman" w:hAnsi="Times New Roman" w:cs="Times New Roman"/>
          <w:sz w:val="26"/>
          <w:szCs w:val="26"/>
        </w:rPr>
        <w:t>.</w:t>
      </w:r>
    </w:p>
    <w:p w14:paraId="15986155"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Phân tích yêu cầu cụ thể:</w:t>
      </w:r>
    </w:p>
    <w:p w14:paraId="11DAC975" w14:textId="7E373A93" w:rsidR="00A07ACC" w:rsidRPr="00A07ACC" w:rsidRDefault="00A07ACC" w:rsidP="00A07ACC">
      <w:pPr>
        <w:numPr>
          <w:ilvl w:val="0"/>
          <w:numId w:val="4"/>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t>Không gian dịch vụ &amp; Phương pháp IIIC:</w:t>
      </w:r>
      <w:r>
        <w:rPr>
          <w:rFonts w:ascii="Times New Roman" w:hAnsi="Times New Roman" w:cs="Times New Roman"/>
          <w:b/>
          <w:bCs/>
          <w:sz w:val="26"/>
          <w:szCs w:val="26"/>
        </w:rPr>
        <w:t xml:space="preserve"> </w:t>
      </w:r>
      <w:r w:rsidRPr="00A07ACC">
        <w:rPr>
          <w:rFonts w:ascii="Times New Roman" w:hAnsi="Times New Roman" w:cs="Times New Roman"/>
          <w:sz w:val="26"/>
          <w:szCs w:val="26"/>
        </w:rPr>
        <w:t xml:space="preserve">Theo Phương pháp IIIC (dựa trên việc phân chia các khu vực sinh hoạt bằng các vách ngăn cấp “A” và “B”, không bắt buộc phải có hệ thống phun </w:t>
      </w:r>
      <w:r>
        <w:rPr>
          <w:rFonts w:ascii="Times New Roman" w:hAnsi="Times New Roman" w:cs="Times New Roman"/>
          <w:sz w:val="26"/>
          <w:szCs w:val="26"/>
        </w:rPr>
        <w:t xml:space="preserve">tia </w:t>
      </w:r>
      <w:r w:rsidRPr="00A07ACC">
        <w:rPr>
          <w:rFonts w:ascii="Times New Roman" w:hAnsi="Times New Roman" w:cs="Times New Roman"/>
          <w:sz w:val="26"/>
          <w:szCs w:val="26"/>
        </w:rPr>
        <w:t xml:space="preserve">nước </w:t>
      </w:r>
      <w:r>
        <w:rPr>
          <w:rFonts w:ascii="Times New Roman" w:hAnsi="Times New Roman" w:cs="Times New Roman"/>
          <w:sz w:val="26"/>
          <w:szCs w:val="26"/>
        </w:rPr>
        <w:t xml:space="preserve">- </w:t>
      </w:r>
      <w:r w:rsidRPr="00A07ACC">
        <w:rPr>
          <w:rFonts w:ascii="Times New Roman" w:hAnsi="Times New Roman" w:cs="Times New Roman"/>
          <w:sz w:val="26"/>
          <w:szCs w:val="26"/>
        </w:rPr>
        <w:t xml:space="preserve">sprinkler), hệ thống phát hiện cháy cố định trong các không gian dịch vụ (như bếp, phòng giặt…) chỉ bắt buộc nếu các không gian này nằm trong khối khu vực </w:t>
      </w:r>
      <w:r>
        <w:rPr>
          <w:rFonts w:ascii="Times New Roman" w:hAnsi="Times New Roman" w:cs="Times New Roman"/>
          <w:sz w:val="26"/>
          <w:szCs w:val="26"/>
        </w:rPr>
        <w:t>buồng ở</w:t>
      </w:r>
      <w:r w:rsidRPr="00A07ACC">
        <w:rPr>
          <w:rFonts w:ascii="Times New Roman" w:hAnsi="Times New Roman" w:cs="Times New Roman"/>
          <w:sz w:val="26"/>
          <w:szCs w:val="26"/>
        </w:rPr>
        <w:t xml:space="preserve"> (accommodation block).</w:t>
      </w:r>
    </w:p>
    <w:p w14:paraId="116F3D3D" w14:textId="501E9528" w:rsidR="00A07ACC" w:rsidRPr="00A07ACC" w:rsidRDefault="00A07ACC" w:rsidP="00A07ACC">
      <w:pPr>
        <w:numPr>
          <w:ilvl w:val="0"/>
          <w:numId w:val="4"/>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t>Buồng điều khiển &amp; Phòng điều khiển hàng hóa:</w:t>
      </w:r>
      <w:r>
        <w:rPr>
          <w:rFonts w:ascii="Times New Roman" w:hAnsi="Times New Roman" w:cs="Times New Roman"/>
          <w:b/>
          <w:bCs/>
          <w:sz w:val="26"/>
          <w:szCs w:val="26"/>
        </w:rPr>
        <w:t xml:space="preserve"> </w:t>
      </w:r>
      <w:r w:rsidRPr="00A07ACC">
        <w:rPr>
          <w:rFonts w:ascii="Times New Roman" w:hAnsi="Times New Roman" w:cs="Times New Roman"/>
          <w:sz w:val="26"/>
          <w:szCs w:val="26"/>
        </w:rPr>
        <w:t xml:space="preserve">Bất kể phương pháp kết cấu nào được áp dụng, các khu vực này được coi là </w:t>
      </w:r>
      <w:r w:rsidRPr="00A07ACC">
        <w:rPr>
          <w:rFonts w:ascii="Times New Roman" w:hAnsi="Times New Roman" w:cs="Times New Roman"/>
          <w:b/>
          <w:bCs/>
          <w:sz w:val="26"/>
          <w:szCs w:val="26"/>
        </w:rPr>
        <w:t>t</w:t>
      </w:r>
      <w:r w:rsidRPr="00A07ACC">
        <w:rPr>
          <w:rFonts w:ascii="Times New Roman" w:hAnsi="Times New Roman" w:cs="Times New Roman"/>
          <w:color w:val="EE0000"/>
          <w:sz w:val="26"/>
          <w:szCs w:val="26"/>
        </w:rPr>
        <w:t xml:space="preserve">ối quan trọng đối với việc chỉ huy và an toàn của tàu. </w:t>
      </w:r>
      <w:r w:rsidRPr="00A07ACC">
        <w:rPr>
          <w:rFonts w:ascii="Times New Roman" w:hAnsi="Times New Roman" w:cs="Times New Roman"/>
          <w:sz w:val="26"/>
          <w:szCs w:val="26"/>
        </w:rPr>
        <w:t xml:space="preserve">Do đó, </w:t>
      </w:r>
      <w:r w:rsidRPr="00A07ACC">
        <w:rPr>
          <w:rFonts w:ascii="Times New Roman" w:hAnsi="Times New Roman" w:cs="Times New Roman"/>
          <w:color w:val="EE0000"/>
          <w:sz w:val="26"/>
          <w:szCs w:val="26"/>
        </w:rPr>
        <w:t xml:space="preserve">luôn luôn bắt buộc </w:t>
      </w:r>
      <w:r w:rsidRPr="00A07ACC">
        <w:rPr>
          <w:rFonts w:ascii="Times New Roman" w:hAnsi="Times New Roman" w:cs="Times New Roman"/>
          <w:sz w:val="26"/>
          <w:szCs w:val="26"/>
        </w:rPr>
        <w:t>phải trang bị hệ thống phát hiện cháy và báo cháy cố định.</w:t>
      </w:r>
    </w:p>
    <w:p w14:paraId="738CF552" w14:textId="65AE102C" w:rsidR="00A07ACC" w:rsidRPr="00A07ACC" w:rsidRDefault="00A07ACC" w:rsidP="00A07ACC">
      <w:pPr>
        <w:numPr>
          <w:ilvl w:val="0"/>
          <w:numId w:val="4"/>
        </w:numPr>
        <w:spacing w:before="120" w:after="120"/>
        <w:jc w:val="both"/>
        <w:rPr>
          <w:rFonts w:ascii="Times New Roman" w:hAnsi="Times New Roman" w:cs="Times New Roman"/>
          <w:sz w:val="26"/>
          <w:szCs w:val="26"/>
        </w:rPr>
      </w:pPr>
      <w:r w:rsidRPr="00A07ACC">
        <w:rPr>
          <w:rFonts w:ascii="Times New Roman" w:hAnsi="Times New Roman" w:cs="Times New Roman"/>
          <w:b/>
          <w:bCs/>
          <w:sz w:val="26"/>
          <w:szCs w:val="26"/>
        </w:rPr>
        <w:t>Phạm vi bảo vệ:</w:t>
      </w:r>
      <w:r>
        <w:rPr>
          <w:rFonts w:ascii="Times New Roman" w:hAnsi="Times New Roman" w:cs="Times New Roman"/>
          <w:b/>
          <w:bCs/>
          <w:sz w:val="26"/>
          <w:szCs w:val="26"/>
        </w:rPr>
        <w:t xml:space="preserve"> </w:t>
      </w:r>
      <w:r w:rsidRPr="00A07ACC">
        <w:rPr>
          <w:rFonts w:ascii="Times New Roman" w:hAnsi="Times New Roman" w:cs="Times New Roman"/>
          <w:sz w:val="26"/>
          <w:szCs w:val="26"/>
        </w:rPr>
        <w:t xml:space="preserve">Yêu cầu vẫn được duy trì nghiêm ngặt đối với </w:t>
      </w:r>
      <w:r w:rsidRPr="00A07ACC">
        <w:rPr>
          <w:rFonts w:ascii="Times New Roman" w:hAnsi="Times New Roman" w:cs="Times New Roman"/>
          <w:color w:val="EE0000"/>
          <w:sz w:val="26"/>
          <w:szCs w:val="26"/>
        </w:rPr>
        <w:t>tất cả các lối thoát hiểm và khu vực sinh hoạt</w:t>
      </w:r>
      <w:r w:rsidRPr="00A07ACC">
        <w:rPr>
          <w:rFonts w:ascii="Times New Roman" w:hAnsi="Times New Roman" w:cs="Times New Roman"/>
          <w:sz w:val="26"/>
          <w:szCs w:val="26"/>
        </w:rPr>
        <w:t>, nhằm bảo đảm cảnh báo sớm cho thuyền viên.</w:t>
      </w:r>
    </w:p>
    <w:p w14:paraId="01AC326B"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Thời điểm áp dụng:</w:t>
      </w:r>
    </w:p>
    <w:p w14:paraId="4616EE70" w14:textId="461BC863" w:rsidR="00A07ACC" w:rsidRPr="00A07ACC" w:rsidRDefault="00A07ACC" w:rsidP="00A07ACC">
      <w:pPr>
        <w:spacing w:before="120" w:after="120"/>
        <w:jc w:val="both"/>
        <w:rPr>
          <w:rFonts w:ascii="Times New Roman" w:hAnsi="Times New Roman" w:cs="Times New Roman"/>
          <w:color w:val="EE0000"/>
          <w:sz w:val="26"/>
          <w:szCs w:val="26"/>
        </w:rPr>
      </w:pPr>
      <w:r w:rsidRPr="00A07ACC">
        <w:rPr>
          <w:rFonts w:ascii="Times New Roman" w:hAnsi="Times New Roman" w:cs="Times New Roman"/>
          <w:sz w:val="26"/>
          <w:szCs w:val="26"/>
        </w:rPr>
        <w:t xml:space="preserve">Các yêu cầu này gắn với </w:t>
      </w:r>
      <w:r w:rsidRPr="00A07ACC">
        <w:rPr>
          <w:rFonts w:ascii="Times New Roman" w:hAnsi="Times New Roman" w:cs="Times New Roman"/>
          <w:b/>
          <w:bCs/>
          <w:sz w:val="26"/>
          <w:szCs w:val="26"/>
        </w:rPr>
        <w:t>“</w:t>
      </w:r>
      <w:r w:rsidRPr="00A07ACC">
        <w:rPr>
          <w:rFonts w:ascii="Times New Roman" w:hAnsi="Times New Roman" w:cs="Times New Roman"/>
          <w:color w:val="EE0000"/>
          <w:sz w:val="26"/>
          <w:szCs w:val="26"/>
        </w:rPr>
        <w:t xml:space="preserve">Ngày đóng tàu” (Date of Build) và áp dụng cho </w:t>
      </w:r>
      <w:r w:rsidRPr="00A07ACC">
        <w:rPr>
          <w:rFonts w:ascii="Times New Roman" w:hAnsi="Times New Roman" w:cs="Times New Roman"/>
          <w:color w:val="EE0000"/>
          <w:sz w:val="26"/>
          <w:szCs w:val="26"/>
        </w:rPr>
        <w:t>những</w:t>
      </w:r>
      <w:r w:rsidRPr="00A07ACC">
        <w:rPr>
          <w:rFonts w:ascii="Times New Roman" w:hAnsi="Times New Roman" w:cs="Times New Roman"/>
          <w:color w:val="EE0000"/>
          <w:sz w:val="26"/>
          <w:szCs w:val="26"/>
        </w:rPr>
        <w:t xml:space="preserve"> tàu được đóng từ ngày 01 tháng 7 năm 2026 trở đi.</w:t>
      </w:r>
    </w:p>
    <w:p w14:paraId="64FAE0F2"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Bảng tóm tắt – Tham khảo nhanh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5"/>
        <w:gridCol w:w="1530"/>
        <w:gridCol w:w="5187"/>
        <w:gridCol w:w="2008"/>
      </w:tblGrid>
      <w:tr w:rsidR="00A07ACC" w:rsidRPr="00A07ACC" w14:paraId="15A5B9AF" w14:textId="77777777" w:rsidTr="00203DC0">
        <w:trPr>
          <w:tblHeader/>
          <w:tblCellSpacing w:w="15" w:type="dxa"/>
        </w:trPr>
        <w:tc>
          <w:tcPr>
            <w:tcW w:w="1210" w:type="dxa"/>
            <w:vAlign w:val="center"/>
            <w:hideMark/>
          </w:tcPr>
          <w:p w14:paraId="0794918A" w14:textId="77777777" w:rsidR="00A07ACC" w:rsidRPr="00A07ACC" w:rsidRDefault="00A07ACC" w:rsidP="00A07ACC">
            <w:pPr>
              <w:spacing w:before="120" w:after="120"/>
              <w:jc w:val="center"/>
              <w:rPr>
                <w:rFonts w:ascii="Times New Roman" w:hAnsi="Times New Roman" w:cs="Times New Roman"/>
                <w:b/>
                <w:bCs/>
                <w:sz w:val="26"/>
                <w:szCs w:val="26"/>
              </w:rPr>
            </w:pPr>
            <w:r w:rsidRPr="00A07ACC">
              <w:rPr>
                <w:rFonts w:ascii="Times New Roman" w:hAnsi="Times New Roman" w:cs="Times New Roman"/>
                <w:b/>
                <w:bCs/>
                <w:sz w:val="26"/>
                <w:szCs w:val="26"/>
              </w:rPr>
              <w:t>Quy định</w:t>
            </w:r>
          </w:p>
        </w:tc>
        <w:tc>
          <w:tcPr>
            <w:tcW w:w="1500" w:type="dxa"/>
            <w:vAlign w:val="center"/>
            <w:hideMark/>
          </w:tcPr>
          <w:p w14:paraId="69A004A4" w14:textId="77777777" w:rsidR="00A07ACC" w:rsidRPr="00A07ACC" w:rsidRDefault="00A07ACC" w:rsidP="00A07ACC">
            <w:pPr>
              <w:spacing w:before="120" w:after="120"/>
              <w:jc w:val="center"/>
              <w:rPr>
                <w:rFonts w:ascii="Times New Roman" w:hAnsi="Times New Roman" w:cs="Times New Roman"/>
                <w:b/>
                <w:bCs/>
                <w:sz w:val="26"/>
                <w:szCs w:val="26"/>
              </w:rPr>
            </w:pPr>
            <w:r w:rsidRPr="00A07ACC">
              <w:rPr>
                <w:rFonts w:ascii="Times New Roman" w:hAnsi="Times New Roman" w:cs="Times New Roman"/>
                <w:b/>
                <w:bCs/>
                <w:sz w:val="26"/>
                <w:szCs w:val="26"/>
              </w:rPr>
              <w:t>Khu vực trọng tâm</w:t>
            </w:r>
          </w:p>
        </w:tc>
        <w:tc>
          <w:tcPr>
            <w:tcW w:w="5157" w:type="dxa"/>
            <w:vAlign w:val="center"/>
            <w:hideMark/>
          </w:tcPr>
          <w:p w14:paraId="3ADEF98B" w14:textId="77777777" w:rsidR="00A07ACC" w:rsidRPr="00A07ACC" w:rsidRDefault="00A07ACC" w:rsidP="00A07ACC">
            <w:pPr>
              <w:spacing w:before="120" w:after="120"/>
              <w:jc w:val="center"/>
              <w:rPr>
                <w:rFonts w:ascii="Times New Roman" w:hAnsi="Times New Roman" w:cs="Times New Roman"/>
                <w:b/>
                <w:bCs/>
                <w:sz w:val="26"/>
                <w:szCs w:val="26"/>
              </w:rPr>
            </w:pPr>
            <w:r w:rsidRPr="00A07ACC">
              <w:rPr>
                <w:rFonts w:ascii="Times New Roman" w:hAnsi="Times New Roman" w:cs="Times New Roman"/>
                <w:b/>
                <w:bCs/>
                <w:sz w:val="26"/>
                <w:szCs w:val="26"/>
              </w:rPr>
              <w:t>Cập nhật chính</w:t>
            </w:r>
          </w:p>
        </w:tc>
        <w:tc>
          <w:tcPr>
            <w:tcW w:w="0" w:type="auto"/>
            <w:vAlign w:val="center"/>
            <w:hideMark/>
          </w:tcPr>
          <w:p w14:paraId="17182DE7" w14:textId="77777777" w:rsidR="00A07ACC" w:rsidRPr="00A07ACC" w:rsidRDefault="00A07ACC" w:rsidP="00A07ACC">
            <w:pPr>
              <w:spacing w:before="120" w:after="120"/>
              <w:jc w:val="center"/>
              <w:rPr>
                <w:rFonts w:ascii="Times New Roman" w:hAnsi="Times New Roman" w:cs="Times New Roman"/>
                <w:b/>
                <w:bCs/>
                <w:sz w:val="26"/>
                <w:szCs w:val="26"/>
              </w:rPr>
            </w:pPr>
            <w:r w:rsidRPr="00A07ACC">
              <w:rPr>
                <w:rFonts w:ascii="Times New Roman" w:hAnsi="Times New Roman" w:cs="Times New Roman"/>
                <w:b/>
                <w:bCs/>
                <w:sz w:val="26"/>
                <w:szCs w:val="26"/>
              </w:rPr>
              <w:t>Hiệu lực</w:t>
            </w:r>
          </w:p>
        </w:tc>
      </w:tr>
      <w:tr w:rsidR="00A07ACC" w:rsidRPr="00A07ACC" w14:paraId="38003180" w14:textId="77777777" w:rsidTr="00203DC0">
        <w:trPr>
          <w:tblCellSpacing w:w="15" w:type="dxa"/>
        </w:trPr>
        <w:tc>
          <w:tcPr>
            <w:tcW w:w="1210" w:type="dxa"/>
            <w:vAlign w:val="center"/>
            <w:hideMark/>
          </w:tcPr>
          <w:p w14:paraId="11D11BFC"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UI SC73</w:t>
            </w:r>
          </w:p>
        </w:tc>
        <w:tc>
          <w:tcPr>
            <w:tcW w:w="1500" w:type="dxa"/>
            <w:vAlign w:val="center"/>
            <w:hideMark/>
          </w:tcPr>
          <w:p w14:paraId="1E2B48DF"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Không gian chở xe</w:t>
            </w:r>
          </w:p>
        </w:tc>
        <w:tc>
          <w:tcPr>
            <w:tcW w:w="5157" w:type="dxa"/>
            <w:vAlign w:val="center"/>
            <w:hideMark/>
          </w:tcPr>
          <w:p w14:paraId="7D9760EF" w14:textId="2DE86D39"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Không yêu cầu bình chữa cháy </w:t>
            </w:r>
            <w:r w:rsidR="00203DC0">
              <w:rPr>
                <w:rFonts w:ascii="Times New Roman" w:hAnsi="Times New Roman" w:cs="Times New Roman"/>
                <w:sz w:val="26"/>
                <w:szCs w:val="26"/>
              </w:rPr>
              <w:t>di động</w:t>
            </w:r>
            <w:r w:rsidRPr="00A07ACC">
              <w:rPr>
                <w:rFonts w:ascii="Times New Roman" w:hAnsi="Times New Roman" w:cs="Times New Roman"/>
                <w:sz w:val="26"/>
                <w:szCs w:val="26"/>
              </w:rPr>
              <w:t xml:space="preserve"> trên boong hở</w:t>
            </w:r>
          </w:p>
        </w:tc>
        <w:tc>
          <w:tcPr>
            <w:tcW w:w="0" w:type="auto"/>
            <w:vAlign w:val="center"/>
            <w:hideMark/>
          </w:tcPr>
          <w:p w14:paraId="336EAD6E"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01/07/2026</w:t>
            </w:r>
          </w:p>
        </w:tc>
      </w:tr>
      <w:tr w:rsidR="00A07ACC" w:rsidRPr="00A07ACC" w14:paraId="50E3A750" w14:textId="77777777" w:rsidTr="00203DC0">
        <w:trPr>
          <w:tblCellSpacing w:w="15" w:type="dxa"/>
        </w:trPr>
        <w:tc>
          <w:tcPr>
            <w:tcW w:w="1210" w:type="dxa"/>
            <w:vAlign w:val="center"/>
            <w:hideMark/>
          </w:tcPr>
          <w:p w14:paraId="7A77BB7C"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lastRenderedPageBreak/>
              <w:t>UI SC160</w:t>
            </w:r>
          </w:p>
        </w:tc>
        <w:tc>
          <w:tcPr>
            <w:tcW w:w="1500" w:type="dxa"/>
            <w:vAlign w:val="center"/>
            <w:hideMark/>
          </w:tcPr>
          <w:p w14:paraId="5E6088E5"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Hệ thống phát hiện</w:t>
            </w:r>
          </w:p>
        </w:tc>
        <w:tc>
          <w:tcPr>
            <w:tcW w:w="5157" w:type="dxa"/>
            <w:vAlign w:val="center"/>
            <w:hideMark/>
          </w:tcPr>
          <w:p w14:paraId="387094FB" w14:textId="0A9AEC76"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Không gian dịch vụ ngoài khu </w:t>
            </w:r>
            <w:r w:rsidR="00203DC0">
              <w:rPr>
                <w:rFonts w:ascii="Times New Roman" w:hAnsi="Times New Roman" w:cs="Times New Roman"/>
                <w:sz w:val="26"/>
                <w:szCs w:val="26"/>
              </w:rPr>
              <w:t>buồng ở</w:t>
            </w:r>
            <w:r w:rsidRPr="00A07ACC">
              <w:rPr>
                <w:rFonts w:ascii="Times New Roman" w:hAnsi="Times New Roman" w:cs="Times New Roman"/>
                <w:sz w:val="26"/>
                <w:szCs w:val="26"/>
              </w:rPr>
              <w:t xml:space="preserve"> (Phương pháp IIIC) có thể được miễn; buồng điều khiển thì không</w:t>
            </w:r>
          </w:p>
        </w:tc>
        <w:tc>
          <w:tcPr>
            <w:tcW w:w="0" w:type="auto"/>
            <w:vAlign w:val="center"/>
            <w:hideMark/>
          </w:tcPr>
          <w:p w14:paraId="52102837"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01/07/2026 (tàu đóng mới)</w:t>
            </w:r>
          </w:p>
        </w:tc>
      </w:tr>
    </w:tbl>
    <w:p w14:paraId="50BA6FD2" w14:textId="77777777" w:rsidR="00A07ACC" w:rsidRPr="00A07ACC" w:rsidRDefault="00A07ACC" w:rsidP="00A07ACC">
      <w:pPr>
        <w:spacing w:before="120" w:after="120"/>
        <w:jc w:val="both"/>
        <w:rPr>
          <w:rFonts w:ascii="Times New Roman" w:hAnsi="Times New Roman" w:cs="Times New Roman"/>
          <w:b/>
          <w:bCs/>
          <w:sz w:val="26"/>
          <w:szCs w:val="26"/>
        </w:rPr>
      </w:pPr>
      <w:r w:rsidRPr="00A07ACC">
        <w:rPr>
          <w:rFonts w:ascii="Times New Roman" w:hAnsi="Times New Roman" w:cs="Times New Roman"/>
          <w:b/>
          <w:bCs/>
          <w:sz w:val="26"/>
          <w:szCs w:val="26"/>
        </w:rPr>
        <w:t>Kết luận</w:t>
      </w:r>
    </w:p>
    <w:p w14:paraId="1B60BEFB" w14:textId="081934FF"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sz w:val="26"/>
          <w:szCs w:val="26"/>
        </w:rPr>
        <w:t xml:space="preserve">Những cập nhật này phản ánh xu hướng của ngành hàng hải hướng tới </w:t>
      </w:r>
      <w:r w:rsidRPr="00A07ACC">
        <w:rPr>
          <w:rFonts w:ascii="Times New Roman" w:hAnsi="Times New Roman" w:cs="Times New Roman"/>
          <w:b/>
          <w:bCs/>
          <w:sz w:val="26"/>
          <w:szCs w:val="26"/>
        </w:rPr>
        <w:t>“</w:t>
      </w:r>
      <w:r w:rsidRPr="00203DC0">
        <w:rPr>
          <w:rFonts w:ascii="Times New Roman" w:hAnsi="Times New Roman" w:cs="Times New Roman"/>
          <w:color w:val="EE0000"/>
          <w:sz w:val="26"/>
          <w:szCs w:val="26"/>
        </w:rPr>
        <w:t xml:space="preserve">tuân thủ thông minh” </w:t>
      </w:r>
      <w:r w:rsidRPr="00A07ACC">
        <w:rPr>
          <w:rFonts w:ascii="Times New Roman" w:hAnsi="Times New Roman" w:cs="Times New Roman"/>
          <w:sz w:val="26"/>
          <w:szCs w:val="26"/>
        </w:rPr>
        <w:t>– bảo đảm rằng các trang thiết bị an toàn được bố trí đúng nơi chúng phát huy hiệu quả cao nhất, thay vì áp dụng máy móc các yêu cầu chung. Đối với chủ tàu, nhà thiết kế và các nhà máy đóng tàu</w:t>
      </w:r>
      <w:r w:rsidR="00203DC0">
        <w:rPr>
          <w:rFonts w:ascii="Times New Roman" w:hAnsi="Times New Roman" w:cs="Times New Roman"/>
          <w:sz w:val="26"/>
          <w:szCs w:val="26"/>
        </w:rPr>
        <w:t xml:space="preserve"> thì</w:t>
      </w:r>
      <w:r w:rsidRPr="00A07ACC">
        <w:rPr>
          <w:rFonts w:ascii="Times New Roman" w:hAnsi="Times New Roman" w:cs="Times New Roman"/>
          <w:sz w:val="26"/>
          <w:szCs w:val="26"/>
        </w:rPr>
        <w:t xml:space="preserve"> </w:t>
      </w:r>
      <w:r w:rsidRPr="00203DC0">
        <w:rPr>
          <w:rFonts w:ascii="Times New Roman" w:hAnsi="Times New Roman" w:cs="Times New Roman"/>
          <w:color w:val="EE0000"/>
          <w:sz w:val="26"/>
          <w:szCs w:val="26"/>
        </w:rPr>
        <w:t xml:space="preserve">mốc thời gian tháng 7 năm 2026 </w:t>
      </w:r>
      <w:r w:rsidRPr="00A07ACC">
        <w:rPr>
          <w:rFonts w:ascii="Times New Roman" w:hAnsi="Times New Roman" w:cs="Times New Roman"/>
          <w:sz w:val="26"/>
          <w:szCs w:val="26"/>
        </w:rPr>
        <w:t>là một cột mốc đặc biệt quan trọng. Việc tích hợp các diễn giải này ngay từ giai đoạn thiết kế của các dự án sắp tới sẽ là yếu tố then chốt để tránh các chi phí cải hoán tốn kém hoặc chậm trễ trong quá trình cấp chứng chỉ cho thế hệ tàu mới.</w:t>
      </w:r>
    </w:p>
    <w:p w14:paraId="698B680A" w14:textId="77777777" w:rsidR="00A07ACC" w:rsidRPr="00A07ACC" w:rsidRDefault="00A07ACC" w:rsidP="00A07ACC">
      <w:pPr>
        <w:spacing w:before="120" w:after="120"/>
        <w:jc w:val="both"/>
        <w:rPr>
          <w:rFonts w:ascii="Times New Roman" w:hAnsi="Times New Roman" w:cs="Times New Roman"/>
          <w:sz w:val="26"/>
          <w:szCs w:val="26"/>
        </w:rPr>
      </w:pPr>
      <w:r w:rsidRPr="00A07ACC">
        <w:rPr>
          <w:rFonts w:ascii="Times New Roman" w:hAnsi="Times New Roman" w:cs="Times New Roman"/>
          <w:i/>
          <w:iCs/>
          <w:sz w:val="26"/>
          <w:szCs w:val="26"/>
        </w:rPr>
        <w:t>Để biết thêm thông tin, vui lòng nhấp vào hình ảnh bên dưới để tải về tài liệu SC73 (Bảo vệ chống cháy cho boong hở) và SC160 (Kết cấu theo Phương pháp IIIC).</w:t>
      </w:r>
    </w:p>
    <w:p w14:paraId="2A5FF1FA" w14:textId="233E9E8D" w:rsidR="00C13E10" w:rsidRDefault="00203DC0">
      <w:hyperlink r:id="rId7" w:history="1">
        <w:r w:rsidRPr="000A6009">
          <w:rPr>
            <w:rStyle w:val="Hyperlink"/>
          </w:rPr>
          <w:t>https://maritimecyprus.com/wp-content/uploads/2026/01/SC73-SC160.pdf</w:t>
        </w:r>
      </w:hyperlink>
    </w:p>
    <w:p w14:paraId="47F17944" w14:textId="28E81D9A" w:rsidR="00203DC0" w:rsidRDefault="00203DC0" w:rsidP="00203DC0">
      <w:pPr>
        <w:jc w:val="center"/>
      </w:pPr>
      <w:r>
        <w:t>---------------------------------------------</w:t>
      </w:r>
    </w:p>
    <w:sectPr w:rsidR="00203DC0" w:rsidSect="00A07ACC">
      <w:pgSz w:w="12240" w:h="15840"/>
      <w:pgMar w:top="99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6867"/>
    <w:multiLevelType w:val="multilevel"/>
    <w:tmpl w:val="15D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04823"/>
    <w:multiLevelType w:val="multilevel"/>
    <w:tmpl w:val="4AD8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678FA"/>
    <w:multiLevelType w:val="multilevel"/>
    <w:tmpl w:val="DDF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A13C0"/>
    <w:multiLevelType w:val="multilevel"/>
    <w:tmpl w:val="D136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84590">
    <w:abstractNumId w:val="2"/>
  </w:num>
  <w:num w:numId="2" w16cid:durableId="1290666425">
    <w:abstractNumId w:val="3"/>
  </w:num>
  <w:num w:numId="3" w16cid:durableId="1834712339">
    <w:abstractNumId w:val="0"/>
  </w:num>
  <w:num w:numId="4" w16cid:durableId="44269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CC"/>
    <w:rsid w:val="000501D0"/>
    <w:rsid w:val="00203DC0"/>
    <w:rsid w:val="00511837"/>
    <w:rsid w:val="00A07AC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115F"/>
  <w15:chartTrackingRefBased/>
  <w15:docId w15:val="{CC01BD05-4150-48A3-AC8D-751CDDF8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ACC"/>
    <w:rPr>
      <w:rFonts w:eastAsiaTheme="majorEastAsia" w:cstheme="majorBidi"/>
      <w:color w:val="272727" w:themeColor="text1" w:themeTint="D8"/>
    </w:rPr>
  </w:style>
  <w:style w:type="paragraph" w:styleId="Title">
    <w:name w:val="Title"/>
    <w:basedOn w:val="Normal"/>
    <w:next w:val="Normal"/>
    <w:link w:val="TitleChar"/>
    <w:uiPriority w:val="10"/>
    <w:qFormat/>
    <w:rsid w:val="00A0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ACC"/>
    <w:pPr>
      <w:spacing w:before="160"/>
      <w:jc w:val="center"/>
    </w:pPr>
    <w:rPr>
      <w:i/>
      <w:iCs/>
      <w:color w:val="404040" w:themeColor="text1" w:themeTint="BF"/>
    </w:rPr>
  </w:style>
  <w:style w:type="character" w:customStyle="1" w:styleId="QuoteChar">
    <w:name w:val="Quote Char"/>
    <w:basedOn w:val="DefaultParagraphFont"/>
    <w:link w:val="Quote"/>
    <w:uiPriority w:val="29"/>
    <w:rsid w:val="00A07ACC"/>
    <w:rPr>
      <w:i/>
      <w:iCs/>
      <w:color w:val="404040" w:themeColor="text1" w:themeTint="BF"/>
    </w:rPr>
  </w:style>
  <w:style w:type="paragraph" w:styleId="ListParagraph">
    <w:name w:val="List Paragraph"/>
    <w:basedOn w:val="Normal"/>
    <w:uiPriority w:val="34"/>
    <w:qFormat/>
    <w:rsid w:val="00A07ACC"/>
    <w:pPr>
      <w:ind w:left="720"/>
      <w:contextualSpacing/>
    </w:pPr>
  </w:style>
  <w:style w:type="character" w:styleId="IntenseEmphasis">
    <w:name w:val="Intense Emphasis"/>
    <w:basedOn w:val="DefaultParagraphFont"/>
    <w:uiPriority w:val="21"/>
    <w:qFormat/>
    <w:rsid w:val="00A07ACC"/>
    <w:rPr>
      <w:i/>
      <w:iCs/>
      <w:color w:val="0F4761" w:themeColor="accent1" w:themeShade="BF"/>
    </w:rPr>
  </w:style>
  <w:style w:type="paragraph" w:styleId="IntenseQuote">
    <w:name w:val="Intense Quote"/>
    <w:basedOn w:val="Normal"/>
    <w:next w:val="Normal"/>
    <w:link w:val="IntenseQuoteChar"/>
    <w:uiPriority w:val="30"/>
    <w:qFormat/>
    <w:rsid w:val="00A0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ACC"/>
    <w:rPr>
      <w:i/>
      <w:iCs/>
      <w:color w:val="0F4761" w:themeColor="accent1" w:themeShade="BF"/>
    </w:rPr>
  </w:style>
  <w:style w:type="character" w:styleId="IntenseReference">
    <w:name w:val="Intense Reference"/>
    <w:basedOn w:val="DefaultParagraphFont"/>
    <w:uiPriority w:val="32"/>
    <w:qFormat/>
    <w:rsid w:val="00A07ACC"/>
    <w:rPr>
      <w:b/>
      <w:bCs/>
      <w:smallCaps/>
      <w:color w:val="0F4761" w:themeColor="accent1" w:themeShade="BF"/>
      <w:spacing w:val="5"/>
    </w:rPr>
  </w:style>
  <w:style w:type="character" w:styleId="Hyperlink">
    <w:name w:val="Hyperlink"/>
    <w:basedOn w:val="DefaultParagraphFont"/>
    <w:uiPriority w:val="99"/>
    <w:unhideWhenUsed/>
    <w:rsid w:val="00A07ACC"/>
    <w:rPr>
      <w:color w:val="467886" w:themeColor="hyperlink"/>
      <w:u w:val="single"/>
    </w:rPr>
  </w:style>
  <w:style w:type="character" w:styleId="UnresolvedMention">
    <w:name w:val="Unresolved Mention"/>
    <w:basedOn w:val="DefaultParagraphFont"/>
    <w:uiPriority w:val="99"/>
    <w:semiHidden/>
    <w:unhideWhenUsed/>
    <w:rsid w:val="00A0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1/SC73-SC16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2026-02-01T03:41:00Z</dcterms:created>
  <dcterms:modified xsi:type="dcterms:W3CDTF">2026-02-01T03:54:00Z</dcterms:modified>
</cp:coreProperties>
</file>