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954F" w14:textId="7F73231C" w:rsidR="008F1D10" w:rsidRPr="008F1D10" w:rsidRDefault="008F1D10" w:rsidP="008F1D10">
      <w:pPr>
        <w:spacing w:line="240" w:lineRule="auto"/>
        <w:jc w:val="center"/>
        <w:rPr>
          <w:rFonts w:ascii="Times New Roman" w:hAnsi="Times New Roman" w:cs="Times New Roman"/>
          <w:b/>
          <w:bCs/>
          <w:color w:val="7030A0"/>
          <w:sz w:val="40"/>
          <w:szCs w:val="40"/>
        </w:rPr>
      </w:pPr>
      <w:r w:rsidRPr="00BC6999">
        <w:rPr>
          <w:rFonts w:ascii="Times New Roman" w:hAnsi="Times New Roman" w:cs="Times New Roman"/>
          <w:b/>
          <w:bCs/>
          <w:color w:val="7030A0"/>
          <w:sz w:val="40"/>
          <w:szCs w:val="40"/>
        </w:rPr>
        <w:t>Buôn lậu ma túy và các biện pháp phòng ngừa trong ngành hàng hải</w:t>
      </w:r>
    </w:p>
    <w:p w14:paraId="29E5095F" w14:textId="77777777" w:rsidR="008F1D10" w:rsidRPr="008F1D10" w:rsidRDefault="008F1D10" w:rsidP="008F1D10">
      <w:pPr>
        <w:jc w:val="right"/>
      </w:pPr>
      <w:r w:rsidRPr="008F1D10">
        <w:t> </w:t>
      </w:r>
      <w:hyperlink r:id="rId5" w:history="1">
        <w:r w:rsidRPr="008F1D10">
          <w:rPr>
            <w:rStyle w:val="Hyperlink"/>
            <w:b/>
            <w:bCs/>
          </w:rPr>
          <w:t>maritimecyprus</w:t>
        </w:r>
      </w:hyperlink>
    </w:p>
    <w:p w14:paraId="4215490B" w14:textId="596C90D9" w:rsidR="008F1D10" w:rsidRPr="008F1D10" w:rsidRDefault="008F1D10" w:rsidP="008F1D10">
      <w:r w:rsidRPr="008F1D10">
        <w:drawing>
          <wp:inline distT="0" distB="0" distL="0" distR="0" wp14:anchorId="340BC286" wp14:editId="716F646D">
            <wp:extent cx="5943600" cy="3682365"/>
            <wp:effectExtent l="0" t="0" r="0" b="0"/>
            <wp:docPr id="1239989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82365"/>
                    </a:xfrm>
                    <a:prstGeom prst="rect">
                      <a:avLst/>
                    </a:prstGeom>
                    <a:noFill/>
                    <a:ln>
                      <a:noFill/>
                    </a:ln>
                  </pic:spPr>
                </pic:pic>
              </a:graphicData>
            </a:graphic>
          </wp:inline>
        </w:drawing>
      </w:r>
    </w:p>
    <w:p w14:paraId="7F563D53" w14:textId="13BFEC89" w:rsidR="008F1D10" w:rsidRP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Hoạt động buôn lậu ma túy trên toàn cầu đang gia tăng. Nhu cầu đối với các chất ma túy bất hợp pháp ngày càng cao, cùng với khoảng cách địa lý lớn giữa các khu vực sản xuất và người sử dụng cuối, thường dẫn đến việc </w:t>
      </w:r>
      <w:r>
        <w:rPr>
          <w:rFonts w:ascii="Times New Roman" w:hAnsi="Times New Roman" w:cs="Times New Roman"/>
          <w:sz w:val="26"/>
          <w:szCs w:val="26"/>
        </w:rPr>
        <w:t xml:space="preserve">các </w:t>
      </w:r>
      <w:r w:rsidRPr="008F1D10">
        <w:rPr>
          <w:rFonts w:ascii="Times New Roman" w:hAnsi="Times New Roman" w:cs="Times New Roman"/>
          <w:sz w:val="26"/>
          <w:szCs w:val="26"/>
        </w:rPr>
        <w:t xml:space="preserve">tàu buôn bị lợi dụng (một cách vô tình) để </w:t>
      </w:r>
      <w:r>
        <w:rPr>
          <w:rFonts w:ascii="Times New Roman" w:hAnsi="Times New Roman" w:cs="Times New Roman"/>
          <w:sz w:val="26"/>
          <w:szCs w:val="26"/>
        </w:rPr>
        <w:t>giúp</w:t>
      </w:r>
      <w:r w:rsidRPr="008F1D10">
        <w:rPr>
          <w:rFonts w:ascii="Times New Roman" w:hAnsi="Times New Roman" w:cs="Times New Roman"/>
          <w:sz w:val="26"/>
          <w:szCs w:val="26"/>
        </w:rPr>
        <w:t xml:space="preserve"> cho các đường dây buôn lậu ma túy tiếp cận các cảng trên khắp thế giới.</w:t>
      </w:r>
    </w:p>
    <w:p w14:paraId="2A7BA2A6" w14:textId="44B8EA79" w:rsidR="008F1D10" w:rsidRP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Ngoài ra, trong vài năm gần đây, đã xuất hiện sự gia tăng đáng báo động về số vụ tai nạn trên biển mà ma túy là yếu tố gây ra. Ở một số khu vực trên thế giới và trên một số loại tàu nhất định, việc lạm dụng ma túy đang trở thành một mối nguy </w:t>
      </w:r>
      <w:r>
        <w:rPr>
          <w:rFonts w:ascii="Times New Roman" w:hAnsi="Times New Roman" w:cs="Times New Roman"/>
          <w:sz w:val="26"/>
          <w:szCs w:val="26"/>
        </w:rPr>
        <w:t xml:space="preserve">hiểm </w:t>
      </w:r>
      <w:r w:rsidRPr="008F1D10">
        <w:rPr>
          <w:rFonts w:ascii="Times New Roman" w:hAnsi="Times New Roman" w:cs="Times New Roman"/>
          <w:sz w:val="26"/>
          <w:szCs w:val="26"/>
        </w:rPr>
        <w:t>nghiêm trọng đối với an toàn hàng hải.</w:t>
      </w:r>
    </w:p>
    <w:p w14:paraId="0FC36339" w14:textId="3ACED240" w:rsidR="00055529" w:rsidRPr="00055529" w:rsidRDefault="00055529" w:rsidP="00055529">
      <w:pPr>
        <w:spacing w:before="120" w:after="120"/>
        <w:jc w:val="both"/>
        <w:rPr>
          <w:rFonts w:ascii="Times New Roman" w:hAnsi="Times New Roman" w:cs="Times New Roman"/>
          <w:sz w:val="26"/>
          <w:szCs w:val="26"/>
        </w:rPr>
      </w:pPr>
      <w:r w:rsidRPr="00055529">
        <w:rPr>
          <w:rFonts w:ascii="Times New Roman" w:hAnsi="Times New Roman" w:cs="Times New Roman"/>
          <w:sz w:val="26"/>
          <w:szCs w:val="26"/>
        </w:rPr>
        <w:t xml:space="preserve">Bản thông tin này cung cấp </w:t>
      </w:r>
      <w:r w:rsidRPr="00055529">
        <w:rPr>
          <w:rFonts w:ascii="Times New Roman" w:hAnsi="Times New Roman" w:cs="Times New Roman"/>
          <w:b/>
          <w:bCs/>
          <w:sz w:val="26"/>
          <w:szCs w:val="26"/>
        </w:rPr>
        <w:t>hướng dẫn và khuyến nghị chung cho ngành hàng hải</w:t>
      </w:r>
      <w:r w:rsidRPr="00055529">
        <w:rPr>
          <w:rFonts w:ascii="Times New Roman" w:hAnsi="Times New Roman" w:cs="Times New Roman"/>
          <w:sz w:val="26"/>
          <w:szCs w:val="26"/>
        </w:rPr>
        <w:t xml:space="preserve"> trong việc xây dựng và triển khai các biện pháp kiểm soát ma túy và rượu bia. Tài liệu đưa ra định hướng về cách xây dựng chính sách </w:t>
      </w:r>
      <w:r>
        <w:rPr>
          <w:rFonts w:ascii="Times New Roman" w:hAnsi="Times New Roman" w:cs="Times New Roman"/>
          <w:sz w:val="26"/>
          <w:szCs w:val="26"/>
        </w:rPr>
        <w:t xml:space="preserve">chống </w:t>
      </w:r>
      <w:r w:rsidRPr="00055529">
        <w:rPr>
          <w:rFonts w:ascii="Times New Roman" w:hAnsi="Times New Roman" w:cs="Times New Roman"/>
          <w:sz w:val="26"/>
          <w:szCs w:val="26"/>
        </w:rPr>
        <w:t>ma túy và rượu bia, các tiêu chuẩn mà người khai thác có thể tham chiếu, cũng như gợi ý các quy trình hiệu quả trên tàu, phù hợp với các tiêu chuẩn và chính sách hiện hành.</w:t>
      </w:r>
    </w:p>
    <w:p w14:paraId="55C22A78" w14:textId="1E1E23EA" w:rsidR="00055529" w:rsidRPr="00055529" w:rsidRDefault="00055529" w:rsidP="00055529">
      <w:pPr>
        <w:spacing w:before="120" w:after="120"/>
        <w:jc w:val="both"/>
        <w:rPr>
          <w:rFonts w:ascii="Times New Roman" w:hAnsi="Times New Roman" w:cs="Times New Roman"/>
          <w:sz w:val="26"/>
          <w:szCs w:val="26"/>
        </w:rPr>
      </w:pPr>
      <w:r w:rsidRPr="00055529">
        <w:rPr>
          <w:rFonts w:ascii="Times New Roman" w:hAnsi="Times New Roman" w:cs="Times New Roman"/>
          <w:sz w:val="26"/>
          <w:szCs w:val="26"/>
        </w:rPr>
        <w:t xml:space="preserve">Tài liệu bao gồm nội dung về </w:t>
      </w:r>
      <w:r w:rsidR="00BC6999">
        <w:rPr>
          <w:rFonts w:ascii="Times New Roman" w:hAnsi="Times New Roman" w:cs="Times New Roman"/>
          <w:sz w:val="26"/>
          <w:szCs w:val="26"/>
        </w:rPr>
        <w:t>thử</w:t>
      </w:r>
      <w:r w:rsidRPr="00055529">
        <w:rPr>
          <w:rFonts w:ascii="Times New Roman" w:hAnsi="Times New Roman" w:cs="Times New Roman"/>
          <w:sz w:val="26"/>
          <w:szCs w:val="26"/>
        </w:rPr>
        <w:t xml:space="preserve"> trong môi trường làm việc, nhưng không đề cập đến xét nghiệm liên quan đến điều trị và phục hồi đối với các trường hợp đã được xác định là phụ thuộc chất gây nghiện, cũng như xét nghiệm trước khi quay trở lại làm việc.</w:t>
      </w:r>
    </w:p>
    <w:p w14:paraId="14E4103E" w14:textId="77777777" w:rsidR="00055529" w:rsidRPr="00055529" w:rsidRDefault="00055529" w:rsidP="00055529">
      <w:pPr>
        <w:spacing w:before="120" w:after="120"/>
        <w:jc w:val="both"/>
        <w:rPr>
          <w:rFonts w:ascii="Times New Roman" w:hAnsi="Times New Roman" w:cs="Times New Roman"/>
          <w:sz w:val="26"/>
          <w:szCs w:val="26"/>
        </w:rPr>
      </w:pPr>
      <w:r w:rsidRPr="00055529">
        <w:rPr>
          <w:rFonts w:ascii="Times New Roman" w:hAnsi="Times New Roman" w:cs="Times New Roman"/>
          <w:sz w:val="26"/>
          <w:szCs w:val="26"/>
        </w:rPr>
        <w:lastRenderedPageBreak/>
        <w:t xml:space="preserve">Bản thông tin này sẽ hữu ích cho bộ phận Nhân sự, </w:t>
      </w:r>
      <w:proofErr w:type="gramStart"/>
      <w:r w:rsidRPr="00055529">
        <w:rPr>
          <w:rFonts w:ascii="Times New Roman" w:hAnsi="Times New Roman" w:cs="Times New Roman"/>
          <w:sz w:val="26"/>
          <w:szCs w:val="26"/>
        </w:rPr>
        <w:t>An</w:t>
      </w:r>
      <w:proofErr w:type="gramEnd"/>
      <w:r w:rsidRPr="00055529">
        <w:rPr>
          <w:rFonts w:ascii="Times New Roman" w:hAnsi="Times New Roman" w:cs="Times New Roman"/>
          <w:sz w:val="26"/>
          <w:szCs w:val="26"/>
        </w:rPr>
        <w:t xml:space="preserve"> toàn – Sức khỏe – </w:t>
      </w:r>
      <w:proofErr w:type="gramStart"/>
      <w:r w:rsidRPr="00055529">
        <w:rPr>
          <w:rFonts w:ascii="Times New Roman" w:hAnsi="Times New Roman" w:cs="Times New Roman"/>
          <w:sz w:val="26"/>
          <w:szCs w:val="26"/>
        </w:rPr>
        <w:t>An</w:t>
      </w:r>
      <w:proofErr w:type="gramEnd"/>
      <w:r w:rsidRPr="00055529">
        <w:rPr>
          <w:rFonts w:ascii="Times New Roman" w:hAnsi="Times New Roman" w:cs="Times New Roman"/>
          <w:sz w:val="26"/>
          <w:szCs w:val="26"/>
        </w:rPr>
        <w:t xml:space="preserve"> ninh – Môi trường (HSSE), và những cá nhân chịu trách nhiệm xây dựng, triển khai chính sách, cũng như đảm bảo các tiêu chuẩn và quy trình liên quan được tuân thủ.</w:t>
      </w:r>
    </w:p>
    <w:p w14:paraId="0C4FDB6A" w14:textId="77777777" w:rsidR="00055529" w:rsidRPr="00055529" w:rsidRDefault="00055529" w:rsidP="00055529">
      <w:pPr>
        <w:spacing w:before="120" w:after="120"/>
        <w:jc w:val="both"/>
        <w:rPr>
          <w:rFonts w:ascii="Times New Roman" w:hAnsi="Times New Roman" w:cs="Times New Roman"/>
          <w:sz w:val="26"/>
          <w:szCs w:val="26"/>
        </w:rPr>
      </w:pPr>
      <w:r w:rsidRPr="00055529">
        <w:rPr>
          <w:rFonts w:ascii="Times New Roman" w:hAnsi="Times New Roman" w:cs="Times New Roman"/>
          <w:sz w:val="26"/>
          <w:szCs w:val="26"/>
        </w:rPr>
        <w:t xml:space="preserve">Tài liệu này </w:t>
      </w:r>
      <w:r w:rsidRPr="00055529">
        <w:rPr>
          <w:rFonts w:ascii="Times New Roman" w:hAnsi="Times New Roman" w:cs="Times New Roman"/>
          <w:color w:val="EE0000"/>
          <w:sz w:val="26"/>
          <w:szCs w:val="26"/>
        </w:rPr>
        <w:t xml:space="preserve">thay thế Hướng dẫn của OCIMF về Kiểm soát Ma túy và Rượu bia trên tàu </w:t>
      </w:r>
      <w:r w:rsidRPr="00055529">
        <w:rPr>
          <w:rFonts w:ascii="Times New Roman" w:hAnsi="Times New Roman" w:cs="Times New Roman"/>
          <w:sz w:val="26"/>
          <w:szCs w:val="26"/>
        </w:rPr>
        <w:t xml:space="preserve">(ấn bản thứ nhất, năm 1995). </w:t>
      </w:r>
      <w:r w:rsidRPr="00055529">
        <w:rPr>
          <w:rFonts w:ascii="Times New Roman" w:hAnsi="Times New Roman" w:cs="Times New Roman"/>
          <w:color w:val="EE0000"/>
          <w:sz w:val="26"/>
          <w:szCs w:val="26"/>
        </w:rPr>
        <w:t>Ấn bản thứ hai đã được rút lại vào năm 2020.</w:t>
      </w:r>
    </w:p>
    <w:p w14:paraId="6AD18ACD" w14:textId="77777777" w:rsidR="008F1D10" w:rsidRDefault="008F1D10" w:rsidP="008F1D10">
      <w:pPr>
        <w:spacing w:before="120" w:after="120"/>
        <w:jc w:val="both"/>
        <w:rPr>
          <w:rFonts w:ascii="Times New Roman" w:hAnsi="Times New Roman" w:cs="Times New Roman"/>
          <w:b/>
          <w:bCs/>
          <w:sz w:val="26"/>
          <w:szCs w:val="26"/>
        </w:rPr>
      </w:pPr>
      <w:r w:rsidRPr="008F1D10">
        <w:drawing>
          <wp:inline distT="0" distB="0" distL="0" distR="0" wp14:anchorId="26E3CD98" wp14:editId="0C52FB57">
            <wp:extent cx="5943600" cy="3190240"/>
            <wp:effectExtent l="0" t="0" r="0" b="0"/>
            <wp:docPr id="6735970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90240"/>
                    </a:xfrm>
                    <a:prstGeom prst="rect">
                      <a:avLst/>
                    </a:prstGeom>
                    <a:noFill/>
                    <a:ln>
                      <a:noFill/>
                    </a:ln>
                  </pic:spPr>
                </pic:pic>
              </a:graphicData>
            </a:graphic>
          </wp:inline>
        </w:drawing>
      </w:r>
    </w:p>
    <w:p w14:paraId="55394831" w14:textId="1DAC01E6" w:rsidR="008F1D10" w:rsidRPr="008F1D10" w:rsidRDefault="008F1D10" w:rsidP="008F1D10">
      <w:pPr>
        <w:spacing w:before="120" w:after="120"/>
        <w:jc w:val="both"/>
        <w:rPr>
          <w:rFonts w:ascii="Times New Roman" w:hAnsi="Times New Roman" w:cs="Times New Roman"/>
          <w:b/>
          <w:bCs/>
          <w:sz w:val="26"/>
          <w:szCs w:val="26"/>
        </w:rPr>
      </w:pPr>
      <w:r w:rsidRPr="008F1D10">
        <w:rPr>
          <w:rFonts w:ascii="Times New Roman" w:hAnsi="Times New Roman" w:cs="Times New Roman"/>
          <w:b/>
          <w:bCs/>
          <w:sz w:val="26"/>
          <w:szCs w:val="26"/>
        </w:rPr>
        <w:t>Rủi ro liên quan đến ma túy và rượu/bia</w:t>
      </w:r>
    </w:p>
    <w:p w14:paraId="1193597E" w14:textId="128ED6FE" w:rsidR="008F1D10" w:rsidRP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Việc sử dụng ma túy và rượu/bia có thể dẫn đến những vấn đề nghiêm trọng về sức khỏe, </w:t>
      </w:r>
      <w:proofErr w:type="gramStart"/>
      <w:r w:rsidRPr="008F1D10">
        <w:rPr>
          <w:rFonts w:ascii="Times New Roman" w:hAnsi="Times New Roman" w:cs="Times New Roman"/>
          <w:sz w:val="26"/>
          <w:szCs w:val="26"/>
        </w:rPr>
        <w:t>an</w:t>
      </w:r>
      <w:proofErr w:type="gramEnd"/>
      <w:r w:rsidRPr="008F1D10">
        <w:rPr>
          <w:rFonts w:ascii="Times New Roman" w:hAnsi="Times New Roman" w:cs="Times New Roman"/>
          <w:sz w:val="26"/>
          <w:szCs w:val="26"/>
        </w:rPr>
        <w:t xml:space="preserve"> toàn và phúc lợi</w:t>
      </w:r>
      <w:r>
        <w:rPr>
          <w:rFonts w:ascii="Times New Roman" w:hAnsi="Times New Roman" w:cs="Times New Roman"/>
          <w:sz w:val="26"/>
          <w:szCs w:val="26"/>
        </w:rPr>
        <w:t xml:space="preserve"> của</w:t>
      </w:r>
      <w:r w:rsidRPr="008F1D10">
        <w:rPr>
          <w:rFonts w:ascii="Times New Roman" w:hAnsi="Times New Roman" w:cs="Times New Roman"/>
          <w:sz w:val="26"/>
          <w:szCs w:val="26"/>
        </w:rPr>
        <w:t xml:space="preserve"> </w:t>
      </w:r>
      <w:r w:rsidRPr="008F1D10">
        <w:rPr>
          <w:rFonts w:ascii="Times New Roman" w:hAnsi="Times New Roman" w:cs="Times New Roman"/>
          <w:sz w:val="26"/>
          <w:szCs w:val="26"/>
        </w:rPr>
        <w:t>cá nhân. Các kỹ năng như phán đoán, thời gian phản ứng, phối hợp</w:t>
      </w:r>
      <w:r w:rsidRPr="008F1D10">
        <w:rPr>
          <w:rFonts w:ascii="Times New Roman" w:hAnsi="Times New Roman" w:cs="Times New Roman"/>
          <w:b/>
          <w:bCs/>
          <w:sz w:val="26"/>
          <w:szCs w:val="26"/>
        </w:rPr>
        <w:t xml:space="preserve"> </w:t>
      </w:r>
      <w:r w:rsidRPr="008F1D10">
        <w:rPr>
          <w:rFonts w:ascii="Times New Roman" w:hAnsi="Times New Roman" w:cs="Times New Roman"/>
          <w:sz w:val="26"/>
          <w:szCs w:val="26"/>
        </w:rPr>
        <w:t xml:space="preserve">vận động, nhận thức và </w:t>
      </w:r>
      <w:r>
        <w:rPr>
          <w:rFonts w:ascii="Times New Roman" w:hAnsi="Times New Roman" w:cs="Times New Roman"/>
          <w:sz w:val="26"/>
          <w:szCs w:val="26"/>
        </w:rPr>
        <w:t>trao đổi</w:t>
      </w:r>
      <w:r w:rsidRPr="008F1D10">
        <w:rPr>
          <w:rFonts w:ascii="Times New Roman" w:hAnsi="Times New Roman" w:cs="Times New Roman"/>
          <w:sz w:val="26"/>
          <w:szCs w:val="26"/>
        </w:rPr>
        <w:t xml:space="preserve"> đều có thể bị suy giảm, làm giảm năng lực làm việc và tăng nguy cơ xảy ra sự cố, tai nạn tại nơi làm việc. Năng suất, hiệu quả làm việc và hành vi ứng xử cũng có thể bị ảnh hưởng, từ đó tác động đến việc làm và kỷ luật lao động.</w:t>
      </w:r>
    </w:p>
    <w:p w14:paraId="5CDCFA82" w14:textId="77777777" w:rsidR="008F1D10" w:rsidRP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Cần lưu ý rằng, sự suy giảm năng lực tại nơi làm việc không chỉ do ma túy hay rượu/bia gây ra, mà còn có thể bắt nguồn từ các yếu tố khác, bao gồm nhưng không giới hạn:</w:t>
      </w:r>
    </w:p>
    <w:p w14:paraId="24832EDC" w14:textId="77777777" w:rsidR="008F1D10" w:rsidRPr="008F1D10" w:rsidRDefault="008F1D10" w:rsidP="008F1D10">
      <w:pPr>
        <w:numPr>
          <w:ilvl w:val="0"/>
          <w:numId w:val="2"/>
        </w:num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Mệt mỏi, thiếu ngủ/nghỉ </w:t>
      </w:r>
      <w:proofErr w:type="gramStart"/>
      <w:r w:rsidRPr="008F1D10">
        <w:rPr>
          <w:rFonts w:ascii="Times New Roman" w:hAnsi="Times New Roman" w:cs="Times New Roman"/>
          <w:sz w:val="26"/>
          <w:szCs w:val="26"/>
        </w:rPr>
        <w:t>ngơi;</w:t>
      </w:r>
      <w:proofErr w:type="gramEnd"/>
    </w:p>
    <w:p w14:paraId="57A97B66" w14:textId="77777777" w:rsidR="008F1D10" w:rsidRPr="008F1D10" w:rsidRDefault="008F1D10" w:rsidP="008F1D10">
      <w:pPr>
        <w:numPr>
          <w:ilvl w:val="0"/>
          <w:numId w:val="2"/>
        </w:num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Căng thẳng, lo </w:t>
      </w:r>
      <w:proofErr w:type="gramStart"/>
      <w:r w:rsidRPr="008F1D10">
        <w:rPr>
          <w:rFonts w:ascii="Times New Roman" w:hAnsi="Times New Roman" w:cs="Times New Roman"/>
          <w:sz w:val="26"/>
          <w:szCs w:val="26"/>
        </w:rPr>
        <w:t>âu;</w:t>
      </w:r>
      <w:proofErr w:type="gramEnd"/>
    </w:p>
    <w:p w14:paraId="1BEFCADA" w14:textId="77777777" w:rsidR="008F1D10" w:rsidRPr="008F1D10" w:rsidRDefault="008F1D10" w:rsidP="008F1D10">
      <w:pPr>
        <w:numPr>
          <w:ilvl w:val="0"/>
          <w:numId w:val="2"/>
        </w:num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Áp lực từ gia đình hoặc công </w:t>
      </w:r>
      <w:proofErr w:type="gramStart"/>
      <w:r w:rsidRPr="008F1D10">
        <w:rPr>
          <w:rFonts w:ascii="Times New Roman" w:hAnsi="Times New Roman" w:cs="Times New Roman"/>
          <w:sz w:val="26"/>
          <w:szCs w:val="26"/>
        </w:rPr>
        <w:t>việc;</w:t>
      </w:r>
      <w:proofErr w:type="gramEnd"/>
    </w:p>
    <w:p w14:paraId="5945DC05" w14:textId="77777777" w:rsidR="008F1D10" w:rsidRPr="008F1D10" w:rsidRDefault="008F1D10" w:rsidP="008F1D10">
      <w:pPr>
        <w:numPr>
          <w:ilvl w:val="0"/>
          <w:numId w:val="2"/>
        </w:num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Tình trạng sức </w:t>
      </w:r>
      <w:proofErr w:type="gramStart"/>
      <w:r w:rsidRPr="008F1D10">
        <w:rPr>
          <w:rFonts w:ascii="Times New Roman" w:hAnsi="Times New Roman" w:cs="Times New Roman"/>
          <w:sz w:val="26"/>
          <w:szCs w:val="26"/>
        </w:rPr>
        <w:t>khỏe;</w:t>
      </w:r>
      <w:proofErr w:type="gramEnd"/>
    </w:p>
    <w:p w14:paraId="681688F3" w14:textId="77777777" w:rsidR="008F1D10" w:rsidRPr="008F1D10" w:rsidRDefault="008F1D10" w:rsidP="008F1D10">
      <w:pPr>
        <w:numPr>
          <w:ilvl w:val="0"/>
          <w:numId w:val="2"/>
        </w:num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Thiếu an toàn tâm lý và cảm giác được gắn kết/thuộc về tập thể.</w:t>
      </w:r>
    </w:p>
    <w:p w14:paraId="4390CA03" w14:textId="149B1C0A" w:rsid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Việc sử dụng chất gây nghiện còn chịu ảnh hưởng của nhiều yếu tố như sức khỏe, tâm lý, cảm xúc, cá nhân, xã hội, văn hóa và môi trường. Các yếu tố </w:t>
      </w:r>
      <w:r>
        <w:rPr>
          <w:rFonts w:ascii="Times New Roman" w:hAnsi="Times New Roman" w:cs="Times New Roman"/>
          <w:sz w:val="26"/>
          <w:szCs w:val="26"/>
        </w:rPr>
        <w:t xml:space="preserve">liên quan đến </w:t>
      </w:r>
      <w:r w:rsidRPr="008F1D10">
        <w:rPr>
          <w:rFonts w:ascii="Times New Roman" w:hAnsi="Times New Roman" w:cs="Times New Roman"/>
          <w:sz w:val="26"/>
          <w:szCs w:val="26"/>
        </w:rPr>
        <w:t xml:space="preserve">công việc – như thiết kế công việc và tổ chức lao động – cũng đóng vai trò nhất định, cũng như lo âu hoặc stress </w:t>
      </w:r>
      <w:r w:rsidRPr="008F1D10">
        <w:rPr>
          <w:rFonts w:ascii="Times New Roman" w:hAnsi="Times New Roman" w:cs="Times New Roman"/>
          <w:sz w:val="26"/>
          <w:szCs w:val="26"/>
        </w:rPr>
        <w:lastRenderedPageBreak/>
        <w:t xml:space="preserve">do điều kiện làm việc, yêu cầu công việc quá cao, làm ca kíp, giờ làm việc kéo dài, công việc đơn điệu hoặc làm việc ở khu vực xa xôi. Một </w:t>
      </w:r>
      <w:r w:rsidRPr="008F1D10">
        <w:rPr>
          <w:rFonts w:ascii="Times New Roman" w:hAnsi="Times New Roman" w:cs="Times New Roman"/>
          <w:color w:val="EE0000"/>
          <w:sz w:val="26"/>
          <w:szCs w:val="26"/>
        </w:rPr>
        <w:t xml:space="preserve">văn hóa tập thể dung túng </w:t>
      </w:r>
      <w:r w:rsidRPr="008F1D10">
        <w:rPr>
          <w:rFonts w:ascii="Times New Roman" w:hAnsi="Times New Roman" w:cs="Times New Roman"/>
          <w:sz w:val="26"/>
          <w:szCs w:val="26"/>
        </w:rPr>
        <w:t>cho việc sử dụng chất gây nghiện giải trí có thể bình thường hóa các rủi ro và hành vi nguy hiểm liên quan. Việc nâng cao nhận thức, kiến thức và cung cấp chăm sóc y tế phù hợp có thể hỗ trợ phòng ngừa và điều trị các trường hợp này.</w:t>
      </w:r>
    </w:p>
    <w:p w14:paraId="17230918" w14:textId="27252D3D" w:rsidR="008F1D10" w:rsidRPr="008F1D10" w:rsidRDefault="00055529" w:rsidP="00055529">
      <w:pPr>
        <w:spacing w:before="120" w:after="120"/>
        <w:jc w:val="center"/>
        <w:rPr>
          <w:rFonts w:ascii="Times New Roman" w:hAnsi="Times New Roman" w:cs="Times New Roman"/>
          <w:sz w:val="26"/>
          <w:szCs w:val="26"/>
        </w:rPr>
      </w:pPr>
      <w:r w:rsidRPr="008F1D10">
        <w:drawing>
          <wp:inline distT="0" distB="0" distL="0" distR="0" wp14:anchorId="159BD5B7" wp14:editId="1CAA3CFB">
            <wp:extent cx="6035040" cy="7192401"/>
            <wp:effectExtent l="0" t="0" r="3810" b="8890"/>
            <wp:docPr id="1451415698" name="Picture 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6133" cy="7193703"/>
                    </a:xfrm>
                    <a:prstGeom prst="rect">
                      <a:avLst/>
                    </a:prstGeom>
                    <a:noFill/>
                    <a:ln>
                      <a:noFill/>
                    </a:ln>
                  </pic:spPr>
                </pic:pic>
              </a:graphicData>
            </a:graphic>
          </wp:inline>
        </w:drawing>
      </w:r>
      <w:r w:rsidR="008F1D10" w:rsidRPr="008F1D10">
        <w:rPr>
          <w:rFonts w:ascii="Times New Roman" w:hAnsi="Times New Roman" w:cs="Times New Roman"/>
          <w:i/>
          <w:iCs/>
          <w:sz w:val="26"/>
          <w:szCs w:val="26"/>
        </w:rPr>
        <w:t xml:space="preserve">Hình ảnh minh họa </w:t>
      </w:r>
    </w:p>
    <w:p w14:paraId="17B2B776" w14:textId="77777777" w:rsidR="00BC6999" w:rsidRPr="008F1D10" w:rsidRDefault="00BC6999" w:rsidP="00BC6999">
      <w:pPr>
        <w:spacing w:before="120" w:after="120"/>
        <w:jc w:val="both"/>
        <w:rPr>
          <w:rFonts w:ascii="Times New Roman" w:hAnsi="Times New Roman" w:cs="Times New Roman"/>
          <w:b/>
          <w:bCs/>
          <w:sz w:val="26"/>
          <w:szCs w:val="26"/>
        </w:rPr>
      </w:pPr>
      <w:r w:rsidRPr="008F1D10">
        <w:rPr>
          <w:rFonts w:ascii="Times New Roman" w:hAnsi="Times New Roman" w:cs="Times New Roman"/>
          <w:b/>
          <w:bCs/>
          <w:sz w:val="26"/>
          <w:szCs w:val="26"/>
        </w:rPr>
        <w:lastRenderedPageBreak/>
        <w:t>Những vị trí thường được dùng để giấu ma túy trên tàu</w:t>
      </w:r>
    </w:p>
    <w:p w14:paraId="1A779C73" w14:textId="7452F5A0" w:rsidR="008F1D10" w:rsidRP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Ma túy có thể được giấu lẫn trong hàng hóa bên trong container (container lạnh hoặc thường), bên trong hoặc xung quanh kết cấu của container, và xung quanh kết cấu tàu dùng để xếp và cố định container. Ma túy cũng có thể được giấu trong </w:t>
      </w:r>
      <w:r w:rsidR="00055529">
        <w:rPr>
          <w:rFonts w:ascii="Times New Roman" w:hAnsi="Times New Roman" w:cs="Times New Roman"/>
          <w:sz w:val="26"/>
          <w:szCs w:val="26"/>
        </w:rPr>
        <w:t>các xe ô tô</w:t>
      </w:r>
      <w:r w:rsidRPr="008F1D10">
        <w:rPr>
          <w:rFonts w:ascii="Times New Roman" w:hAnsi="Times New Roman" w:cs="Times New Roman"/>
          <w:sz w:val="26"/>
          <w:szCs w:val="26"/>
        </w:rPr>
        <w:t xml:space="preserve"> trên tàu chở xe</w:t>
      </w:r>
      <w:r w:rsidR="00055529">
        <w:rPr>
          <w:rFonts w:ascii="Times New Roman" w:hAnsi="Times New Roman" w:cs="Times New Roman"/>
          <w:sz w:val="26"/>
          <w:szCs w:val="26"/>
        </w:rPr>
        <w:t xml:space="preserve"> ô tô</w:t>
      </w:r>
      <w:r w:rsidRPr="008F1D10">
        <w:rPr>
          <w:rFonts w:ascii="Times New Roman" w:hAnsi="Times New Roman" w:cs="Times New Roman"/>
          <w:sz w:val="26"/>
          <w:szCs w:val="26"/>
        </w:rPr>
        <w:t xml:space="preserve">, hoặc trong các loại hàng rời như ngũ cốc, đường, </w:t>
      </w:r>
      <w:proofErr w:type="gramStart"/>
      <w:r w:rsidRPr="008F1D10">
        <w:rPr>
          <w:rFonts w:ascii="Times New Roman" w:hAnsi="Times New Roman" w:cs="Times New Roman"/>
          <w:sz w:val="26"/>
          <w:szCs w:val="26"/>
        </w:rPr>
        <w:t>than</w:t>
      </w:r>
      <w:proofErr w:type="gramEnd"/>
      <w:r w:rsidRPr="008F1D10">
        <w:rPr>
          <w:rFonts w:ascii="Times New Roman" w:hAnsi="Times New Roman" w:cs="Times New Roman"/>
          <w:sz w:val="26"/>
          <w:szCs w:val="26"/>
        </w:rPr>
        <w:t xml:space="preserve"> và quặng.</w:t>
      </w:r>
    </w:p>
    <w:p w14:paraId="79B9B4CD" w14:textId="4031E6AE" w:rsidR="008F1D10" w:rsidRP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 xml:space="preserve">Bất kể loại hay kích thước </w:t>
      </w:r>
      <w:r w:rsidR="00055529">
        <w:rPr>
          <w:rFonts w:ascii="Times New Roman" w:hAnsi="Times New Roman" w:cs="Times New Roman"/>
          <w:sz w:val="26"/>
          <w:szCs w:val="26"/>
        </w:rPr>
        <w:t xml:space="preserve">của </w:t>
      </w:r>
      <w:r w:rsidRPr="008F1D10">
        <w:rPr>
          <w:rFonts w:ascii="Times New Roman" w:hAnsi="Times New Roman" w:cs="Times New Roman"/>
          <w:sz w:val="26"/>
          <w:szCs w:val="26"/>
        </w:rPr>
        <w:t>tàu, ma túy có thể được giấu bên trong và xung quanh các hầm hàng, két ballast, khoang rỗng</w:t>
      </w:r>
      <w:r w:rsidRPr="008F1D10">
        <w:rPr>
          <w:rFonts w:ascii="Times New Roman" w:hAnsi="Times New Roman" w:cs="Times New Roman"/>
          <w:b/>
          <w:bCs/>
          <w:sz w:val="26"/>
          <w:szCs w:val="26"/>
        </w:rPr>
        <w:t xml:space="preserve"> (</w:t>
      </w:r>
      <w:r w:rsidRPr="008F1D10">
        <w:rPr>
          <w:rFonts w:ascii="Times New Roman" w:hAnsi="Times New Roman" w:cs="Times New Roman"/>
          <w:sz w:val="26"/>
          <w:szCs w:val="26"/>
        </w:rPr>
        <w:t xml:space="preserve">void spaces), kho vật tư, khu vực sinh hoạt, buồng máy, không gian máy móc – thiết bị, và nhiều vị trí dễ bị lợi dụng khác. Ngoài ra, các gói ma túy còn được phát hiện hàn </w:t>
      </w:r>
      <w:r w:rsidR="00055529">
        <w:rPr>
          <w:rFonts w:ascii="Times New Roman" w:hAnsi="Times New Roman" w:cs="Times New Roman"/>
          <w:sz w:val="26"/>
          <w:szCs w:val="26"/>
        </w:rPr>
        <w:t xml:space="preserve">vào </w:t>
      </w:r>
      <w:r w:rsidRPr="008F1D10">
        <w:rPr>
          <w:rFonts w:ascii="Times New Roman" w:hAnsi="Times New Roman" w:cs="Times New Roman"/>
          <w:sz w:val="26"/>
          <w:szCs w:val="26"/>
        </w:rPr>
        <w:t xml:space="preserve">hoặc gắn ở các vị trí </w:t>
      </w:r>
      <w:r w:rsidR="00055529">
        <w:rPr>
          <w:rFonts w:ascii="Times New Roman" w:hAnsi="Times New Roman" w:cs="Times New Roman"/>
          <w:sz w:val="26"/>
          <w:szCs w:val="26"/>
        </w:rPr>
        <w:t xml:space="preserve">bên </w:t>
      </w:r>
      <w:r w:rsidRPr="008F1D10">
        <w:rPr>
          <w:rFonts w:ascii="Times New Roman" w:hAnsi="Times New Roman" w:cs="Times New Roman"/>
          <w:sz w:val="26"/>
          <w:szCs w:val="26"/>
        </w:rPr>
        <w:t xml:space="preserve">dưới </w:t>
      </w:r>
      <w:r w:rsidR="00055529">
        <w:rPr>
          <w:rFonts w:ascii="Times New Roman" w:hAnsi="Times New Roman" w:cs="Times New Roman"/>
          <w:sz w:val="26"/>
          <w:szCs w:val="26"/>
        </w:rPr>
        <w:t>mặt</w:t>
      </w:r>
      <w:r w:rsidRPr="008F1D10">
        <w:rPr>
          <w:rFonts w:ascii="Times New Roman" w:hAnsi="Times New Roman" w:cs="Times New Roman"/>
          <w:sz w:val="26"/>
          <w:szCs w:val="26"/>
        </w:rPr>
        <w:t xml:space="preserve"> nước, chẳng hạn như </w:t>
      </w:r>
      <w:r w:rsidR="00055529" w:rsidRPr="00055529">
        <w:rPr>
          <w:rFonts w:ascii="Times New Roman" w:hAnsi="Times New Roman" w:cs="Times New Roman"/>
          <w:sz w:val="26"/>
          <w:szCs w:val="26"/>
        </w:rPr>
        <w:t>các cửa thông biển</w:t>
      </w:r>
      <w:r w:rsidRPr="008F1D10">
        <w:rPr>
          <w:rFonts w:ascii="Times New Roman" w:hAnsi="Times New Roman" w:cs="Times New Roman"/>
          <w:sz w:val="26"/>
          <w:szCs w:val="26"/>
        </w:rPr>
        <w:t>, hoặc trong các cải hoán tàu không được phê duyệt, nơi việc che giấu có thể khó bị phát hiện.</w:t>
      </w:r>
    </w:p>
    <w:p w14:paraId="6E787CB3" w14:textId="0320C987" w:rsidR="008F1D10" w:rsidRPr="008F1D10" w:rsidRDefault="008F1D10" w:rsidP="008F1D10">
      <w:pPr>
        <w:spacing w:before="120" w:after="120"/>
        <w:jc w:val="both"/>
        <w:rPr>
          <w:rFonts w:ascii="Times New Roman" w:hAnsi="Times New Roman" w:cs="Times New Roman"/>
          <w:sz w:val="26"/>
          <w:szCs w:val="26"/>
        </w:rPr>
      </w:pPr>
      <w:r w:rsidRPr="008F1D10">
        <w:rPr>
          <w:rFonts w:ascii="Times New Roman" w:hAnsi="Times New Roman" w:cs="Times New Roman"/>
          <w:sz w:val="26"/>
          <w:szCs w:val="26"/>
        </w:rPr>
        <w:t>Bạn có thể tải toàn văn tài liệu hướng dẫn của OCIMF (</w:t>
      </w:r>
      <w:r w:rsidRPr="008F1D10">
        <w:rPr>
          <w:rFonts w:ascii="Times New Roman" w:hAnsi="Times New Roman" w:cs="Times New Roman"/>
          <w:i/>
          <w:iCs/>
          <w:sz w:val="26"/>
          <w:szCs w:val="26"/>
        </w:rPr>
        <w:t>Guidelines for the Control of Drugs and Alcohol in the Maritime Industry</w:t>
      </w:r>
      <w:r w:rsidRPr="008F1D10">
        <w:rPr>
          <w:rFonts w:ascii="Times New Roman" w:hAnsi="Times New Roman" w:cs="Times New Roman"/>
          <w:sz w:val="26"/>
          <w:szCs w:val="26"/>
        </w:rPr>
        <w:t xml:space="preserve">) bằng cách nhấp vào liên kết </w:t>
      </w:r>
      <w:r w:rsidR="00BC6999">
        <w:rPr>
          <w:rFonts w:ascii="Times New Roman" w:hAnsi="Times New Roman" w:cs="Times New Roman"/>
          <w:sz w:val="26"/>
          <w:szCs w:val="26"/>
        </w:rPr>
        <w:t>dưới đây:</w:t>
      </w:r>
    </w:p>
    <w:p w14:paraId="2F318089" w14:textId="414148EA" w:rsidR="008F1D10" w:rsidRPr="00BC6999" w:rsidRDefault="00BC6999" w:rsidP="008F1D10">
      <w:pPr>
        <w:rPr>
          <w:b/>
          <w:bCs/>
        </w:rPr>
      </w:pPr>
      <w:hyperlink r:id="rId10" w:history="1">
        <w:r w:rsidRPr="00BC6999">
          <w:rPr>
            <w:rStyle w:val="Hyperlink"/>
            <w:b/>
            <w:bCs/>
          </w:rPr>
          <w:t>https://maritimecy</w:t>
        </w:r>
        <w:r w:rsidRPr="00BC6999">
          <w:rPr>
            <w:rStyle w:val="Hyperlink"/>
            <w:b/>
            <w:bCs/>
          </w:rPr>
          <w:t>p</w:t>
        </w:r>
        <w:r w:rsidRPr="00BC6999">
          <w:rPr>
            <w:rStyle w:val="Hyperlink"/>
            <w:b/>
            <w:bCs/>
          </w:rPr>
          <w:t>rus.com/wp-content/uploads/2024/03/OCIMF_DA_Control_Guidelines_2024.pdf</w:t>
        </w:r>
      </w:hyperlink>
    </w:p>
    <w:p w14:paraId="2E33915C" w14:textId="696298EE" w:rsidR="00BC6999" w:rsidRPr="008F1D10" w:rsidRDefault="00BC6999" w:rsidP="00BC6999">
      <w:pPr>
        <w:jc w:val="center"/>
      </w:pPr>
      <w:r>
        <w:t>---------------------------------------------------</w:t>
      </w:r>
    </w:p>
    <w:p w14:paraId="28CF00C3" w14:textId="77777777" w:rsidR="00C13E10" w:rsidRDefault="00C13E10"/>
    <w:sectPr w:rsidR="00C13E10" w:rsidSect="008F1D10">
      <w:pgSz w:w="12240" w:h="15840"/>
      <w:pgMar w:top="99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AFB"/>
    <w:multiLevelType w:val="multilevel"/>
    <w:tmpl w:val="10C6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72A5C"/>
    <w:multiLevelType w:val="multilevel"/>
    <w:tmpl w:val="7A70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32486"/>
    <w:multiLevelType w:val="multilevel"/>
    <w:tmpl w:val="C5D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033875">
    <w:abstractNumId w:val="1"/>
  </w:num>
  <w:num w:numId="2" w16cid:durableId="1208226106">
    <w:abstractNumId w:val="2"/>
  </w:num>
  <w:num w:numId="3" w16cid:durableId="145930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10"/>
    <w:rsid w:val="000501D0"/>
    <w:rsid w:val="00055529"/>
    <w:rsid w:val="008F1D10"/>
    <w:rsid w:val="00BC6999"/>
    <w:rsid w:val="00C13E10"/>
    <w:rsid w:val="00ED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D1E1"/>
  <w15:chartTrackingRefBased/>
  <w15:docId w15:val="{2CE41AAD-55C3-4712-B683-1B78C65B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D10"/>
    <w:rPr>
      <w:rFonts w:eastAsiaTheme="majorEastAsia" w:cstheme="majorBidi"/>
      <w:color w:val="272727" w:themeColor="text1" w:themeTint="D8"/>
    </w:rPr>
  </w:style>
  <w:style w:type="paragraph" w:styleId="Title">
    <w:name w:val="Title"/>
    <w:basedOn w:val="Normal"/>
    <w:next w:val="Normal"/>
    <w:link w:val="TitleChar"/>
    <w:uiPriority w:val="10"/>
    <w:qFormat/>
    <w:rsid w:val="008F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10"/>
    <w:pPr>
      <w:spacing w:before="160"/>
      <w:jc w:val="center"/>
    </w:pPr>
    <w:rPr>
      <w:i/>
      <w:iCs/>
      <w:color w:val="404040" w:themeColor="text1" w:themeTint="BF"/>
    </w:rPr>
  </w:style>
  <w:style w:type="character" w:customStyle="1" w:styleId="QuoteChar">
    <w:name w:val="Quote Char"/>
    <w:basedOn w:val="DefaultParagraphFont"/>
    <w:link w:val="Quote"/>
    <w:uiPriority w:val="29"/>
    <w:rsid w:val="008F1D10"/>
    <w:rPr>
      <w:i/>
      <w:iCs/>
      <w:color w:val="404040" w:themeColor="text1" w:themeTint="BF"/>
    </w:rPr>
  </w:style>
  <w:style w:type="paragraph" w:styleId="ListParagraph">
    <w:name w:val="List Paragraph"/>
    <w:basedOn w:val="Normal"/>
    <w:uiPriority w:val="34"/>
    <w:qFormat/>
    <w:rsid w:val="008F1D10"/>
    <w:pPr>
      <w:ind w:left="720"/>
      <w:contextualSpacing/>
    </w:pPr>
  </w:style>
  <w:style w:type="character" w:styleId="IntenseEmphasis">
    <w:name w:val="Intense Emphasis"/>
    <w:basedOn w:val="DefaultParagraphFont"/>
    <w:uiPriority w:val="21"/>
    <w:qFormat/>
    <w:rsid w:val="008F1D10"/>
    <w:rPr>
      <w:i/>
      <w:iCs/>
      <w:color w:val="0F4761" w:themeColor="accent1" w:themeShade="BF"/>
    </w:rPr>
  </w:style>
  <w:style w:type="paragraph" w:styleId="IntenseQuote">
    <w:name w:val="Intense Quote"/>
    <w:basedOn w:val="Normal"/>
    <w:next w:val="Normal"/>
    <w:link w:val="IntenseQuoteChar"/>
    <w:uiPriority w:val="30"/>
    <w:qFormat/>
    <w:rsid w:val="008F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D10"/>
    <w:rPr>
      <w:i/>
      <w:iCs/>
      <w:color w:val="0F4761" w:themeColor="accent1" w:themeShade="BF"/>
    </w:rPr>
  </w:style>
  <w:style w:type="character" w:styleId="IntenseReference">
    <w:name w:val="Intense Reference"/>
    <w:basedOn w:val="DefaultParagraphFont"/>
    <w:uiPriority w:val="32"/>
    <w:qFormat/>
    <w:rsid w:val="008F1D10"/>
    <w:rPr>
      <w:b/>
      <w:bCs/>
      <w:smallCaps/>
      <w:color w:val="0F4761" w:themeColor="accent1" w:themeShade="BF"/>
      <w:spacing w:val="5"/>
    </w:rPr>
  </w:style>
  <w:style w:type="character" w:styleId="Hyperlink">
    <w:name w:val="Hyperlink"/>
    <w:basedOn w:val="DefaultParagraphFont"/>
    <w:uiPriority w:val="99"/>
    <w:unhideWhenUsed/>
    <w:rsid w:val="008F1D10"/>
    <w:rPr>
      <w:color w:val="467886" w:themeColor="hyperlink"/>
      <w:u w:val="single"/>
    </w:rPr>
  </w:style>
  <w:style w:type="character" w:styleId="UnresolvedMention">
    <w:name w:val="Unresolved Mention"/>
    <w:basedOn w:val="DefaultParagraphFont"/>
    <w:uiPriority w:val="99"/>
    <w:semiHidden/>
    <w:unhideWhenUsed/>
    <w:rsid w:val="008F1D10"/>
    <w:rPr>
      <w:color w:val="605E5C"/>
      <w:shd w:val="clear" w:color="auto" w:fill="E1DFDD"/>
    </w:rPr>
  </w:style>
  <w:style w:type="character" w:styleId="FollowedHyperlink">
    <w:name w:val="FollowedHyperlink"/>
    <w:basedOn w:val="DefaultParagraphFont"/>
    <w:uiPriority w:val="99"/>
    <w:semiHidden/>
    <w:unhideWhenUsed/>
    <w:rsid w:val="00BC69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1/09/Drug-smuggling.jpg"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hyperlink" Target="https://maritimecyprus.com/wp-content/uploads/2024/03/OCIMF_DA_Control_Guidelines_2024.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2026-02-03T06:23:00Z</dcterms:created>
  <dcterms:modified xsi:type="dcterms:W3CDTF">2026-02-03T06:50:00Z</dcterms:modified>
</cp:coreProperties>
</file>