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7B710" w14:textId="059F4C34" w:rsidR="007D311E" w:rsidRPr="007D311E" w:rsidRDefault="007D311E" w:rsidP="007D311E">
      <w:pPr>
        <w:spacing w:line="240" w:lineRule="auto"/>
        <w:jc w:val="center"/>
        <w:rPr>
          <w:rFonts w:ascii="Times New Roman" w:hAnsi="Times New Roman" w:cs="Times New Roman"/>
          <w:b/>
          <w:bCs/>
          <w:sz w:val="40"/>
          <w:szCs w:val="40"/>
        </w:rPr>
      </w:pPr>
      <w:r w:rsidRPr="007D311E">
        <w:rPr>
          <w:rFonts w:ascii="Times New Roman" w:hAnsi="Times New Roman" w:cs="Times New Roman"/>
          <w:b/>
          <w:bCs/>
          <w:sz w:val="40"/>
          <w:szCs w:val="40"/>
        </w:rPr>
        <w:t xml:space="preserve">Báo cáo cho </w:t>
      </w:r>
      <w:r>
        <w:rPr>
          <w:rFonts w:ascii="Times New Roman" w:hAnsi="Times New Roman" w:cs="Times New Roman"/>
          <w:b/>
          <w:bCs/>
          <w:sz w:val="40"/>
          <w:szCs w:val="40"/>
        </w:rPr>
        <w:t>thấy</w:t>
      </w:r>
      <w:r w:rsidRPr="007D311E">
        <w:rPr>
          <w:rFonts w:ascii="Times New Roman" w:hAnsi="Times New Roman" w:cs="Times New Roman"/>
          <w:b/>
          <w:bCs/>
          <w:sz w:val="40"/>
          <w:szCs w:val="40"/>
        </w:rPr>
        <w:t xml:space="preserve"> chỉ khi áp dụng đầy đủ Khung Net-Zero mới có thể mang lại kết quả</w:t>
      </w:r>
    </w:p>
    <w:p w14:paraId="5C173B7D" w14:textId="5FDFE2AD" w:rsidR="007D311E" w:rsidRPr="007D311E" w:rsidRDefault="007D311E" w:rsidP="007D311E">
      <w:pPr>
        <w:jc w:val="right"/>
        <w:rPr>
          <w:rStyle w:val="Hyperlink"/>
        </w:rPr>
      </w:pPr>
      <w:hyperlink r:id="rId5" w:history="1">
        <w:r w:rsidRPr="007D311E">
          <w:rPr>
            <w:rStyle w:val="Hyperlink"/>
          </w:rPr>
          <w:t>Green Shipping</w:t>
        </w:r>
      </w:hyperlink>
      <w:r w:rsidRPr="007D311E">
        <w:fldChar w:fldCharType="begin"/>
      </w:r>
      <w:r w:rsidRPr="007D311E">
        <w:instrText>HYPERLINK "https://safety4sea.com/wp-content/uploads/2025/05/shutterstock_2138669339-e1771501118538.jpg"</w:instrText>
      </w:r>
      <w:r w:rsidRPr="007D311E">
        <w:fldChar w:fldCharType="separate"/>
      </w:r>
    </w:p>
    <w:p w14:paraId="02521BDB" w14:textId="0F044E63" w:rsidR="007D311E" w:rsidRPr="007D311E" w:rsidRDefault="007D311E" w:rsidP="007D311E">
      <w:pPr>
        <w:rPr>
          <w:rStyle w:val="Hyperlink"/>
        </w:rPr>
      </w:pPr>
      <w:r w:rsidRPr="007D311E">
        <w:rPr>
          <w:rStyle w:val="Hyperlink"/>
        </w:rPr>
        <w:drawing>
          <wp:inline distT="0" distB="0" distL="0" distR="0" wp14:anchorId="1E92ADF1" wp14:editId="4346D273">
            <wp:extent cx="5943600" cy="2974975"/>
            <wp:effectExtent l="0" t="0" r="0" b="0"/>
            <wp:docPr id="1261212728" name="Picture 2" descr="net zer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t zero">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53D5E741" w14:textId="2CB5C2A7" w:rsidR="007D311E" w:rsidRPr="007D311E" w:rsidRDefault="007D311E" w:rsidP="007D311E">
      <w:pPr>
        <w:jc w:val="both"/>
        <w:rPr>
          <w:rFonts w:ascii="Times New Roman" w:hAnsi="Times New Roman" w:cs="Times New Roman"/>
          <w:sz w:val="26"/>
          <w:szCs w:val="26"/>
        </w:rPr>
      </w:pPr>
      <w:r w:rsidRPr="007D311E">
        <w:fldChar w:fldCharType="end"/>
      </w:r>
      <w:r w:rsidRPr="007D311E">
        <w:rPr>
          <w:rFonts w:ascii="Times New Roman" w:hAnsi="Times New Roman" w:cs="Times New Roman"/>
          <w:sz w:val="26"/>
          <w:szCs w:val="26"/>
        </w:rPr>
        <w:t>Một bản tóm lược phân tích mới được soạn cho Getting to Zero Coalition của Global Maritime Forum đã xem xét các kịch bản khả dĩ khác nhau đối với Khung Net-Zero (NZF) của IMO.</w:t>
      </w:r>
    </w:p>
    <w:p w14:paraId="50158E24" w14:textId="7AB19E4E" w:rsidR="007D311E" w:rsidRPr="007D311E" w:rsidRDefault="007D311E" w:rsidP="007D311E">
      <w:pPr>
        <w:spacing w:before="120" w:after="120"/>
        <w:jc w:val="both"/>
        <w:rPr>
          <w:rFonts w:ascii="Times New Roman" w:hAnsi="Times New Roman" w:cs="Times New Roman"/>
          <w:sz w:val="26"/>
          <w:szCs w:val="26"/>
        </w:rPr>
      </w:pPr>
      <w:r w:rsidRPr="007D311E">
        <w:rPr>
          <w:rFonts w:ascii="Times New Roman" w:hAnsi="Times New Roman" w:cs="Times New Roman"/>
          <w:sz w:val="26"/>
          <w:szCs w:val="26"/>
        </w:rPr>
        <w:t xml:space="preserve">Theo tài liệu “Uncertainty at the IMO: Three scenarios and their consequences for shipping’s transition” (Sự bất định tại IMO: Ba kịch bản và </w:t>
      </w:r>
      <w:r>
        <w:rPr>
          <w:rFonts w:ascii="Times New Roman" w:hAnsi="Times New Roman" w:cs="Times New Roman"/>
          <w:sz w:val="26"/>
          <w:szCs w:val="26"/>
        </w:rPr>
        <w:t xml:space="preserve">các </w:t>
      </w:r>
      <w:r w:rsidRPr="007D311E">
        <w:rPr>
          <w:rFonts w:ascii="Times New Roman" w:hAnsi="Times New Roman" w:cs="Times New Roman"/>
          <w:sz w:val="26"/>
          <w:szCs w:val="26"/>
        </w:rPr>
        <w:t xml:space="preserve">hệ quả đối với quá trình chuyển đổi của ngành vận tải biển) do Tiến sĩ Tristan Smith – Phó Giáo sư, UCL Energy Institute; Giám đốc UMAS – và Femke Spiegelenberg – Quản lý Dự án, Getting to Zero Coalition, Global Maritime Forum – thực hiện, </w:t>
      </w:r>
      <w:r>
        <w:rPr>
          <w:rFonts w:ascii="Times New Roman" w:hAnsi="Times New Roman" w:cs="Times New Roman"/>
          <w:sz w:val="26"/>
          <w:szCs w:val="26"/>
        </w:rPr>
        <w:t xml:space="preserve">cho thấy </w:t>
      </w:r>
      <w:r w:rsidRPr="007D311E">
        <w:rPr>
          <w:rFonts w:ascii="Times New Roman" w:hAnsi="Times New Roman" w:cs="Times New Roman"/>
          <w:sz w:val="26"/>
          <w:szCs w:val="26"/>
        </w:rPr>
        <w:t>quyết định thông qua Khung Net-Zero của IMO đã bị hoãn đến tháng 11/2026</w:t>
      </w:r>
      <w:r>
        <w:rPr>
          <w:rFonts w:ascii="Times New Roman" w:hAnsi="Times New Roman" w:cs="Times New Roman"/>
          <w:sz w:val="26"/>
          <w:szCs w:val="26"/>
        </w:rPr>
        <w:t xml:space="preserve"> đã</w:t>
      </w:r>
      <w:r w:rsidRPr="007D311E">
        <w:rPr>
          <w:rFonts w:ascii="Times New Roman" w:hAnsi="Times New Roman" w:cs="Times New Roman"/>
          <w:sz w:val="26"/>
          <w:szCs w:val="26"/>
        </w:rPr>
        <w:t xml:space="preserve"> tạo ra mức độ bất định cao hơn cho cả các chính phủ và ngành hàng hải.</w:t>
      </w:r>
    </w:p>
    <w:p w14:paraId="65FAD9A3" w14:textId="77777777" w:rsidR="007D311E" w:rsidRPr="007D311E" w:rsidRDefault="007D311E" w:rsidP="007D311E">
      <w:pPr>
        <w:spacing w:before="120" w:after="120"/>
        <w:jc w:val="both"/>
        <w:rPr>
          <w:rFonts w:ascii="Times New Roman" w:hAnsi="Times New Roman" w:cs="Times New Roman"/>
          <w:b/>
          <w:bCs/>
          <w:sz w:val="26"/>
          <w:szCs w:val="26"/>
        </w:rPr>
      </w:pPr>
      <w:r w:rsidRPr="007D311E">
        <w:rPr>
          <w:rFonts w:ascii="Times New Roman" w:hAnsi="Times New Roman" w:cs="Times New Roman"/>
          <w:b/>
          <w:bCs/>
          <w:sz w:val="26"/>
          <w:szCs w:val="26"/>
        </w:rPr>
        <w:t>Ba kịch bản</w:t>
      </w:r>
    </w:p>
    <w:p w14:paraId="637C24E5" w14:textId="77777777" w:rsidR="007D311E" w:rsidRPr="007D311E" w:rsidRDefault="007D311E" w:rsidP="007D311E">
      <w:pPr>
        <w:spacing w:before="120" w:after="120"/>
        <w:jc w:val="both"/>
        <w:rPr>
          <w:rFonts w:ascii="Times New Roman" w:hAnsi="Times New Roman" w:cs="Times New Roman"/>
          <w:sz w:val="26"/>
          <w:szCs w:val="26"/>
        </w:rPr>
      </w:pPr>
      <w:r w:rsidRPr="007D311E">
        <w:rPr>
          <w:rFonts w:ascii="Times New Roman" w:hAnsi="Times New Roman" w:cs="Times New Roman"/>
          <w:sz w:val="26"/>
          <w:szCs w:val="26"/>
        </w:rPr>
        <w:t>Dựa trên một số quan ngại đối với khuôn khổ hiện tại, ngành và các Quốc gia Thành viên đang đối mặt với ba kịch bản chính sách chủ yếu cho một khung pháp lý toàn cầu:</w:t>
      </w:r>
    </w:p>
    <w:p w14:paraId="2CA04780" w14:textId="77777777" w:rsidR="007D311E" w:rsidRPr="007D311E" w:rsidRDefault="007D311E" w:rsidP="007D311E">
      <w:pPr>
        <w:numPr>
          <w:ilvl w:val="0"/>
          <w:numId w:val="3"/>
        </w:numPr>
        <w:spacing w:before="120" w:after="120"/>
        <w:jc w:val="both"/>
        <w:rPr>
          <w:rFonts w:ascii="Times New Roman" w:hAnsi="Times New Roman" w:cs="Times New Roman"/>
          <w:sz w:val="26"/>
          <w:szCs w:val="26"/>
        </w:rPr>
      </w:pPr>
      <w:r w:rsidRPr="007D311E">
        <w:rPr>
          <w:rFonts w:ascii="Times New Roman" w:hAnsi="Times New Roman" w:cs="Times New Roman"/>
          <w:sz w:val="26"/>
          <w:szCs w:val="26"/>
        </w:rPr>
        <w:t>NZF không bao gồm yếu tố kinh tế</w:t>
      </w:r>
    </w:p>
    <w:p w14:paraId="1BE3B8F7" w14:textId="77777777" w:rsidR="007D311E" w:rsidRPr="007D311E" w:rsidRDefault="007D311E" w:rsidP="007D311E">
      <w:pPr>
        <w:numPr>
          <w:ilvl w:val="0"/>
          <w:numId w:val="3"/>
        </w:numPr>
        <w:spacing w:before="120" w:after="120"/>
        <w:jc w:val="both"/>
        <w:rPr>
          <w:rFonts w:ascii="Times New Roman" w:hAnsi="Times New Roman" w:cs="Times New Roman"/>
          <w:sz w:val="26"/>
          <w:szCs w:val="26"/>
        </w:rPr>
      </w:pPr>
      <w:r w:rsidRPr="007D311E">
        <w:rPr>
          <w:rFonts w:ascii="Times New Roman" w:hAnsi="Times New Roman" w:cs="Times New Roman"/>
          <w:sz w:val="26"/>
          <w:szCs w:val="26"/>
        </w:rPr>
        <w:t>Tiêu chuẩn nhiên liệu toàn cầu (GFS) một tầng bị suy yếu</w:t>
      </w:r>
    </w:p>
    <w:p w14:paraId="0A3BAFCE" w14:textId="77777777" w:rsidR="007D311E" w:rsidRPr="007D311E" w:rsidRDefault="007D311E" w:rsidP="007D311E">
      <w:pPr>
        <w:numPr>
          <w:ilvl w:val="0"/>
          <w:numId w:val="3"/>
        </w:numPr>
        <w:spacing w:before="120" w:after="120"/>
        <w:jc w:val="both"/>
        <w:rPr>
          <w:rFonts w:ascii="Times New Roman" w:hAnsi="Times New Roman" w:cs="Times New Roman"/>
          <w:sz w:val="26"/>
          <w:szCs w:val="26"/>
        </w:rPr>
      </w:pPr>
      <w:r w:rsidRPr="007D311E">
        <w:rPr>
          <w:rFonts w:ascii="Times New Roman" w:hAnsi="Times New Roman" w:cs="Times New Roman"/>
          <w:sz w:val="26"/>
          <w:szCs w:val="26"/>
        </w:rPr>
        <w:t>NZF “giữ nguyên như hiện tại”</w:t>
      </w:r>
    </w:p>
    <w:p w14:paraId="2ED41DAC" w14:textId="404AED65" w:rsidR="007D311E" w:rsidRPr="007D311E" w:rsidRDefault="007D311E" w:rsidP="007D311E">
      <w:pPr>
        <w:spacing w:before="120" w:after="120"/>
        <w:jc w:val="both"/>
        <w:rPr>
          <w:rFonts w:ascii="Times New Roman" w:hAnsi="Times New Roman" w:cs="Times New Roman"/>
          <w:sz w:val="26"/>
          <w:szCs w:val="26"/>
        </w:rPr>
      </w:pPr>
      <w:r w:rsidRPr="007D311E">
        <w:rPr>
          <w:rFonts w:ascii="Times New Roman" w:hAnsi="Times New Roman" w:cs="Times New Roman"/>
          <w:sz w:val="26"/>
          <w:szCs w:val="26"/>
        </w:rPr>
        <w:t>Song song với các phương án trên, còn tồn tại nhiều kịch bản khác nhau về thời điểm thông qua chính sách của IMO và, tương ứng</w:t>
      </w:r>
      <w:r>
        <w:rPr>
          <w:rFonts w:ascii="Times New Roman" w:hAnsi="Times New Roman" w:cs="Times New Roman"/>
          <w:sz w:val="26"/>
          <w:szCs w:val="26"/>
        </w:rPr>
        <w:t xml:space="preserve"> là</w:t>
      </w:r>
      <w:r w:rsidRPr="007D311E">
        <w:rPr>
          <w:rFonts w:ascii="Times New Roman" w:hAnsi="Times New Roman" w:cs="Times New Roman"/>
          <w:sz w:val="26"/>
          <w:szCs w:val="26"/>
        </w:rPr>
        <w:t xml:space="preserve"> lộ trình xây dựng/loại bỏ dần các chính sách </w:t>
      </w:r>
      <w:r>
        <w:rPr>
          <w:rFonts w:ascii="Times New Roman" w:hAnsi="Times New Roman" w:cs="Times New Roman"/>
          <w:sz w:val="26"/>
          <w:szCs w:val="26"/>
        </w:rPr>
        <w:t xml:space="preserve">mang tính </w:t>
      </w:r>
      <w:r w:rsidRPr="007D311E">
        <w:rPr>
          <w:rFonts w:ascii="Times New Roman" w:hAnsi="Times New Roman" w:cs="Times New Roman"/>
          <w:sz w:val="26"/>
          <w:szCs w:val="26"/>
        </w:rPr>
        <w:t>khu vực.</w:t>
      </w:r>
    </w:p>
    <w:p w14:paraId="1A830CEE" w14:textId="3847923A" w:rsidR="007D311E" w:rsidRPr="007D311E" w:rsidRDefault="007D311E" w:rsidP="007D311E">
      <w:pPr>
        <w:pStyle w:val="ListParagraph"/>
        <w:numPr>
          <w:ilvl w:val="0"/>
          <w:numId w:val="4"/>
        </w:numPr>
        <w:spacing w:before="120" w:after="120"/>
        <w:jc w:val="both"/>
        <w:rPr>
          <w:rFonts w:ascii="Times New Roman" w:hAnsi="Times New Roman" w:cs="Times New Roman"/>
          <w:b/>
          <w:bCs/>
          <w:sz w:val="26"/>
          <w:szCs w:val="26"/>
        </w:rPr>
      </w:pPr>
      <w:r w:rsidRPr="007D311E">
        <w:rPr>
          <w:rFonts w:ascii="Times New Roman" w:hAnsi="Times New Roman" w:cs="Times New Roman"/>
          <w:b/>
          <w:bCs/>
          <w:sz w:val="26"/>
          <w:szCs w:val="26"/>
        </w:rPr>
        <w:lastRenderedPageBreak/>
        <w:t>NZF không có yếu tố kinh tế</w:t>
      </w:r>
    </w:p>
    <w:p w14:paraId="3093B7D7" w14:textId="77777777" w:rsidR="007D311E" w:rsidRPr="007D311E" w:rsidRDefault="007D311E" w:rsidP="007D311E">
      <w:pPr>
        <w:spacing w:before="120" w:after="120"/>
        <w:jc w:val="both"/>
        <w:rPr>
          <w:rFonts w:ascii="Times New Roman" w:hAnsi="Times New Roman" w:cs="Times New Roman"/>
          <w:sz w:val="26"/>
          <w:szCs w:val="26"/>
        </w:rPr>
      </w:pPr>
      <w:r w:rsidRPr="007D311E">
        <w:rPr>
          <w:rFonts w:ascii="Times New Roman" w:hAnsi="Times New Roman" w:cs="Times New Roman"/>
          <w:sz w:val="26"/>
          <w:szCs w:val="26"/>
        </w:rPr>
        <w:t>Một kịch bản tiềm năng là NZF bị loại bỏ toàn bộ các yếu tố kinh tế, bao gồm thị trường tuân thủ, chi phí không tuân thủ, Quỹ Net-Zero và cơ chế thưởng ZNZ. Kịch bản này phản ánh lập trường được chính phủ Ả Rập Xê Út và Mỹ nêu tại kỳ họp MEPC tháng 10/2025 (MEPC.ES2).</w:t>
      </w:r>
    </w:p>
    <w:p w14:paraId="2E00817B" w14:textId="77777777" w:rsidR="007D311E" w:rsidRPr="007D311E" w:rsidRDefault="007D311E" w:rsidP="007D311E">
      <w:pPr>
        <w:spacing w:before="120" w:after="120"/>
        <w:jc w:val="both"/>
        <w:rPr>
          <w:rFonts w:ascii="Times New Roman" w:hAnsi="Times New Roman" w:cs="Times New Roman"/>
          <w:sz w:val="26"/>
          <w:szCs w:val="26"/>
        </w:rPr>
      </w:pPr>
      <w:r w:rsidRPr="007D311E">
        <w:rPr>
          <w:rFonts w:ascii="Times New Roman" w:hAnsi="Times New Roman" w:cs="Times New Roman"/>
          <w:sz w:val="26"/>
          <w:szCs w:val="26"/>
        </w:rPr>
        <w:t>Khi loại bỏ các cấu phần trên, phần còn lại chỉ là một lộ trình cường độ phát thải khí nhà kính (GHG fuel intensity – GFI) mang tính định hướng, không có hệ quả thực chất đối với hành vi không tuân thủ.</w:t>
      </w:r>
    </w:p>
    <w:p w14:paraId="6474255F" w14:textId="4E9C29A1" w:rsidR="007D311E" w:rsidRPr="007D311E" w:rsidRDefault="007D311E" w:rsidP="007D311E">
      <w:pPr>
        <w:pStyle w:val="ListParagraph"/>
        <w:numPr>
          <w:ilvl w:val="0"/>
          <w:numId w:val="4"/>
        </w:numPr>
        <w:spacing w:before="120" w:after="120"/>
        <w:jc w:val="both"/>
        <w:rPr>
          <w:rFonts w:ascii="Times New Roman" w:hAnsi="Times New Roman" w:cs="Times New Roman"/>
          <w:b/>
          <w:bCs/>
          <w:sz w:val="26"/>
          <w:szCs w:val="26"/>
        </w:rPr>
      </w:pPr>
      <w:r w:rsidRPr="007D311E">
        <w:rPr>
          <w:rFonts w:ascii="Times New Roman" w:hAnsi="Times New Roman" w:cs="Times New Roman"/>
          <w:b/>
          <w:bCs/>
          <w:sz w:val="26"/>
          <w:szCs w:val="26"/>
        </w:rPr>
        <w:t xml:space="preserve">GFS </w:t>
      </w:r>
      <w:r>
        <w:rPr>
          <w:rFonts w:ascii="Times New Roman" w:hAnsi="Times New Roman" w:cs="Times New Roman"/>
          <w:b/>
          <w:bCs/>
          <w:sz w:val="26"/>
          <w:szCs w:val="26"/>
        </w:rPr>
        <w:t xml:space="preserve">chỉ gồm </w:t>
      </w:r>
      <w:r w:rsidRPr="007D311E">
        <w:rPr>
          <w:rFonts w:ascii="Times New Roman" w:hAnsi="Times New Roman" w:cs="Times New Roman"/>
          <w:b/>
          <w:bCs/>
          <w:sz w:val="26"/>
          <w:szCs w:val="26"/>
        </w:rPr>
        <w:t>một tầng, có hoặc không hạ thấp mức tham vọng</w:t>
      </w:r>
    </w:p>
    <w:p w14:paraId="56CA979C" w14:textId="77777777" w:rsidR="007D311E" w:rsidRPr="007D311E" w:rsidRDefault="007D311E" w:rsidP="007D311E">
      <w:pPr>
        <w:spacing w:before="120" w:after="120"/>
        <w:jc w:val="both"/>
        <w:rPr>
          <w:rFonts w:ascii="Times New Roman" w:hAnsi="Times New Roman" w:cs="Times New Roman"/>
          <w:sz w:val="26"/>
          <w:szCs w:val="26"/>
        </w:rPr>
      </w:pPr>
      <w:r w:rsidRPr="007D311E">
        <w:rPr>
          <w:rFonts w:ascii="Times New Roman" w:hAnsi="Times New Roman" w:cs="Times New Roman"/>
          <w:sz w:val="26"/>
          <w:szCs w:val="26"/>
        </w:rPr>
        <w:t>Trong kịch bản này, các thỏa hiệp được thực hiện đối với một số – nhưng không phải tất cả – yếu tố kinh tế. Điều này có thể dẫn đến việc thay đổi cấu trúc của NZF để giống với một cơ chế từng được Trung Quốc, UAE và Nam Phi đề xuất – khi đó gọi là International Maritime Sustainability Fuels &amp; Fund (IMSF&amp;F).</w:t>
      </w:r>
    </w:p>
    <w:p w14:paraId="35271D4E" w14:textId="77777777" w:rsidR="007D311E" w:rsidRPr="007D311E" w:rsidRDefault="007D311E" w:rsidP="007D311E">
      <w:pPr>
        <w:spacing w:before="120" w:after="120"/>
        <w:jc w:val="both"/>
        <w:rPr>
          <w:rFonts w:ascii="Times New Roman" w:hAnsi="Times New Roman" w:cs="Times New Roman"/>
          <w:sz w:val="26"/>
          <w:szCs w:val="26"/>
        </w:rPr>
      </w:pPr>
      <w:r w:rsidRPr="007D311E">
        <w:rPr>
          <w:rFonts w:ascii="Times New Roman" w:hAnsi="Times New Roman" w:cs="Times New Roman"/>
          <w:sz w:val="26"/>
          <w:szCs w:val="26"/>
        </w:rPr>
        <w:t>Thiết kế này chỉ có một lộ trình GFI, tương ứng với lộ trình cơ sở trong mô hình NZF hai tầng, đồng thời cho phép tồn tại thị trường tuân thủ cho cả trường hợp vượt chuẩn và không đạt chuẩn.</w:t>
      </w:r>
    </w:p>
    <w:p w14:paraId="389C06D0" w14:textId="77777777" w:rsidR="007D311E" w:rsidRPr="007D311E" w:rsidRDefault="007D311E" w:rsidP="007D311E">
      <w:pPr>
        <w:spacing w:before="120" w:after="120"/>
        <w:jc w:val="both"/>
        <w:rPr>
          <w:rFonts w:ascii="Times New Roman" w:hAnsi="Times New Roman" w:cs="Times New Roman"/>
          <w:sz w:val="26"/>
          <w:szCs w:val="26"/>
        </w:rPr>
      </w:pPr>
      <w:r w:rsidRPr="007D311E">
        <w:rPr>
          <w:rFonts w:ascii="Times New Roman" w:hAnsi="Times New Roman" w:cs="Times New Roman"/>
          <w:sz w:val="26"/>
          <w:szCs w:val="26"/>
        </w:rPr>
        <w:t>Việc mở lại cơ chế chính sách để điều chỉnh cấu trúc cũng có thể dẫn đến việc thay đổi mức độ tham vọng, bao gồm việc làm suy yếu các tham số liên quan đến lộ trình GFI. Ví dụ, lộ trình có thể được làm “thoải” hơn (giảm tốc độ siết chặt), và/hoặc mức giá phạt có thể bị hạ thấp.</w:t>
      </w:r>
    </w:p>
    <w:p w14:paraId="54BE2C5B" w14:textId="22514FC1" w:rsidR="007D311E" w:rsidRPr="007D311E" w:rsidRDefault="007D311E" w:rsidP="007D311E">
      <w:pPr>
        <w:pStyle w:val="ListParagraph"/>
        <w:numPr>
          <w:ilvl w:val="0"/>
          <w:numId w:val="4"/>
        </w:numPr>
        <w:spacing w:before="120" w:after="120"/>
        <w:jc w:val="both"/>
        <w:rPr>
          <w:rFonts w:ascii="Times New Roman" w:hAnsi="Times New Roman" w:cs="Times New Roman"/>
          <w:b/>
          <w:bCs/>
          <w:sz w:val="26"/>
          <w:szCs w:val="26"/>
        </w:rPr>
      </w:pPr>
      <w:r w:rsidRPr="007D311E">
        <w:rPr>
          <w:rFonts w:ascii="Times New Roman" w:hAnsi="Times New Roman" w:cs="Times New Roman"/>
          <w:b/>
          <w:bCs/>
          <w:sz w:val="26"/>
          <w:szCs w:val="26"/>
        </w:rPr>
        <w:t>NZF “giữ nguyên như hiện tại”</w:t>
      </w:r>
    </w:p>
    <w:p w14:paraId="1EB89440" w14:textId="77777777" w:rsidR="007D311E" w:rsidRPr="007D311E" w:rsidRDefault="007D311E" w:rsidP="007D311E">
      <w:pPr>
        <w:spacing w:before="120" w:after="120"/>
        <w:jc w:val="both"/>
        <w:rPr>
          <w:rFonts w:ascii="Times New Roman" w:hAnsi="Times New Roman" w:cs="Times New Roman"/>
          <w:sz w:val="26"/>
          <w:szCs w:val="26"/>
        </w:rPr>
      </w:pPr>
      <w:r w:rsidRPr="007D311E">
        <w:rPr>
          <w:rFonts w:ascii="Times New Roman" w:hAnsi="Times New Roman" w:cs="Times New Roman"/>
          <w:sz w:val="26"/>
          <w:szCs w:val="26"/>
        </w:rPr>
        <w:t>Trong kịch bản này, văn bản quy định được thông qua như đã được nhất trí về nguyên tắc vào năm 2025, với khả năng được củng cố thêm thông qua việc làm rõ các hướng dẫn triển khai.</w:t>
      </w:r>
    </w:p>
    <w:p w14:paraId="6DC346EC" w14:textId="1549A1CF" w:rsidR="007D311E" w:rsidRPr="007D311E" w:rsidRDefault="007D311E" w:rsidP="007D311E"/>
    <w:tbl>
      <w:tblPr>
        <w:tblW w:w="9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03"/>
        <w:gridCol w:w="2843"/>
        <w:gridCol w:w="2539"/>
        <w:gridCol w:w="2121"/>
      </w:tblGrid>
      <w:tr w:rsidR="00423C6C" w:rsidRPr="007D311E" w14:paraId="6CBDD73C" w14:textId="77777777" w:rsidTr="006D36DA">
        <w:trPr>
          <w:trHeight w:val="255"/>
        </w:trPr>
        <w:tc>
          <w:tcPr>
            <w:tcW w:w="1903" w:type="dxa"/>
            <w:shd w:val="clear" w:color="auto" w:fill="F5FFFA"/>
            <w:tcMar>
              <w:top w:w="120" w:type="dxa"/>
              <w:left w:w="300" w:type="dxa"/>
              <w:bottom w:w="120" w:type="dxa"/>
              <w:right w:w="300" w:type="dxa"/>
            </w:tcMar>
            <w:vAlign w:val="bottom"/>
            <w:hideMark/>
          </w:tcPr>
          <w:p w14:paraId="7784C185" w14:textId="6EF421FB" w:rsidR="007D311E" w:rsidRPr="007D311E" w:rsidRDefault="007D311E" w:rsidP="007D311E">
            <w:pPr>
              <w:rPr>
                <w:b/>
                <w:bCs/>
              </w:rPr>
            </w:pPr>
            <w:r w:rsidRPr="00E93A76">
              <w:rPr>
                <w:b/>
                <w:bCs/>
              </w:rPr>
              <w:t>Phân loại</w:t>
            </w:r>
          </w:p>
        </w:tc>
        <w:tc>
          <w:tcPr>
            <w:tcW w:w="2843" w:type="dxa"/>
            <w:shd w:val="clear" w:color="auto" w:fill="F5FFFA"/>
            <w:tcMar>
              <w:top w:w="120" w:type="dxa"/>
              <w:left w:w="300" w:type="dxa"/>
              <w:bottom w:w="120" w:type="dxa"/>
              <w:right w:w="300" w:type="dxa"/>
            </w:tcMar>
            <w:vAlign w:val="bottom"/>
            <w:hideMark/>
          </w:tcPr>
          <w:p w14:paraId="3B00F9D6" w14:textId="673039A7" w:rsidR="007D311E" w:rsidRPr="007D311E" w:rsidRDefault="007D311E" w:rsidP="006D36DA">
            <w:pPr>
              <w:jc w:val="center"/>
              <w:rPr>
                <w:b/>
                <w:bCs/>
              </w:rPr>
            </w:pPr>
            <w:r w:rsidRPr="00E93A76">
              <w:rPr>
                <w:b/>
                <w:bCs/>
              </w:rPr>
              <w:t>Không có yếu tố kinh tế</w:t>
            </w:r>
          </w:p>
        </w:tc>
        <w:tc>
          <w:tcPr>
            <w:tcW w:w="2539" w:type="dxa"/>
            <w:shd w:val="clear" w:color="auto" w:fill="F5FFFA"/>
            <w:tcMar>
              <w:top w:w="120" w:type="dxa"/>
              <w:left w:w="300" w:type="dxa"/>
              <w:bottom w:w="120" w:type="dxa"/>
              <w:right w:w="300" w:type="dxa"/>
            </w:tcMar>
            <w:vAlign w:val="bottom"/>
            <w:hideMark/>
          </w:tcPr>
          <w:p w14:paraId="2F7D5D96" w14:textId="6E0DED5F" w:rsidR="007D311E" w:rsidRPr="007D311E" w:rsidRDefault="007D311E" w:rsidP="006D36DA">
            <w:pPr>
              <w:jc w:val="center"/>
              <w:rPr>
                <w:b/>
                <w:bCs/>
              </w:rPr>
            </w:pPr>
            <w:r w:rsidRPr="007D311E">
              <w:rPr>
                <w:b/>
                <w:bCs/>
              </w:rPr>
              <w:t xml:space="preserve">GFS </w:t>
            </w:r>
            <w:r w:rsidRPr="00E93A76">
              <w:rPr>
                <w:b/>
                <w:bCs/>
              </w:rPr>
              <w:t>chỉ gồm một tầng</w:t>
            </w:r>
            <w:r w:rsidRPr="007D311E">
              <w:rPr>
                <w:b/>
                <w:bCs/>
              </w:rPr>
              <w:t xml:space="preserve"> </w:t>
            </w:r>
            <w:r w:rsidRPr="00E93A76">
              <w:rPr>
                <w:b/>
                <w:bCs/>
              </w:rPr>
              <w:t>có hạ thấp tham vọng</w:t>
            </w:r>
          </w:p>
        </w:tc>
        <w:tc>
          <w:tcPr>
            <w:tcW w:w="2121" w:type="dxa"/>
            <w:shd w:val="clear" w:color="auto" w:fill="F5FFFA"/>
            <w:tcMar>
              <w:top w:w="120" w:type="dxa"/>
              <w:left w:w="300" w:type="dxa"/>
              <w:bottom w:w="120" w:type="dxa"/>
              <w:right w:w="300" w:type="dxa"/>
            </w:tcMar>
            <w:vAlign w:val="bottom"/>
            <w:hideMark/>
          </w:tcPr>
          <w:p w14:paraId="777C0AF9" w14:textId="2A3DF37C" w:rsidR="007D311E" w:rsidRPr="007D311E" w:rsidRDefault="007D311E" w:rsidP="006D36DA">
            <w:pPr>
              <w:jc w:val="center"/>
              <w:rPr>
                <w:b/>
                <w:bCs/>
              </w:rPr>
            </w:pPr>
            <w:r w:rsidRPr="007D311E">
              <w:rPr>
                <w:b/>
                <w:bCs/>
              </w:rPr>
              <w:t xml:space="preserve">GFS </w:t>
            </w:r>
            <w:r w:rsidR="006D36DA" w:rsidRPr="00E93A76">
              <w:rPr>
                <w:b/>
                <w:bCs/>
              </w:rPr>
              <w:t xml:space="preserve">gồm 2 tầng </w:t>
            </w:r>
            <w:r w:rsidRPr="007D311E">
              <w:rPr>
                <w:b/>
                <w:bCs/>
              </w:rPr>
              <w:t>(NZF ‘</w:t>
            </w:r>
            <w:r w:rsidR="006D36DA" w:rsidRPr="00E93A76">
              <w:rPr>
                <w:b/>
                <w:bCs/>
              </w:rPr>
              <w:t>như hiện tại</w:t>
            </w:r>
            <w:r w:rsidRPr="007D311E">
              <w:rPr>
                <w:b/>
                <w:bCs/>
              </w:rPr>
              <w:t>’)</w:t>
            </w:r>
          </w:p>
        </w:tc>
      </w:tr>
      <w:tr w:rsidR="00423C6C" w:rsidRPr="007D311E" w14:paraId="67013759" w14:textId="77777777" w:rsidTr="006D36DA">
        <w:trPr>
          <w:trHeight w:val="1020"/>
        </w:trPr>
        <w:tc>
          <w:tcPr>
            <w:tcW w:w="1903" w:type="dxa"/>
            <w:shd w:val="clear" w:color="auto" w:fill="F5FFFA"/>
            <w:tcMar>
              <w:top w:w="120" w:type="dxa"/>
              <w:left w:w="300" w:type="dxa"/>
              <w:bottom w:w="120" w:type="dxa"/>
              <w:right w:w="300" w:type="dxa"/>
            </w:tcMar>
            <w:vAlign w:val="bottom"/>
            <w:hideMark/>
          </w:tcPr>
          <w:p w14:paraId="49F6FE79" w14:textId="24E4FFD9" w:rsidR="007D311E" w:rsidRPr="007D311E" w:rsidRDefault="006D36DA" w:rsidP="007D311E">
            <w:r>
              <w:rPr>
                <w:b/>
                <w:bCs/>
              </w:rPr>
              <w:t>Mô tả</w:t>
            </w:r>
          </w:p>
        </w:tc>
        <w:tc>
          <w:tcPr>
            <w:tcW w:w="2843" w:type="dxa"/>
            <w:shd w:val="clear" w:color="auto" w:fill="F5FFFA"/>
            <w:tcMar>
              <w:top w:w="120" w:type="dxa"/>
              <w:left w:w="300" w:type="dxa"/>
              <w:bottom w:w="120" w:type="dxa"/>
              <w:right w:w="300" w:type="dxa"/>
            </w:tcMar>
            <w:vAlign w:val="bottom"/>
            <w:hideMark/>
          </w:tcPr>
          <w:p w14:paraId="238D5488" w14:textId="1B82E8AD" w:rsidR="007D311E" w:rsidRPr="007D311E" w:rsidRDefault="006D36DA" w:rsidP="007D311E">
            <w:r w:rsidRPr="006D36DA">
              <w:t xml:space="preserve">Các mục tiêu GFI </w:t>
            </w:r>
            <w:r w:rsidRPr="006D36DA">
              <w:rPr>
                <w:b/>
                <w:bCs/>
              </w:rPr>
              <w:t>không đi kèm cơ chế mua bán tín chỉ, định giá carbon, quỹ hay cơ chế thưởng, thị trường tuân thủ hoặc khoản thu (levy)</w:t>
            </w:r>
          </w:p>
        </w:tc>
        <w:tc>
          <w:tcPr>
            <w:tcW w:w="2539" w:type="dxa"/>
            <w:shd w:val="clear" w:color="auto" w:fill="F5FFFA"/>
            <w:tcMar>
              <w:top w:w="120" w:type="dxa"/>
              <w:left w:w="300" w:type="dxa"/>
              <w:bottom w:w="120" w:type="dxa"/>
              <w:right w:w="300" w:type="dxa"/>
            </w:tcMar>
            <w:vAlign w:val="bottom"/>
            <w:hideMark/>
          </w:tcPr>
          <w:p w14:paraId="7FF0A072" w14:textId="7243D222" w:rsidR="007D311E" w:rsidRPr="007D311E" w:rsidRDefault="006D36DA" w:rsidP="006D36DA">
            <w:pPr>
              <w:ind w:right="276"/>
            </w:pPr>
            <w:r w:rsidRPr="006D36DA">
              <w:t>Một lộ trình GFI duy nhất kết hợp với cơ chế mua bán tín chỉ (credit-trading)</w:t>
            </w:r>
          </w:p>
        </w:tc>
        <w:tc>
          <w:tcPr>
            <w:tcW w:w="2121" w:type="dxa"/>
            <w:shd w:val="clear" w:color="auto" w:fill="F5FFFA"/>
            <w:tcMar>
              <w:top w:w="120" w:type="dxa"/>
              <w:left w:w="300" w:type="dxa"/>
              <w:bottom w:w="120" w:type="dxa"/>
              <w:right w:w="300" w:type="dxa"/>
            </w:tcMar>
            <w:vAlign w:val="bottom"/>
            <w:hideMark/>
          </w:tcPr>
          <w:p w14:paraId="4D483AB6" w14:textId="573A5138" w:rsidR="007D311E" w:rsidRPr="007D311E" w:rsidRDefault="006D36DA" w:rsidP="007D311E">
            <w:r w:rsidRPr="006D36DA">
              <w:t xml:space="preserve">Cơ chế GFI hai tầng kết hợp với mua bán tín chỉ – áp dụng cho cả phần vượt mức tuân thủ trực tiếp và </w:t>
            </w:r>
            <w:r w:rsidRPr="006D36DA">
              <w:lastRenderedPageBreak/>
              <w:t>phần dưới mức tuân thủ cơ sở.</w:t>
            </w:r>
            <w:r>
              <w:t xml:space="preserve"> </w:t>
            </w:r>
          </w:p>
        </w:tc>
      </w:tr>
      <w:tr w:rsidR="00423C6C" w:rsidRPr="007D311E" w14:paraId="206FF216" w14:textId="77777777" w:rsidTr="006D36DA">
        <w:trPr>
          <w:trHeight w:val="480"/>
        </w:trPr>
        <w:tc>
          <w:tcPr>
            <w:tcW w:w="1903" w:type="dxa"/>
            <w:shd w:val="clear" w:color="auto" w:fill="F5FFFA"/>
            <w:tcMar>
              <w:top w:w="120" w:type="dxa"/>
              <w:left w:w="300" w:type="dxa"/>
              <w:bottom w:w="120" w:type="dxa"/>
              <w:right w:w="300" w:type="dxa"/>
            </w:tcMar>
            <w:vAlign w:val="bottom"/>
            <w:hideMark/>
          </w:tcPr>
          <w:p w14:paraId="34B54C5E" w14:textId="295ED35E" w:rsidR="007D311E" w:rsidRPr="007D311E" w:rsidRDefault="006D36DA" w:rsidP="007D311E">
            <w:r>
              <w:rPr>
                <w:b/>
                <w:bCs/>
              </w:rPr>
              <w:lastRenderedPageBreak/>
              <w:t>Có hiệu lực</w:t>
            </w:r>
          </w:p>
        </w:tc>
        <w:tc>
          <w:tcPr>
            <w:tcW w:w="2843" w:type="dxa"/>
            <w:shd w:val="clear" w:color="auto" w:fill="F5FFFA"/>
            <w:tcMar>
              <w:top w:w="120" w:type="dxa"/>
              <w:left w:w="300" w:type="dxa"/>
              <w:bottom w:w="120" w:type="dxa"/>
              <w:right w:w="300" w:type="dxa"/>
            </w:tcMar>
            <w:vAlign w:val="bottom"/>
            <w:hideMark/>
          </w:tcPr>
          <w:p w14:paraId="2A3F6F5E" w14:textId="4E79CBBC" w:rsidR="007D311E" w:rsidRPr="007D311E" w:rsidRDefault="00423C6C" w:rsidP="007D311E">
            <w:r w:rsidRPr="00423C6C">
              <w:t>Khả năng cao việc có hiệu lực bị trì hoãn</w:t>
            </w:r>
            <w:r w:rsidR="007D311E" w:rsidRPr="007D311E">
              <w:t>.</w:t>
            </w:r>
          </w:p>
        </w:tc>
        <w:tc>
          <w:tcPr>
            <w:tcW w:w="2539" w:type="dxa"/>
            <w:shd w:val="clear" w:color="auto" w:fill="F5FFFA"/>
            <w:tcMar>
              <w:top w:w="120" w:type="dxa"/>
              <w:left w:w="300" w:type="dxa"/>
              <w:bottom w:w="120" w:type="dxa"/>
              <w:right w:w="300" w:type="dxa"/>
            </w:tcMar>
            <w:vAlign w:val="bottom"/>
            <w:hideMark/>
          </w:tcPr>
          <w:p w14:paraId="5EA02BFC" w14:textId="1D1DB5B3" w:rsidR="007D311E" w:rsidRPr="007D311E" w:rsidRDefault="00423C6C" w:rsidP="007D311E">
            <w:r w:rsidRPr="00423C6C">
              <w:t>Khả năng cao việc có hiệu lực bị trì hoãn</w:t>
            </w:r>
            <w:r w:rsidR="007D311E" w:rsidRPr="007D311E">
              <w:t>.</w:t>
            </w:r>
          </w:p>
        </w:tc>
        <w:tc>
          <w:tcPr>
            <w:tcW w:w="2121" w:type="dxa"/>
            <w:shd w:val="clear" w:color="auto" w:fill="F5FFFA"/>
            <w:tcMar>
              <w:top w:w="120" w:type="dxa"/>
              <w:left w:w="300" w:type="dxa"/>
              <w:bottom w:w="120" w:type="dxa"/>
              <w:right w:w="300" w:type="dxa"/>
            </w:tcMar>
            <w:vAlign w:val="bottom"/>
            <w:hideMark/>
          </w:tcPr>
          <w:p w14:paraId="41C43D49" w14:textId="1DAF025B" w:rsidR="007D311E" w:rsidRPr="007D311E" w:rsidRDefault="00423C6C" w:rsidP="007D311E">
            <w:r w:rsidRPr="00423C6C">
              <w:t>Có khả năng có hiệu lực nhanh nhất do không cần đàm phán lại</w:t>
            </w:r>
            <w:r w:rsidR="007D311E" w:rsidRPr="007D311E">
              <w:t>.</w:t>
            </w:r>
          </w:p>
        </w:tc>
      </w:tr>
      <w:tr w:rsidR="00423C6C" w:rsidRPr="007D311E" w14:paraId="1332EBB9" w14:textId="77777777" w:rsidTr="006D36DA">
        <w:trPr>
          <w:trHeight w:val="510"/>
        </w:trPr>
        <w:tc>
          <w:tcPr>
            <w:tcW w:w="1903" w:type="dxa"/>
            <w:shd w:val="clear" w:color="auto" w:fill="F5FFFA"/>
            <w:tcMar>
              <w:top w:w="120" w:type="dxa"/>
              <w:left w:w="300" w:type="dxa"/>
              <w:bottom w:w="120" w:type="dxa"/>
              <w:right w:w="300" w:type="dxa"/>
            </w:tcMar>
            <w:vAlign w:val="bottom"/>
            <w:hideMark/>
          </w:tcPr>
          <w:p w14:paraId="01A7044C" w14:textId="050AB4B4" w:rsidR="007D311E" w:rsidRPr="007D311E" w:rsidRDefault="006D36DA" w:rsidP="007D311E">
            <w:r>
              <w:rPr>
                <w:b/>
                <w:bCs/>
              </w:rPr>
              <w:t>Bắt buộc tuân thủ</w:t>
            </w:r>
          </w:p>
        </w:tc>
        <w:tc>
          <w:tcPr>
            <w:tcW w:w="2843" w:type="dxa"/>
            <w:shd w:val="clear" w:color="auto" w:fill="F5FFFA"/>
            <w:tcMar>
              <w:top w:w="120" w:type="dxa"/>
              <w:left w:w="300" w:type="dxa"/>
              <w:bottom w:w="120" w:type="dxa"/>
              <w:right w:w="300" w:type="dxa"/>
            </w:tcMar>
            <w:vAlign w:val="bottom"/>
            <w:hideMark/>
          </w:tcPr>
          <w:p w14:paraId="7F5C83F7" w14:textId="391364EA" w:rsidR="007D311E" w:rsidRPr="007D311E" w:rsidRDefault="00423C6C" w:rsidP="007D311E">
            <w:r>
              <w:t>Không có cơ chế hiệu quả bắt buộc tuân thủ</w:t>
            </w:r>
            <w:r w:rsidR="007D311E" w:rsidRPr="007D311E">
              <w:t>.</w:t>
            </w:r>
          </w:p>
        </w:tc>
        <w:tc>
          <w:tcPr>
            <w:tcW w:w="2539" w:type="dxa"/>
            <w:shd w:val="clear" w:color="auto" w:fill="F5FFFA"/>
            <w:tcMar>
              <w:top w:w="120" w:type="dxa"/>
              <w:left w:w="300" w:type="dxa"/>
              <w:bottom w:w="120" w:type="dxa"/>
              <w:right w:w="300" w:type="dxa"/>
            </w:tcMar>
            <w:vAlign w:val="bottom"/>
            <w:hideMark/>
          </w:tcPr>
          <w:p w14:paraId="1B3F88F4" w14:textId="21F18727" w:rsidR="007D311E" w:rsidRPr="007D311E" w:rsidRDefault="00423C6C" w:rsidP="007D311E">
            <w:r>
              <w:t xml:space="preserve">Bắt buộc tuân thủ thông qua các mức phí cho việc không tuân thủ </w:t>
            </w:r>
          </w:p>
        </w:tc>
        <w:tc>
          <w:tcPr>
            <w:tcW w:w="2121" w:type="dxa"/>
            <w:shd w:val="clear" w:color="auto" w:fill="F5FFFA"/>
            <w:tcMar>
              <w:top w:w="120" w:type="dxa"/>
              <w:left w:w="300" w:type="dxa"/>
              <w:bottom w:w="120" w:type="dxa"/>
              <w:right w:w="300" w:type="dxa"/>
            </w:tcMar>
            <w:vAlign w:val="bottom"/>
            <w:hideMark/>
          </w:tcPr>
          <w:p w14:paraId="6F75BF25" w14:textId="2D140FFF" w:rsidR="007D311E" w:rsidRPr="007D311E" w:rsidRDefault="00423C6C" w:rsidP="007D311E">
            <w:r>
              <w:t>Bắt buộc tuân thủ thông qua các mức phí cho việc không tuân thủ</w:t>
            </w:r>
          </w:p>
        </w:tc>
      </w:tr>
      <w:tr w:rsidR="00423C6C" w:rsidRPr="007D311E" w14:paraId="1C58BE5B" w14:textId="77777777" w:rsidTr="006D36DA">
        <w:trPr>
          <w:trHeight w:val="510"/>
        </w:trPr>
        <w:tc>
          <w:tcPr>
            <w:tcW w:w="1903" w:type="dxa"/>
            <w:shd w:val="clear" w:color="auto" w:fill="F5FFFA"/>
            <w:tcMar>
              <w:top w:w="120" w:type="dxa"/>
              <w:left w:w="300" w:type="dxa"/>
              <w:bottom w:w="120" w:type="dxa"/>
              <w:right w:w="300" w:type="dxa"/>
            </w:tcMar>
            <w:vAlign w:val="bottom"/>
            <w:hideMark/>
          </w:tcPr>
          <w:p w14:paraId="2389E6A9" w14:textId="621F2D59" w:rsidR="007D311E" w:rsidRPr="007D311E" w:rsidRDefault="006D36DA" w:rsidP="007D311E">
            <w:r>
              <w:rPr>
                <w:b/>
                <w:bCs/>
              </w:rPr>
              <w:t>Tạo nguồn thu</w:t>
            </w:r>
          </w:p>
        </w:tc>
        <w:tc>
          <w:tcPr>
            <w:tcW w:w="2843" w:type="dxa"/>
            <w:shd w:val="clear" w:color="auto" w:fill="F5FFFA"/>
            <w:tcMar>
              <w:top w:w="120" w:type="dxa"/>
              <w:left w:w="300" w:type="dxa"/>
              <w:bottom w:w="120" w:type="dxa"/>
              <w:right w:w="300" w:type="dxa"/>
            </w:tcMar>
            <w:vAlign w:val="bottom"/>
            <w:hideMark/>
          </w:tcPr>
          <w:p w14:paraId="7C629BAF" w14:textId="7DB23CDF" w:rsidR="007D311E" w:rsidRPr="007D311E" w:rsidRDefault="00423C6C" w:rsidP="007D311E">
            <w:r>
              <w:t>Không có</w:t>
            </w:r>
            <w:r w:rsidR="007D311E" w:rsidRPr="007D311E">
              <w:t>.</w:t>
            </w:r>
          </w:p>
        </w:tc>
        <w:tc>
          <w:tcPr>
            <w:tcW w:w="2539" w:type="dxa"/>
            <w:shd w:val="clear" w:color="auto" w:fill="F5FFFA"/>
            <w:tcMar>
              <w:top w:w="120" w:type="dxa"/>
              <w:left w:w="300" w:type="dxa"/>
              <w:bottom w:w="120" w:type="dxa"/>
              <w:right w:w="300" w:type="dxa"/>
            </w:tcMar>
            <w:vAlign w:val="bottom"/>
            <w:hideMark/>
          </w:tcPr>
          <w:p w14:paraId="6DFB94EA" w14:textId="594E30B2" w:rsidR="007D311E" w:rsidRPr="007D311E" w:rsidRDefault="00423C6C" w:rsidP="007D311E">
            <w:r>
              <w:t>Tạo nguồn rất hạn chế/không tin cậy</w:t>
            </w:r>
            <w:r w:rsidR="007D311E" w:rsidRPr="007D311E">
              <w:t>.</w:t>
            </w:r>
          </w:p>
        </w:tc>
        <w:tc>
          <w:tcPr>
            <w:tcW w:w="2121" w:type="dxa"/>
            <w:shd w:val="clear" w:color="auto" w:fill="F5FFFA"/>
            <w:tcMar>
              <w:top w:w="120" w:type="dxa"/>
              <w:left w:w="300" w:type="dxa"/>
              <w:bottom w:w="120" w:type="dxa"/>
              <w:right w:w="300" w:type="dxa"/>
            </w:tcMar>
            <w:vAlign w:val="bottom"/>
            <w:hideMark/>
          </w:tcPr>
          <w:p w14:paraId="678CB716" w14:textId="0BE76390" w:rsidR="007D311E" w:rsidRPr="007D311E" w:rsidRDefault="00423C6C" w:rsidP="007D311E">
            <w:r>
              <w:t>Tạo nguồn mạnh mẽ và tin cậy</w:t>
            </w:r>
            <w:r w:rsidR="007D311E" w:rsidRPr="007D311E">
              <w:t>.</w:t>
            </w:r>
          </w:p>
        </w:tc>
      </w:tr>
      <w:tr w:rsidR="00423C6C" w:rsidRPr="007D311E" w14:paraId="04AE3F56" w14:textId="77777777" w:rsidTr="006D36DA">
        <w:trPr>
          <w:trHeight w:val="765"/>
        </w:trPr>
        <w:tc>
          <w:tcPr>
            <w:tcW w:w="1903" w:type="dxa"/>
            <w:shd w:val="clear" w:color="auto" w:fill="F5FFFA"/>
            <w:tcMar>
              <w:top w:w="120" w:type="dxa"/>
              <w:left w:w="300" w:type="dxa"/>
              <w:bottom w:w="120" w:type="dxa"/>
              <w:right w:w="300" w:type="dxa"/>
            </w:tcMar>
            <w:vAlign w:val="bottom"/>
            <w:hideMark/>
          </w:tcPr>
          <w:p w14:paraId="138B6A19" w14:textId="5A0A6056" w:rsidR="007D311E" w:rsidRPr="007D311E" w:rsidRDefault="006D36DA" w:rsidP="006D36DA">
            <w:pPr>
              <w:ind w:left="-210" w:right="-234"/>
            </w:pPr>
            <w:r>
              <w:rPr>
                <w:b/>
                <w:bCs/>
              </w:rPr>
              <w:t>S</w:t>
            </w:r>
            <w:r w:rsidRPr="006D36DA">
              <w:rPr>
                <w:b/>
                <w:bCs/>
              </w:rPr>
              <w:t>ản xuất và mức độ tiếp nhận (triển khai sử dụng) nhiên liệu ZNZ</w:t>
            </w:r>
          </w:p>
        </w:tc>
        <w:tc>
          <w:tcPr>
            <w:tcW w:w="2843" w:type="dxa"/>
            <w:shd w:val="clear" w:color="auto" w:fill="F5FFFA"/>
            <w:tcMar>
              <w:top w:w="120" w:type="dxa"/>
              <w:left w:w="300" w:type="dxa"/>
              <w:bottom w:w="120" w:type="dxa"/>
              <w:right w:w="300" w:type="dxa"/>
            </w:tcMar>
            <w:vAlign w:val="bottom"/>
            <w:hideMark/>
          </w:tcPr>
          <w:p w14:paraId="66720E08" w14:textId="380E1C02" w:rsidR="007D311E" w:rsidRPr="007D311E" w:rsidRDefault="00423C6C" w:rsidP="007D311E">
            <w:r w:rsidRPr="00423C6C">
              <w:t>Phụ thuộc vào hành động ở cấp quốc gia/khu vực hoặc các sáng kiến tự nguyện của ngành</w:t>
            </w:r>
            <w:r w:rsidR="007D311E" w:rsidRPr="007D311E">
              <w:t>.</w:t>
            </w:r>
          </w:p>
        </w:tc>
        <w:tc>
          <w:tcPr>
            <w:tcW w:w="2539" w:type="dxa"/>
            <w:shd w:val="clear" w:color="auto" w:fill="F5FFFA"/>
            <w:tcMar>
              <w:top w:w="120" w:type="dxa"/>
              <w:left w:w="300" w:type="dxa"/>
              <w:bottom w:w="120" w:type="dxa"/>
              <w:right w:w="300" w:type="dxa"/>
            </w:tcMar>
            <w:vAlign w:val="bottom"/>
            <w:hideMark/>
          </w:tcPr>
          <w:p w14:paraId="409137A7" w14:textId="14AA3B4C" w:rsidR="007D311E" w:rsidRPr="007D311E" w:rsidRDefault="00423C6C" w:rsidP="007D311E">
            <w:r w:rsidRPr="00423C6C">
              <w:t>Nhiều khả năng trì hoãn SZEF sang thập niên 2040, dẫn đến quá trình chuyển đổi mang tính từng bước, gia tăng dần</w:t>
            </w:r>
            <w:r w:rsidR="007D311E" w:rsidRPr="007D311E">
              <w:t>.</w:t>
            </w:r>
          </w:p>
        </w:tc>
        <w:tc>
          <w:tcPr>
            <w:tcW w:w="2121" w:type="dxa"/>
            <w:shd w:val="clear" w:color="auto" w:fill="F5FFFA"/>
            <w:tcMar>
              <w:top w:w="120" w:type="dxa"/>
              <w:left w:w="300" w:type="dxa"/>
              <w:bottom w:w="120" w:type="dxa"/>
              <w:right w:w="300" w:type="dxa"/>
            </w:tcMar>
            <w:vAlign w:val="bottom"/>
            <w:hideMark/>
          </w:tcPr>
          <w:p w14:paraId="1E10C6FB" w14:textId="43081467" w:rsidR="007D311E" w:rsidRPr="007D311E" w:rsidRDefault="00423C6C" w:rsidP="007D311E">
            <w:r w:rsidRPr="00423C6C">
              <w:t>Có tiềm năng hỗ trợ một quá trình chuyển đổi nhanh hơn, mang tính tăng tốc</w:t>
            </w:r>
            <w:r w:rsidR="007D311E" w:rsidRPr="007D311E">
              <w:t>.</w:t>
            </w:r>
          </w:p>
        </w:tc>
      </w:tr>
      <w:tr w:rsidR="00423C6C" w:rsidRPr="007D311E" w14:paraId="34266D9F" w14:textId="77777777" w:rsidTr="006D36DA">
        <w:trPr>
          <w:trHeight w:val="765"/>
        </w:trPr>
        <w:tc>
          <w:tcPr>
            <w:tcW w:w="1903" w:type="dxa"/>
            <w:shd w:val="clear" w:color="auto" w:fill="F5FFFA"/>
            <w:tcMar>
              <w:top w:w="120" w:type="dxa"/>
              <w:left w:w="300" w:type="dxa"/>
              <w:bottom w:w="120" w:type="dxa"/>
              <w:right w:w="300" w:type="dxa"/>
            </w:tcMar>
            <w:vAlign w:val="bottom"/>
            <w:hideMark/>
          </w:tcPr>
          <w:p w14:paraId="2BC089E7" w14:textId="358C559C" w:rsidR="007D311E" w:rsidRPr="007D311E" w:rsidRDefault="006D36DA" w:rsidP="007D311E">
            <w:r w:rsidRPr="006D36DA">
              <w:rPr>
                <w:b/>
                <w:bCs/>
              </w:rPr>
              <w:t>Chuyển đổi công bằng và bình đẳng</w:t>
            </w:r>
          </w:p>
        </w:tc>
        <w:tc>
          <w:tcPr>
            <w:tcW w:w="2843" w:type="dxa"/>
            <w:shd w:val="clear" w:color="auto" w:fill="F5FFFA"/>
            <w:tcMar>
              <w:top w:w="120" w:type="dxa"/>
              <w:left w:w="300" w:type="dxa"/>
              <w:bottom w:w="120" w:type="dxa"/>
              <w:right w:w="300" w:type="dxa"/>
            </w:tcMar>
            <w:vAlign w:val="bottom"/>
            <w:hideMark/>
          </w:tcPr>
          <w:p w14:paraId="14773D96" w14:textId="02E89A72" w:rsidR="007D311E" w:rsidRPr="007D311E" w:rsidRDefault="00423C6C" w:rsidP="007D311E">
            <w:r w:rsidRPr="00423C6C">
              <w:t>Không có chuyển đổi, không hỗ trợ JET (Chuyển đổi Công bằng và Bình đẳng), không giải quyết các tác động của biến đổi khí hậu</w:t>
            </w:r>
          </w:p>
        </w:tc>
        <w:tc>
          <w:tcPr>
            <w:tcW w:w="2539" w:type="dxa"/>
            <w:shd w:val="clear" w:color="auto" w:fill="F5FFFA"/>
            <w:tcMar>
              <w:top w:w="120" w:type="dxa"/>
              <w:left w:w="300" w:type="dxa"/>
              <w:bottom w:w="120" w:type="dxa"/>
              <w:right w:w="300" w:type="dxa"/>
            </w:tcMar>
            <w:vAlign w:val="bottom"/>
            <w:hideMark/>
          </w:tcPr>
          <w:p w14:paraId="3D824EBA" w14:textId="796C792E" w:rsidR="007D311E" w:rsidRPr="007D311E" w:rsidRDefault="00423C6C" w:rsidP="007D311E">
            <w:r w:rsidRPr="00423C6C">
              <w:t xml:space="preserve">Nguồn thu kém ổn định và thấp hơn, hạn chế nghiêm trọng khả năng tạo nguồn tài chính cho JET, trong khi hầu như không cải thiện các tác động </w:t>
            </w:r>
            <w:r w:rsidRPr="00423C6C">
              <w:lastRenderedPageBreak/>
              <w:t>tiêu cực so với NZF</w:t>
            </w:r>
            <w:r w:rsidR="007D311E" w:rsidRPr="007D311E">
              <w:t>.</w:t>
            </w:r>
          </w:p>
        </w:tc>
        <w:tc>
          <w:tcPr>
            <w:tcW w:w="2121" w:type="dxa"/>
            <w:shd w:val="clear" w:color="auto" w:fill="F5FFFA"/>
            <w:tcMar>
              <w:top w:w="120" w:type="dxa"/>
              <w:left w:w="300" w:type="dxa"/>
              <w:bottom w:w="120" w:type="dxa"/>
              <w:right w:w="300" w:type="dxa"/>
            </w:tcMar>
            <w:vAlign w:val="bottom"/>
            <w:hideMark/>
          </w:tcPr>
          <w:p w14:paraId="4B1307FE" w14:textId="04A78929" w:rsidR="007D311E" w:rsidRPr="007D311E" w:rsidRDefault="00423C6C" w:rsidP="007D311E">
            <w:r w:rsidRPr="00423C6C">
              <w:lastRenderedPageBreak/>
              <w:t xml:space="preserve">Nguồn thu ổn định để hỗ trợ JET ở mức khởi điểm khiêm tốn, </w:t>
            </w:r>
            <w:r>
              <w:t>có</w:t>
            </w:r>
            <w:r w:rsidRPr="00423C6C">
              <w:t xml:space="preserve"> </w:t>
            </w:r>
            <w:r>
              <w:t>tiềm</w:t>
            </w:r>
            <w:r w:rsidRPr="00423C6C">
              <w:t xml:space="preserve"> năng tăng nguồn thu trong các kỳ rà soát sau</w:t>
            </w:r>
            <w:r w:rsidR="007D311E" w:rsidRPr="007D311E">
              <w:t>.</w:t>
            </w:r>
          </w:p>
        </w:tc>
      </w:tr>
      <w:tr w:rsidR="00423C6C" w:rsidRPr="007D311E" w14:paraId="11BB8A49" w14:textId="77777777" w:rsidTr="006D36DA">
        <w:trPr>
          <w:trHeight w:val="765"/>
        </w:trPr>
        <w:tc>
          <w:tcPr>
            <w:tcW w:w="1903" w:type="dxa"/>
            <w:shd w:val="clear" w:color="auto" w:fill="F5FFFA"/>
            <w:tcMar>
              <w:top w:w="120" w:type="dxa"/>
              <w:left w:w="300" w:type="dxa"/>
              <w:bottom w:w="120" w:type="dxa"/>
              <w:right w:w="300" w:type="dxa"/>
            </w:tcMar>
            <w:vAlign w:val="bottom"/>
            <w:hideMark/>
          </w:tcPr>
          <w:p w14:paraId="41483824" w14:textId="068B54FB" w:rsidR="007D311E" w:rsidRPr="007D311E" w:rsidRDefault="006D36DA" w:rsidP="007D311E">
            <w:r>
              <w:rPr>
                <w:b/>
                <w:bCs/>
              </w:rPr>
              <w:t>Giảm phát thải</w:t>
            </w:r>
          </w:p>
        </w:tc>
        <w:tc>
          <w:tcPr>
            <w:tcW w:w="2843" w:type="dxa"/>
            <w:shd w:val="clear" w:color="auto" w:fill="F5FFFA"/>
            <w:tcMar>
              <w:top w:w="120" w:type="dxa"/>
              <w:left w:w="300" w:type="dxa"/>
              <w:bottom w:w="120" w:type="dxa"/>
              <w:right w:w="300" w:type="dxa"/>
            </w:tcMar>
            <w:vAlign w:val="bottom"/>
            <w:hideMark/>
          </w:tcPr>
          <w:p w14:paraId="0A9E8C95" w14:textId="1AB598F7" w:rsidR="007D311E" w:rsidRPr="007D311E" w:rsidRDefault="00423C6C" w:rsidP="007D311E">
            <w:r w:rsidRPr="00423C6C">
              <w:t xml:space="preserve">Ít có khả năng thực hiện được Chiến lược GHG sửa đổi của </w:t>
            </w:r>
            <w:r>
              <w:t>IMO</w:t>
            </w:r>
            <w:r w:rsidRPr="00423C6C">
              <w:t>; mức độ bất định cao về độ tin cậy và khả năng dự đoán của chính sách.</w:t>
            </w:r>
          </w:p>
        </w:tc>
        <w:tc>
          <w:tcPr>
            <w:tcW w:w="2539" w:type="dxa"/>
            <w:shd w:val="clear" w:color="auto" w:fill="F5FFFA"/>
            <w:tcMar>
              <w:top w:w="120" w:type="dxa"/>
              <w:left w:w="300" w:type="dxa"/>
              <w:bottom w:w="120" w:type="dxa"/>
              <w:right w:w="300" w:type="dxa"/>
            </w:tcMar>
            <w:vAlign w:val="bottom"/>
            <w:hideMark/>
          </w:tcPr>
          <w:p w14:paraId="7F83D8E3" w14:textId="1D7B6A17" w:rsidR="007D311E" w:rsidRPr="007D311E" w:rsidRDefault="00423C6C" w:rsidP="007D311E">
            <w:r w:rsidRPr="00423C6C">
              <w:t>Khả năng thực hiện Chiến lược GHG sửa đổi của IMO bị hạn chế; mức độ bất định cao về tính ổn định và khả năng dự báo của chính sách</w:t>
            </w:r>
            <w:r w:rsidR="007D311E" w:rsidRPr="007D311E">
              <w:t>.</w:t>
            </w:r>
          </w:p>
        </w:tc>
        <w:tc>
          <w:tcPr>
            <w:tcW w:w="2121" w:type="dxa"/>
            <w:shd w:val="clear" w:color="auto" w:fill="F5FFFA"/>
            <w:tcMar>
              <w:top w:w="120" w:type="dxa"/>
              <w:left w:w="300" w:type="dxa"/>
              <w:bottom w:w="120" w:type="dxa"/>
              <w:right w:w="300" w:type="dxa"/>
            </w:tcMar>
            <w:vAlign w:val="bottom"/>
            <w:hideMark/>
          </w:tcPr>
          <w:p w14:paraId="0024757A" w14:textId="640CB186" w:rsidR="007D311E" w:rsidRPr="007D311E" w:rsidRDefault="00423C6C" w:rsidP="007D311E">
            <w:r w:rsidRPr="00423C6C">
              <w:t>Có khả năng đạt được mức giảm phát thải đáng kể, nhưng vẫn có thể chưa đạt được các mục tiêu của IMO</w:t>
            </w:r>
          </w:p>
        </w:tc>
      </w:tr>
      <w:tr w:rsidR="00423C6C" w:rsidRPr="007D311E" w14:paraId="721E0660" w14:textId="77777777" w:rsidTr="006D36DA">
        <w:trPr>
          <w:trHeight w:val="765"/>
        </w:trPr>
        <w:tc>
          <w:tcPr>
            <w:tcW w:w="1903" w:type="dxa"/>
            <w:shd w:val="clear" w:color="auto" w:fill="F5FFFA"/>
            <w:tcMar>
              <w:top w:w="120" w:type="dxa"/>
              <w:left w:w="300" w:type="dxa"/>
              <w:bottom w:w="120" w:type="dxa"/>
              <w:right w:w="300" w:type="dxa"/>
            </w:tcMar>
            <w:vAlign w:val="bottom"/>
            <w:hideMark/>
          </w:tcPr>
          <w:p w14:paraId="62B4D881" w14:textId="0A4C560C" w:rsidR="007D311E" w:rsidRPr="007D311E" w:rsidRDefault="006D36DA" w:rsidP="007D311E">
            <w:r w:rsidRPr="006D36DA">
              <w:rPr>
                <w:b/>
                <w:bCs/>
              </w:rPr>
              <w:t>Sự tương tác giữa các chính sách/khu vực</w:t>
            </w:r>
          </w:p>
        </w:tc>
        <w:tc>
          <w:tcPr>
            <w:tcW w:w="2843" w:type="dxa"/>
            <w:shd w:val="clear" w:color="auto" w:fill="F5FFFA"/>
            <w:tcMar>
              <w:top w:w="120" w:type="dxa"/>
              <w:left w:w="300" w:type="dxa"/>
              <w:bottom w:w="120" w:type="dxa"/>
              <w:right w:w="300" w:type="dxa"/>
            </w:tcMar>
            <w:vAlign w:val="bottom"/>
            <w:hideMark/>
          </w:tcPr>
          <w:p w14:paraId="4EE2A7BB" w14:textId="545161B0" w:rsidR="007D311E" w:rsidRPr="007D311E" w:rsidRDefault="00E93A76" w:rsidP="007D311E">
            <w:r w:rsidRPr="00E93A76">
              <w:t>Tăng cường cơ sở lý luận cho các chính sách cấp khu vực</w:t>
            </w:r>
            <w:r w:rsidR="007D311E" w:rsidRPr="007D311E">
              <w:t>.</w:t>
            </w:r>
          </w:p>
        </w:tc>
        <w:tc>
          <w:tcPr>
            <w:tcW w:w="2539" w:type="dxa"/>
            <w:shd w:val="clear" w:color="auto" w:fill="F5FFFA"/>
            <w:tcMar>
              <w:top w:w="120" w:type="dxa"/>
              <w:left w:w="300" w:type="dxa"/>
              <w:bottom w:w="120" w:type="dxa"/>
              <w:right w:w="300" w:type="dxa"/>
            </w:tcMar>
            <w:vAlign w:val="bottom"/>
            <w:hideMark/>
          </w:tcPr>
          <w:p w14:paraId="68499F4D" w14:textId="232526BA" w:rsidR="007D311E" w:rsidRPr="007D311E" w:rsidRDefault="00E93A76" w:rsidP="00E93A76">
            <w:pPr>
              <w:ind w:left="-108" w:right="-156"/>
            </w:pPr>
            <w:r w:rsidRPr="00E93A76">
              <w:t>Làm giảm cơ sở áp dụng các chính sách kỹ thuật cấp khu vực (như FuelEU), nhưng không loại bỏ cơ sở cho các chính sách kinh tế cấp khu vực (ví dụ: ETS – Hệ thống mua bán phát thải).</w:t>
            </w:r>
          </w:p>
        </w:tc>
        <w:tc>
          <w:tcPr>
            <w:tcW w:w="2121" w:type="dxa"/>
            <w:shd w:val="clear" w:color="auto" w:fill="F5FFFA"/>
            <w:tcMar>
              <w:top w:w="120" w:type="dxa"/>
              <w:left w:w="300" w:type="dxa"/>
              <w:bottom w:w="120" w:type="dxa"/>
              <w:right w:w="300" w:type="dxa"/>
            </w:tcMar>
            <w:vAlign w:val="bottom"/>
            <w:hideMark/>
          </w:tcPr>
          <w:p w14:paraId="6B713C2A" w14:textId="11E9B461" w:rsidR="007D311E" w:rsidRPr="007D311E" w:rsidRDefault="00E93A76" w:rsidP="007D311E">
            <w:r w:rsidRPr="00E93A76">
              <w:t>Ít có cơ sở nhất để ban hành thêm các biện pháp khu vực bổ sung</w:t>
            </w:r>
            <w:r>
              <w:t>.</w:t>
            </w:r>
          </w:p>
        </w:tc>
      </w:tr>
      <w:tr w:rsidR="00423C6C" w:rsidRPr="007D311E" w14:paraId="137FE63A" w14:textId="77777777" w:rsidTr="006D36DA">
        <w:trPr>
          <w:trHeight w:val="765"/>
        </w:trPr>
        <w:tc>
          <w:tcPr>
            <w:tcW w:w="1903" w:type="dxa"/>
            <w:shd w:val="clear" w:color="auto" w:fill="F5FFFA"/>
            <w:tcMar>
              <w:top w:w="120" w:type="dxa"/>
              <w:left w:w="300" w:type="dxa"/>
              <w:bottom w:w="120" w:type="dxa"/>
              <w:right w:w="300" w:type="dxa"/>
            </w:tcMar>
            <w:vAlign w:val="bottom"/>
            <w:hideMark/>
          </w:tcPr>
          <w:p w14:paraId="04E7791B" w14:textId="61519C31" w:rsidR="007D311E" w:rsidRPr="007D311E" w:rsidRDefault="006D36DA" w:rsidP="007D311E">
            <w:r w:rsidRPr="006D36DA">
              <w:rPr>
                <w:b/>
                <w:bCs/>
              </w:rPr>
              <w:t>Sự ủng hộ về mặt chính trị</w:t>
            </w:r>
          </w:p>
        </w:tc>
        <w:tc>
          <w:tcPr>
            <w:tcW w:w="2843" w:type="dxa"/>
            <w:shd w:val="clear" w:color="auto" w:fill="F5FFFA"/>
            <w:tcMar>
              <w:top w:w="120" w:type="dxa"/>
              <w:left w:w="300" w:type="dxa"/>
              <w:bottom w:w="120" w:type="dxa"/>
              <w:right w:w="300" w:type="dxa"/>
            </w:tcMar>
            <w:vAlign w:val="bottom"/>
            <w:hideMark/>
          </w:tcPr>
          <w:p w14:paraId="3F1DA766" w14:textId="70ECCCBF" w:rsidR="007D311E" w:rsidRPr="007D311E" w:rsidRDefault="00E93A76" w:rsidP="007D311E">
            <w:r w:rsidRPr="00E93A76">
              <w:t>Khó có khả năng nhận được sự ủng hộ từ các quốc gia có mức tham vọng cao và phần lớn các nước thu nhập thấp</w:t>
            </w:r>
            <w:r w:rsidRPr="00E93A76">
              <w:t xml:space="preserve"> </w:t>
            </w:r>
          </w:p>
        </w:tc>
        <w:tc>
          <w:tcPr>
            <w:tcW w:w="2539" w:type="dxa"/>
            <w:shd w:val="clear" w:color="auto" w:fill="F5FFFA"/>
            <w:tcMar>
              <w:top w:w="120" w:type="dxa"/>
              <w:left w:w="300" w:type="dxa"/>
              <w:bottom w:w="120" w:type="dxa"/>
              <w:right w:w="300" w:type="dxa"/>
            </w:tcMar>
            <w:vAlign w:val="bottom"/>
            <w:hideMark/>
          </w:tcPr>
          <w:p w14:paraId="6FABBC6F" w14:textId="6D92E047" w:rsidR="007D311E" w:rsidRPr="007D311E" w:rsidRDefault="00E93A76" w:rsidP="007D311E">
            <w:r w:rsidRPr="00E93A76">
              <w:t>Khó thu hút sự ủng hộ từ một số quốc gia thu nhập thấp và những nước phản đối các biện pháp kinh tế</w:t>
            </w:r>
            <w:r w:rsidRPr="00E93A76">
              <w:t xml:space="preserve"> </w:t>
            </w:r>
          </w:p>
        </w:tc>
        <w:tc>
          <w:tcPr>
            <w:tcW w:w="2121" w:type="dxa"/>
            <w:shd w:val="clear" w:color="auto" w:fill="F5FFFA"/>
            <w:tcMar>
              <w:top w:w="120" w:type="dxa"/>
              <w:left w:w="300" w:type="dxa"/>
              <w:bottom w:w="120" w:type="dxa"/>
              <w:right w:w="300" w:type="dxa"/>
            </w:tcMar>
            <w:vAlign w:val="bottom"/>
            <w:hideMark/>
          </w:tcPr>
          <w:p w14:paraId="2A68D9FF" w14:textId="7E08C3C8" w:rsidR="007D311E" w:rsidRPr="007D311E" w:rsidRDefault="00E93A76" w:rsidP="007D311E">
            <w:r w:rsidRPr="00E93A76">
              <w:t>Có thể thu hút đủ sự ủng hộ nếu xây dựng được niềm tin về tính khả thi và năng lực triển khai.</w:t>
            </w:r>
          </w:p>
        </w:tc>
      </w:tr>
    </w:tbl>
    <w:p w14:paraId="282A55F3" w14:textId="565F23D8" w:rsidR="00E93A76" w:rsidRPr="00E93A76" w:rsidRDefault="00E93A76" w:rsidP="00E93A76">
      <w:pPr>
        <w:spacing w:before="120" w:after="120"/>
        <w:jc w:val="both"/>
        <w:rPr>
          <w:rFonts w:ascii="Times New Roman" w:hAnsi="Times New Roman" w:cs="Times New Roman"/>
          <w:sz w:val="26"/>
          <w:szCs w:val="26"/>
        </w:rPr>
      </w:pPr>
      <w:r w:rsidRPr="00E93A76">
        <w:rPr>
          <w:rFonts w:ascii="Times New Roman" w:hAnsi="Times New Roman" w:cs="Times New Roman"/>
          <w:sz w:val="26"/>
          <w:szCs w:val="26"/>
        </w:rPr>
        <w:t xml:space="preserve">Như đã nêu trong ấn phẩm, </w:t>
      </w:r>
      <w:r w:rsidRPr="00E93A76">
        <w:rPr>
          <w:rFonts w:ascii="Times New Roman" w:hAnsi="Times New Roman" w:cs="Times New Roman"/>
          <w:b/>
          <w:bCs/>
          <w:sz w:val="26"/>
          <w:szCs w:val="26"/>
        </w:rPr>
        <w:t>chỉ kịch bản thông qua đầy đủ</w:t>
      </w:r>
      <w:r w:rsidRPr="00E93A76">
        <w:rPr>
          <w:rFonts w:ascii="Times New Roman" w:hAnsi="Times New Roman" w:cs="Times New Roman"/>
          <w:sz w:val="26"/>
          <w:szCs w:val="26"/>
        </w:rPr>
        <w:t xml:space="preserve"> mới cung cấp được tín hiệu nhu cầu đáng tin cậy, ổn định và dòng doanh thu bền vững cần thiết để thúc đẩy việc triển khai sớm và trên diện rộng các loại nhiên liệu phát thải bằng 0 có khả năng mở rộng. </w:t>
      </w:r>
      <w:r>
        <w:rPr>
          <w:rFonts w:ascii="Times New Roman" w:hAnsi="Times New Roman" w:cs="Times New Roman"/>
          <w:sz w:val="26"/>
          <w:szCs w:val="26"/>
        </w:rPr>
        <w:t>Còn</w:t>
      </w:r>
      <w:r w:rsidRPr="00E93A76">
        <w:rPr>
          <w:rFonts w:ascii="Times New Roman" w:hAnsi="Times New Roman" w:cs="Times New Roman"/>
          <w:sz w:val="26"/>
          <w:szCs w:val="26"/>
        </w:rPr>
        <w:t xml:space="preserve"> các phương án yếu hơn có nguy cơ đẩy việc đảm bảo nguồn cung nhiên liệu thực chất sang tận thập niên 2040.</w:t>
      </w:r>
    </w:p>
    <w:p w14:paraId="7B30177A" w14:textId="77777777" w:rsidR="00E93A76" w:rsidRPr="00E93A76" w:rsidRDefault="00E93A76" w:rsidP="00E93A76">
      <w:pPr>
        <w:spacing w:before="120" w:after="120"/>
        <w:jc w:val="both"/>
        <w:rPr>
          <w:rFonts w:ascii="Times New Roman" w:hAnsi="Times New Roman" w:cs="Times New Roman"/>
          <w:b/>
          <w:bCs/>
          <w:sz w:val="26"/>
          <w:szCs w:val="26"/>
        </w:rPr>
      </w:pPr>
      <w:r w:rsidRPr="00E93A76">
        <w:rPr>
          <w:rFonts w:ascii="Times New Roman" w:hAnsi="Times New Roman" w:cs="Times New Roman"/>
          <w:b/>
          <w:bCs/>
          <w:sz w:val="26"/>
          <w:szCs w:val="26"/>
        </w:rPr>
        <w:t>Kết luận chính</w:t>
      </w:r>
    </w:p>
    <w:p w14:paraId="7F01991B" w14:textId="77777777" w:rsidR="00E93A76" w:rsidRPr="00E93A76" w:rsidRDefault="00E93A76" w:rsidP="00E93A76">
      <w:pPr>
        <w:spacing w:before="120" w:after="120"/>
        <w:jc w:val="both"/>
        <w:rPr>
          <w:rFonts w:ascii="Times New Roman" w:hAnsi="Times New Roman" w:cs="Times New Roman"/>
          <w:sz w:val="26"/>
          <w:szCs w:val="26"/>
        </w:rPr>
      </w:pPr>
      <w:r w:rsidRPr="00E93A76">
        <w:rPr>
          <w:rFonts w:ascii="Times New Roman" w:hAnsi="Times New Roman" w:cs="Times New Roman"/>
          <w:sz w:val="26"/>
          <w:szCs w:val="26"/>
        </w:rPr>
        <w:t>Bản phân tích (insight brief) kết luận rằng:</w:t>
      </w:r>
    </w:p>
    <w:p w14:paraId="7B5B8F53" w14:textId="77777777" w:rsidR="00E93A76" w:rsidRPr="00E93A76" w:rsidRDefault="00E93A76" w:rsidP="00E93A76">
      <w:pPr>
        <w:numPr>
          <w:ilvl w:val="0"/>
          <w:numId w:val="5"/>
        </w:numPr>
        <w:spacing w:before="120" w:after="120"/>
        <w:jc w:val="both"/>
        <w:rPr>
          <w:rFonts w:ascii="Times New Roman" w:hAnsi="Times New Roman" w:cs="Times New Roman"/>
          <w:sz w:val="26"/>
          <w:szCs w:val="26"/>
        </w:rPr>
      </w:pPr>
      <w:r w:rsidRPr="00E93A76">
        <w:rPr>
          <w:rFonts w:ascii="Times New Roman" w:hAnsi="Times New Roman" w:cs="Times New Roman"/>
          <w:sz w:val="26"/>
          <w:szCs w:val="26"/>
        </w:rPr>
        <w:lastRenderedPageBreak/>
        <w:t>Các kịch bản thay thế hiện đang được đưa ra sẽ tạo ra rất ít hoặc không tạo ra tín hiệu nhu cầu và nguồn thu để hỗ trợ việc triển khai các loại nhiên liệu phát thải bằng 0 có khả năng mở rộng – vốn cần thiết cho mục tiêu dài hạn.</w:t>
      </w:r>
    </w:p>
    <w:p w14:paraId="0296605D" w14:textId="77777777" w:rsidR="00E93A76" w:rsidRPr="00E93A76" w:rsidRDefault="00E93A76" w:rsidP="00E93A76">
      <w:pPr>
        <w:numPr>
          <w:ilvl w:val="0"/>
          <w:numId w:val="5"/>
        </w:numPr>
        <w:spacing w:before="120" w:after="120"/>
        <w:jc w:val="both"/>
        <w:rPr>
          <w:rFonts w:ascii="Times New Roman" w:hAnsi="Times New Roman" w:cs="Times New Roman"/>
          <w:sz w:val="26"/>
          <w:szCs w:val="26"/>
        </w:rPr>
      </w:pPr>
      <w:r w:rsidRPr="00E93A76">
        <w:rPr>
          <w:rFonts w:ascii="Times New Roman" w:hAnsi="Times New Roman" w:cs="Times New Roman"/>
          <w:sz w:val="26"/>
          <w:szCs w:val="26"/>
        </w:rPr>
        <w:t>Các phương án thay thế NZF đang được thảo luận vẫn làm gia tăng chi phí đối với các quốc gia thu nhập thấp, nhưng lại hạn chế nghiêm trọng khả năng hỗ trợ quá trình chuyển đổi của họ và giảm thiểu các tác động bất cân xứng.</w:t>
      </w:r>
    </w:p>
    <w:p w14:paraId="5DFB70FA" w14:textId="065D015A" w:rsidR="00E93A76" w:rsidRPr="00E93A76" w:rsidRDefault="00E93A76" w:rsidP="00E93A76">
      <w:pPr>
        <w:numPr>
          <w:ilvl w:val="0"/>
          <w:numId w:val="5"/>
        </w:numPr>
        <w:spacing w:before="120" w:after="120"/>
        <w:jc w:val="both"/>
        <w:rPr>
          <w:rFonts w:ascii="Times New Roman" w:hAnsi="Times New Roman" w:cs="Times New Roman"/>
          <w:sz w:val="26"/>
          <w:szCs w:val="26"/>
        </w:rPr>
      </w:pPr>
      <w:r w:rsidRPr="00E93A76">
        <w:rPr>
          <w:rFonts w:ascii="Times New Roman" w:hAnsi="Times New Roman" w:cs="Times New Roman"/>
          <w:sz w:val="26"/>
          <w:szCs w:val="26"/>
        </w:rPr>
        <w:t>Các kịch bản thay thế có nhiều khả năng làm gia tăng tình trạng phân mảnh quy định, tăng rủi ro đầu tư và làm giảm mức độ phù hợp với chiến lược tổng thể về cắt giảm phát thải của IMO.</w:t>
      </w:r>
    </w:p>
    <w:p w14:paraId="122A1293" w14:textId="77777777" w:rsidR="00E93A76" w:rsidRPr="00E93A76" w:rsidRDefault="00E93A76" w:rsidP="00E93A76">
      <w:pPr>
        <w:numPr>
          <w:ilvl w:val="0"/>
          <w:numId w:val="5"/>
        </w:numPr>
        <w:spacing w:before="120" w:after="120"/>
        <w:jc w:val="both"/>
        <w:rPr>
          <w:rFonts w:ascii="Times New Roman" w:hAnsi="Times New Roman" w:cs="Times New Roman"/>
          <w:sz w:val="26"/>
          <w:szCs w:val="26"/>
        </w:rPr>
      </w:pPr>
      <w:r w:rsidRPr="00E93A76">
        <w:rPr>
          <w:rFonts w:ascii="Times New Roman" w:hAnsi="Times New Roman" w:cs="Times New Roman"/>
          <w:sz w:val="26"/>
          <w:szCs w:val="26"/>
        </w:rPr>
        <w:t>Mặc dù Khung Net-Zero chưa hoàn hảo, nhiều yếu tố rủi ro nêu trên có thể được quản lý thông qua việc xây dựng và hoàn thiện các hướng dẫn triển khai.</w:t>
      </w:r>
    </w:p>
    <w:p w14:paraId="73173D28" w14:textId="77777777" w:rsidR="00E93A76" w:rsidRPr="00E93A76" w:rsidRDefault="00E93A76" w:rsidP="00E93A76">
      <w:pPr>
        <w:spacing w:before="120" w:after="120"/>
        <w:jc w:val="both"/>
        <w:rPr>
          <w:rFonts w:ascii="Times New Roman" w:hAnsi="Times New Roman" w:cs="Times New Roman"/>
          <w:sz w:val="26"/>
          <w:szCs w:val="26"/>
        </w:rPr>
      </w:pPr>
      <w:r w:rsidRPr="00E93A76">
        <w:rPr>
          <w:rFonts w:ascii="Times New Roman" w:hAnsi="Times New Roman" w:cs="Times New Roman"/>
          <w:sz w:val="26"/>
          <w:szCs w:val="26"/>
        </w:rPr>
        <w:t>Theo giải thích, bản phân tích này được soạn thảo cho Getting to Zero Coalition và không nhất thiết phản ánh quan điểm chính thức của Liên minh hoặc từng thành viên riêng lẻ của tổ chức này.</w:t>
      </w:r>
    </w:p>
    <w:p w14:paraId="579C4B78" w14:textId="6CE84E45" w:rsidR="00C13E10" w:rsidRDefault="00E93A76" w:rsidP="00E93A76">
      <w:pPr>
        <w:jc w:val="center"/>
      </w:pPr>
      <w:r>
        <w:t>-------------------------------------------</w:t>
      </w:r>
    </w:p>
    <w:sectPr w:rsidR="00C13E10" w:rsidSect="007D311E">
      <w:pgSz w:w="12240" w:h="15840"/>
      <w:pgMar w:top="900" w:right="108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A6D2F"/>
    <w:multiLevelType w:val="multilevel"/>
    <w:tmpl w:val="DD302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161CD7"/>
    <w:multiLevelType w:val="multilevel"/>
    <w:tmpl w:val="541C3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514C2E"/>
    <w:multiLevelType w:val="multilevel"/>
    <w:tmpl w:val="A9A6D3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200C81"/>
    <w:multiLevelType w:val="hybridMultilevel"/>
    <w:tmpl w:val="2A0C8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D17A5F"/>
    <w:multiLevelType w:val="multilevel"/>
    <w:tmpl w:val="A9A0D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0640330">
    <w:abstractNumId w:val="4"/>
  </w:num>
  <w:num w:numId="2" w16cid:durableId="1479221458">
    <w:abstractNumId w:val="2"/>
  </w:num>
  <w:num w:numId="3" w16cid:durableId="1133249317">
    <w:abstractNumId w:val="0"/>
  </w:num>
  <w:num w:numId="4" w16cid:durableId="489712267">
    <w:abstractNumId w:val="3"/>
  </w:num>
  <w:num w:numId="5" w16cid:durableId="631592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11E"/>
    <w:rsid w:val="000501D0"/>
    <w:rsid w:val="00423C6C"/>
    <w:rsid w:val="006D36DA"/>
    <w:rsid w:val="007A512F"/>
    <w:rsid w:val="007D311E"/>
    <w:rsid w:val="00C13E10"/>
    <w:rsid w:val="00E93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02445"/>
  <w15:chartTrackingRefBased/>
  <w15:docId w15:val="{2E108EDE-9F7F-42D1-A6B0-B32E37E3A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31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31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31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31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31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31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31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31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31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1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31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31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31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31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31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31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31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311E"/>
    <w:rPr>
      <w:rFonts w:eastAsiaTheme="majorEastAsia" w:cstheme="majorBidi"/>
      <w:color w:val="272727" w:themeColor="text1" w:themeTint="D8"/>
    </w:rPr>
  </w:style>
  <w:style w:type="paragraph" w:styleId="Title">
    <w:name w:val="Title"/>
    <w:basedOn w:val="Normal"/>
    <w:next w:val="Normal"/>
    <w:link w:val="TitleChar"/>
    <w:uiPriority w:val="10"/>
    <w:qFormat/>
    <w:rsid w:val="007D31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31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31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31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311E"/>
    <w:pPr>
      <w:spacing w:before="160"/>
      <w:jc w:val="center"/>
    </w:pPr>
    <w:rPr>
      <w:i/>
      <w:iCs/>
      <w:color w:val="404040" w:themeColor="text1" w:themeTint="BF"/>
    </w:rPr>
  </w:style>
  <w:style w:type="character" w:customStyle="1" w:styleId="QuoteChar">
    <w:name w:val="Quote Char"/>
    <w:basedOn w:val="DefaultParagraphFont"/>
    <w:link w:val="Quote"/>
    <w:uiPriority w:val="29"/>
    <w:rsid w:val="007D311E"/>
    <w:rPr>
      <w:i/>
      <w:iCs/>
      <w:color w:val="404040" w:themeColor="text1" w:themeTint="BF"/>
    </w:rPr>
  </w:style>
  <w:style w:type="paragraph" w:styleId="ListParagraph">
    <w:name w:val="List Paragraph"/>
    <w:basedOn w:val="Normal"/>
    <w:uiPriority w:val="34"/>
    <w:qFormat/>
    <w:rsid w:val="007D311E"/>
    <w:pPr>
      <w:ind w:left="720"/>
      <w:contextualSpacing/>
    </w:pPr>
  </w:style>
  <w:style w:type="character" w:styleId="IntenseEmphasis">
    <w:name w:val="Intense Emphasis"/>
    <w:basedOn w:val="DefaultParagraphFont"/>
    <w:uiPriority w:val="21"/>
    <w:qFormat/>
    <w:rsid w:val="007D311E"/>
    <w:rPr>
      <w:i/>
      <w:iCs/>
      <w:color w:val="0F4761" w:themeColor="accent1" w:themeShade="BF"/>
    </w:rPr>
  </w:style>
  <w:style w:type="paragraph" w:styleId="IntenseQuote">
    <w:name w:val="Intense Quote"/>
    <w:basedOn w:val="Normal"/>
    <w:next w:val="Normal"/>
    <w:link w:val="IntenseQuoteChar"/>
    <w:uiPriority w:val="30"/>
    <w:qFormat/>
    <w:rsid w:val="007D31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311E"/>
    <w:rPr>
      <w:i/>
      <w:iCs/>
      <w:color w:val="0F4761" w:themeColor="accent1" w:themeShade="BF"/>
    </w:rPr>
  </w:style>
  <w:style w:type="character" w:styleId="IntenseReference">
    <w:name w:val="Intense Reference"/>
    <w:basedOn w:val="DefaultParagraphFont"/>
    <w:uiPriority w:val="32"/>
    <w:qFormat/>
    <w:rsid w:val="007D311E"/>
    <w:rPr>
      <w:b/>
      <w:bCs/>
      <w:smallCaps/>
      <w:color w:val="0F4761" w:themeColor="accent1" w:themeShade="BF"/>
      <w:spacing w:val="5"/>
    </w:rPr>
  </w:style>
  <w:style w:type="character" w:styleId="Hyperlink">
    <w:name w:val="Hyperlink"/>
    <w:basedOn w:val="DefaultParagraphFont"/>
    <w:uiPriority w:val="99"/>
    <w:unhideWhenUsed/>
    <w:rsid w:val="007D311E"/>
    <w:rPr>
      <w:color w:val="467886" w:themeColor="hyperlink"/>
      <w:u w:val="single"/>
    </w:rPr>
  </w:style>
  <w:style w:type="character" w:styleId="UnresolvedMention">
    <w:name w:val="Unresolved Mention"/>
    <w:basedOn w:val="DefaultParagraphFont"/>
    <w:uiPriority w:val="99"/>
    <w:semiHidden/>
    <w:unhideWhenUsed/>
    <w:rsid w:val="007D311E"/>
    <w:rPr>
      <w:color w:val="605E5C"/>
      <w:shd w:val="clear" w:color="auto" w:fill="E1DFDD"/>
    </w:rPr>
  </w:style>
  <w:style w:type="character" w:styleId="FollowedHyperlink">
    <w:name w:val="FollowedHyperlink"/>
    <w:basedOn w:val="DefaultParagraphFont"/>
    <w:uiPriority w:val="99"/>
    <w:semiHidden/>
    <w:unhideWhenUsed/>
    <w:rsid w:val="007D311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5/05/shutterstock_2138669339-e1771501118538.jpg" TargetMode="External"/><Relationship Id="rId5" Type="http://schemas.openxmlformats.org/officeDocument/2006/relationships/hyperlink" Target="https://safety4sea.com/category/green/green-shipp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1080</Words>
  <Characters>6159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2026-02-20T01:25:00Z</dcterms:created>
  <dcterms:modified xsi:type="dcterms:W3CDTF">2026-02-20T02:01:00Z</dcterms:modified>
</cp:coreProperties>
</file>