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E488" w14:textId="1F99FCC3" w:rsidR="00111D1A" w:rsidRPr="00111D1A" w:rsidRDefault="00111D1A" w:rsidP="00111D1A">
      <w:pPr>
        <w:spacing w:line="240" w:lineRule="auto"/>
        <w:jc w:val="center"/>
        <w:rPr>
          <w:rFonts w:ascii="Times New Roman" w:hAnsi="Times New Roman" w:cs="Times New Roman"/>
          <w:b/>
          <w:bCs/>
          <w:sz w:val="40"/>
          <w:szCs w:val="40"/>
        </w:rPr>
      </w:pPr>
      <w:r w:rsidRPr="00111D1A">
        <w:rPr>
          <w:rFonts w:ascii="Times New Roman" w:hAnsi="Times New Roman" w:cs="Times New Roman"/>
          <w:b/>
          <w:bCs/>
          <w:sz w:val="40"/>
          <w:szCs w:val="40"/>
        </w:rPr>
        <w:t>Khả năng chống chịu an ninh mạng của các hệ thống và thiết bị trên tàu</w:t>
      </w:r>
    </w:p>
    <w:p w14:paraId="682E572E" w14:textId="77777777" w:rsidR="00111D1A" w:rsidRPr="00111D1A" w:rsidRDefault="00111D1A" w:rsidP="00111D1A">
      <w:pPr>
        <w:jc w:val="right"/>
      </w:pPr>
      <w:r w:rsidRPr="00111D1A">
        <w:t> </w:t>
      </w:r>
      <w:hyperlink r:id="rId4" w:history="1">
        <w:r w:rsidRPr="00111D1A">
          <w:rPr>
            <w:rStyle w:val="Hyperlink"/>
            <w:b/>
            <w:bCs/>
          </w:rPr>
          <w:t>maritimecyprus</w:t>
        </w:r>
      </w:hyperlink>
    </w:p>
    <w:p w14:paraId="45538D64" w14:textId="71DDA5DC" w:rsidR="00111D1A" w:rsidRPr="00111D1A" w:rsidRDefault="00111D1A" w:rsidP="00111D1A">
      <w:r w:rsidRPr="00111D1A">
        <w:drawing>
          <wp:inline distT="0" distB="0" distL="0" distR="0" wp14:anchorId="7F7AFA7F" wp14:editId="5E4AAD0D">
            <wp:extent cx="5943600" cy="3757295"/>
            <wp:effectExtent l="0" t="0" r="0" b="0"/>
            <wp:docPr id="1529075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57295"/>
                    </a:xfrm>
                    <a:prstGeom prst="rect">
                      <a:avLst/>
                    </a:prstGeom>
                    <a:noFill/>
                    <a:ln>
                      <a:noFill/>
                    </a:ln>
                  </pic:spPr>
                </pic:pic>
              </a:graphicData>
            </a:graphic>
          </wp:inline>
        </w:drawing>
      </w:r>
    </w:p>
    <w:p w14:paraId="590A7E12" w14:textId="77777777" w:rsidR="00111D1A" w:rsidRPr="00111D1A" w:rsidRDefault="00111D1A" w:rsidP="00111D1A">
      <w:pPr>
        <w:spacing w:before="120" w:after="120"/>
        <w:jc w:val="both"/>
        <w:rPr>
          <w:rFonts w:ascii="Times New Roman" w:hAnsi="Times New Roman" w:cs="Times New Roman"/>
          <w:sz w:val="26"/>
          <w:szCs w:val="26"/>
        </w:rPr>
      </w:pPr>
      <w:r w:rsidRPr="00111D1A">
        <w:rPr>
          <w:rFonts w:ascii="Times New Roman" w:hAnsi="Times New Roman" w:cs="Times New Roman"/>
          <w:sz w:val="26"/>
          <w:szCs w:val="26"/>
        </w:rPr>
        <w:t xml:space="preserve">Hiệp hội Quốc tế các Tổ chức Đăng kiểm (IACS) đã ban hành </w:t>
      </w:r>
      <w:r w:rsidRPr="00111D1A">
        <w:rPr>
          <w:rFonts w:ascii="Times New Roman" w:hAnsi="Times New Roman" w:cs="Times New Roman"/>
          <w:color w:val="C00000"/>
          <w:sz w:val="26"/>
          <w:szCs w:val="26"/>
        </w:rPr>
        <w:t>Yêu cầu Thống nhất (Unified Requirement – UR) E27</w:t>
      </w:r>
      <w:r w:rsidRPr="00111D1A">
        <w:rPr>
          <w:rFonts w:ascii="Times New Roman" w:hAnsi="Times New Roman" w:cs="Times New Roman"/>
          <w:sz w:val="26"/>
          <w:szCs w:val="26"/>
        </w:rPr>
        <w:t>, thiết lập một khuôn khổ toàn diện về khả năng chống chịu an ninh mạng đối với các hệ thống và thiết bị lắp đặt trên tàu. UR E27 áp dụng cho các tàu đóng mới được ký hợp đồng đóng tàu từ ngày 1/7/2024 trở đi, và đánh dấu một bước tiến quan trọng trong việc tích hợp các yếu tố rủi ro an ninh mạng ngay từ giai đoạn thiết kế tàu và chứng nhận thiết bị.</w:t>
      </w:r>
    </w:p>
    <w:p w14:paraId="02934F03" w14:textId="77777777" w:rsidR="00111D1A" w:rsidRPr="00111D1A" w:rsidRDefault="00111D1A" w:rsidP="00111D1A">
      <w:pPr>
        <w:spacing w:before="120" w:after="120"/>
        <w:jc w:val="both"/>
        <w:rPr>
          <w:rFonts w:ascii="Times New Roman" w:hAnsi="Times New Roman" w:cs="Times New Roman"/>
          <w:sz w:val="26"/>
          <w:szCs w:val="26"/>
        </w:rPr>
      </w:pPr>
      <w:r w:rsidRPr="00111D1A">
        <w:rPr>
          <w:rFonts w:ascii="Times New Roman" w:hAnsi="Times New Roman" w:cs="Times New Roman"/>
          <w:sz w:val="26"/>
          <w:szCs w:val="26"/>
        </w:rPr>
        <w:t>Mục tiêu chính của IACS UR E27 là bảo đảm rằng các nhà sản xuất thiết bị và nhà cung cấp hệ thống triển khai các biện pháp kỹ thuật và tổ chức vững chắc nhằm bảo vệ tính toàn vẹn, tính sẵn sàng và độ tin cậy của hệ thống trước các mối đe dọa an ninh mạng. Yêu cầu này nhấn mạnh việc xác nhận rằng rủi ro an ninh mạng được xem xét và quản lý một cách có hệ thống trong</w:t>
      </w:r>
      <w:r w:rsidRPr="00111D1A">
        <w:rPr>
          <w:rFonts w:ascii="Times New Roman" w:hAnsi="Times New Roman" w:cs="Times New Roman"/>
          <w:b/>
          <w:bCs/>
          <w:sz w:val="26"/>
          <w:szCs w:val="26"/>
        </w:rPr>
        <w:t xml:space="preserve"> </w:t>
      </w:r>
      <w:r w:rsidRPr="00111D1A">
        <w:rPr>
          <w:rFonts w:ascii="Times New Roman" w:hAnsi="Times New Roman" w:cs="Times New Roman"/>
          <w:sz w:val="26"/>
          <w:szCs w:val="26"/>
        </w:rPr>
        <w:t>suốt vòng đời của các hệ thống trên tàu, thay vì chỉ được xử lý như một vấn đề phát sinh trong giai đoạn khai thác.</w:t>
      </w:r>
    </w:p>
    <w:p w14:paraId="684ACABA" w14:textId="2A4F00BE" w:rsidR="00111D1A" w:rsidRPr="00111D1A" w:rsidRDefault="00111D1A" w:rsidP="00111D1A">
      <w:pPr>
        <w:spacing w:before="120" w:after="120"/>
        <w:jc w:val="both"/>
        <w:rPr>
          <w:rFonts w:ascii="Times New Roman" w:hAnsi="Times New Roman" w:cs="Times New Roman"/>
          <w:sz w:val="26"/>
          <w:szCs w:val="26"/>
        </w:rPr>
      </w:pPr>
      <w:r w:rsidRPr="00111D1A">
        <w:rPr>
          <w:rFonts w:ascii="Times New Roman" w:hAnsi="Times New Roman" w:cs="Times New Roman"/>
          <w:sz w:val="26"/>
          <w:szCs w:val="26"/>
        </w:rPr>
        <w:t>UR E27 bao phủ phạm vi rộng các công nghệ trên tàu, bao gồm các hệ thống và thiết bị lắp đặt trên tàu, giao diện người dùng – hệ thống máy tính, cũng như các thành phần số được kết nối với nhau. Đồng thời, UR E27 cũng xác định rõ các yêu cầu đối với thiết kế, phát triển, thử</w:t>
      </w:r>
      <w:r w:rsidRPr="00111D1A">
        <w:rPr>
          <w:rFonts w:ascii="Times New Roman" w:hAnsi="Times New Roman" w:cs="Times New Roman"/>
          <w:b/>
          <w:bCs/>
          <w:sz w:val="26"/>
          <w:szCs w:val="26"/>
        </w:rPr>
        <w:t xml:space="preserve"> </w:t>
      </w:r>
      <w:r w:rsidRPr="00111D1A">
        <w:rPr>
          <w:rFonts w:ascii="Times New Roman" w:hAnsi="Times New Roman" w:cs="Times New Roman"/>
          <w:sz w:val="26"/>
          <w:szCs w:val="26"/>
        </w:rPr>
        <w:t xml:space="preserve">nghiệm và tài liệu kỹ thuật khi đưa các thiết bị hoặc hệ thống mới vào sử dụng trên tàu. Thông </w:t>
      </w:r>
      <w:r w:rsidRPr="00111D1A">
        <w:rPr>
          <w:rFonts w:ascii="Times New Roman" w:hAnsi="Times New Roman" w:cs="Times New Roman"/>
          <w:sz w:val="26"/>
          <w:szCs w:val="26"/>
        </w:rPr>
        <w:lastRenderedPageBreak/>
        <w:t xml:space="preserve">qua đó, UR E27 thúc đẩy các nguyên tắc </w:t>
      </w:r>
      <w:r w:rsidRPr="00111D1A">
        <w:rPr>
          <w:rFonts w:ascii="Times New Roman" w:hAnsi="Times New Roman" w:cs="Times New Roman"/>
          <w:b/>
          <w:bCs/>
          <w:sz w:val="26"/>
          <w:szCs w:val="26"/>
        </w:rPr>
        <w:t>“</w:t>
      </w:r>
      <w:proofErr w:type="gramStart"/>
      <w:r w:rsidRPr="00111D1A">
        <w:rPr>
          <w:rFonts w:ascii="Times New Roman" w:hAnsi="Times New Roman" w:cs="Times New Roman"/>
          <w:sz w:val="26"/>
          <w:szCs w:val="26"/>
        </w:rPr>
        <w:t>an</w:t>
      </w:r>
      <w:proofErr w:type="gramEnd"/>
      <w:r w:rsidRPr="00111D1A">
        <w:rPr>
          <w:rFonts w:ascii="Times New Roman" w:hAnsi="Times New Roman" w:cs="Times New Roman"/>
          <w:sz w:val="26"/>
          <w:szCs w:val="26"/>
        </w:rPr>
        <w:t xml:space="preserve"> </w:t>
      </w:r>
      <w:r>
        <w:rPr>
          <w:rFonts w:ascii="Times New Roman" w:hAnsi="Times New Roman" w:cs="Times New Roman"/>
          <w:sz w:val="26"/>
          <w:szCs w:val="26"/>
        </w:rPr>
        <w:t>ninh</w:t>
      </w:r>
      <w:r w:rsidRPr="00111D1A">
        <w:rPr>
          <w:rFonts w:ascii="Times New Roman" w:hAnsi="Times New Roman" w:cs="Times New Roman"/>
          <w:sz w:val="26"/>
          <w:szCs w:val="26"/>
        </w:rPr>
        <w:t xml:space="preserve"> ngay từ thiết kế” (secure-by-design) và phòng vệ nhiều lớp (defense-in-depth) trong các hệ thống số hàng hải.</w:t>
      </w:r>
    </w:p>
    <w:p w14:paraId="18503AF6" w14:textId="77777777" w:rsidR="00111D1A" w:rsidRPr="00111D1A" w:rsidRDefault="00111D1A" w:rsidP="00111D1A">
      <w:pPr>
        <w:spacing w:before="120" w:after="120"/>
        <w:jc w:val="both"/>
        <w:rPr>
          <w:rFonts w:ascii="Times New Roman" w:hAnsi="Times New Roman" w:cs="Times New Roman"/>
          <w:sz w:val="26"/>
          <w:szCs w:val="26"/>
        </w:rPr>
      </w:pPr>
      <w:r w:rsidRPr="00111D1A">
        <w:rPr>
          <w:rFonts w:ascii="Times New Roman" w:hAnsi="Times New Roman" w:cs="Times New Roman"/>
          <w:sz w:val="26"/>
          <w:szCs w:val="26"/>
        </w:rPr>
        <w:t>Cùng với sự phát triển dần dần của các yêu cầu về khả năng chống chịu an ninh mạng, các hệ thống dựa trên máy tính (Computer-Based Systems – CBS) hiện nay phải tuân thủ đồng thời IACS UR E27 và bộ tiêu chuẩn IEC 62443, vốn được công nhận rộng rãi là chuẩn mực về an ninh mạng cho các hệ thống tự động hóa và điều khiển công nghiệp. Sự hài hòa này giúp tăng cường tính nhất quán giữa các yêu cầu đăng kiểm hàng hải và các thông lệ quốc tế đã được thừa nhận về an ninh mạng.</w:t>
      </w:r>
    </w:p>
    <w:p w14:paraId="58F29D5F" w14:textId="77777777" w:rsidR="00111D1A" w:rsidRPr="00111D1A" w:rsidRDefault="00111D1A" w:rsidP="00111D1A">
      <w:pPr>
        <w:spacing w:before="120" w:after="120"/>
        <w:jc w:val="both"/>
        <w:rPr>
          <w:rFonts w:ascii="Times New Roman" w:hAnsi="Times New Roman" w:cs="Times New Roman"/>
          <w:sz w:val="26"/>
          <w:szCs w:val="26"/>
        </w:rPr>
      </w:pPr>
      <w:r w:rsidRPr="00111D1A">
        <w:rPr>
          <w:rFonts w:ascii="Times New Roman" w:hAnsi="Times New Roman" w:cs="Times New Roman"/>
          <w:sz w:val="26"/>
          <w:szCs w:val="26"/>
        </w:rPr>
        <w:t>Tài liệu này được xây dựng nhằm hỗ trợ các nhà sản xuất thiết bị và nhà cung cấp công nghệ hiểu rõ phạm vi, mục tiêu và cách áp dụng thực tiễn của UR E27, đồng thời hỗ trợ họ chứng minh sự tuân thủ các yêu cầu về khả năng chống chịu an ninh mạng trong quá trình phê duyệt thiết kế và chứng nhận.</w:t>
      </w:r>
    </w:p>
    <w:p w14:paraId="6E8C3394" w14:textId="77777777" w:rsidR="00111D1A" w:rsidRPr="00111D1A" w:rsidRDefault="00111D1A" w:rsidP="00111D1A">
      <w:pPr>
        <w:spacing w:before="120" w:after="120"/>
        <w:jc w:val="both"/>
        <w:rPr>
          <w:rFonts w:ascii="Times New Roman" w:hAnsi="Times New Roman" w:cs="Times New Roman"/>
          <w:sz w:val="26"/>
          <w:szCs w:val="26"/>
        </w:rPr>
      </w:pPr>
      <w:r w:rsidRPr="00111D1A">
        <w:rPr>
          <w:rFonts w:ascii="Times New Roman" w:hAnsi="Times New Roman" w:cs="Times New Roman"/>
          <w:sz w:val="26"/>
          <w:szCs w:val="26"/>
        </w:rPr>
        <w:t>Để biết thêm thông tin, bạn có thể tải tài liệu hướng dẫn dưới đây do ABS phát hành.</w:t>
      </w:r>
    </w:p>
    <w:p w14:paraId="037106E4" w14:textId="77777777" w:rsidR="00111D1A" w:rsidRPr="00111D1A" w:rsidRDefault="00111D1A" w:rsidP="00111D1A"/>
    <w:p w14:paraId="46C5DE93" w14:textId="0E90BF62" w:rsidR="00C13E10" w:rsidRDefault="00111D1A">
      <w:hyperlink r:id="rId6" w:history="1">
        <w:r w:rsidRPr="00FC1525">
          <w:rPr>
            <w:rStyle w:val="Hyperlink"/>
          </w:rPr>
          <w:t>https://maritimecyprus.com/wp-content/uploads/2025/12/ABS-CYBER-RESILIENCE-GUIDANCE.pdf</w:t>
        </w:r>
      </w:hyperlink>
    </w:p>
    <w:p w14:paraId="21A0F0CB" w14:textId="75A6EB33" w:rsidR="00111D1A" w:rsidRDefault="00111D1A" w:rsidP="00111D1A">
      <w:pPr>
        <w:jc w:val="center"/>
      </w:pPr>
      <w:r>
        <w:t>--------------------------------------</w:t>
      </w:r>
    </w:p>
    <w:p w14:paraId="0AA4EF7F" w14:textId="77777777" w:rsidR="00111D1A" w:rsidRDefault="00111D1A"/>
    <w:sectPr w:rsidR="00111D1A" w:rsidSect="00111D1A">
      <w:pgSz w:w="12240" w:h="15840"/>
      <w:pgMar w:top="99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1A"/>
    <w:rsid w:val="000501D0"/>
    <w:rsid w:val="00111D1A"/>
    <w:rsid w:val="00C13E10"/>
    <w:rsid w:val="00C8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B2B9"/>
  <w15:chartTrackingRefBased/>
  <w15:docId w15:val="{63A7914B-6726-40A0-A20D-CB0ECE7D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D1A"/>
    <w:rPr>
      <w:rFonts w:eastAsiaTheme="majorEastAsia" w:cstheme="majorBidi"/>
      <w:color w:val="272727" w:themeColor="text1" w:themeTint="D8"/>
    </w:rPr>
  </w:style>
  <w:style w:type="paragraph" w:styleId="Title">
    <w:name w:val="Title"/>
    <w:basedOn w:val="Normal"/>
    <w:next w:val="Normal"/>
    <w:link w:val="TitleChar"/>
    <w:uiPriority w:val="10"/>
    <w:qFormat/>
    <w:rsid w:val="00111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D1A"/>
    <w:pPr>
      <w:spacing w:before="160"/>
      <w:jc w:val="center"/>
    </w:pPr>
    <w:rPr>
      <w:i/>
      <w:iCs/>
      <w:color w:val="404040" w:themeColor="text1" w:themeTint="BF"/>
    </w:rPr>
  </w:style>
  <w:style w:type="character" w:customStyle="1" w:styleId="QuoteChar">
    <w:name w:val="Quote Char"/>
    <w:basedOn w:val="DefaultParagraphFont"/>
    <w:link w:val="Quote"/>
    <w:uiPriority w:val="29"/>
    <w:rsid w:val="00111D1A"/>
    <w:rPr>
      <w:i/>
      <w:iCs/>
      <w:color w:val="404040" w:themeColor="text1" w:themeTint="BF"/>
    </w:rPr>
  </w:style>
  <w:style w:type="paragraph" w:styleId="ListParagraph">
    <w:name w:val="List Paragraph"/>
    <w:basedOn w:val="Normal"/>
    <w:uiPriority w:val="34"/>
    <w:qFormat/>
    <w:rsid w:val="00111D1A"/>
    <w:pPr>
      <w:ind w:left="720"/>
      <w:contextualSpacing/>
    </w:pPr>
  </w:style>
  <w:style w:type="character" w:styleId="IntenseEmphasis">
    <w:name w:val="Intense Emphasis"/>
    <w:basedOn w:val="DefaultParagraphFont"/>
    <w:uiPriority w:val="21"/>
    <w:qFormat/>
    <w:rsid w:val="00111D1A"/>
    <w:rPr>
      <w:i/>
      <w:iCs/>
      <w:color w:val="0F4761" w:themeColor="accent1" w:themeShade="BF"/>
    </w:rPr>
  </w:style>
  <w:style w:type="paragraph" w:styleId="IntenseQuote">
    <w:name w:val="Intense Quote"/>
    <w:basedOn w:val="Normal"/>
    <w:next w:val="Normal"/>
    <w:link w:val="IntenseQuoteChar"/>
    <w:uiPriority w:val="30"/>
    <w:qFormat/>
    <w:rsid w:val="00111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D1A"/>
    <w:rPr>
      <w:i/>
      <w:iCs/>
      <w:color w:val="0F4761" w:themeColor="accent1" w:themeShade="BF"/>
    </w:rPr>
  </w:style>
  <w:style w:type="character" w:styleId="IntenseReference">
    <w:name w:val="Intense Reference"/>
    <w:basedOn w:val="DefaultParagraphFont"/>
    <w:uiPriority w:val="32"/>
    <w:qFormat/>
    <w:rsid w:val="00111D1A"/>
    <w:rPr>
      <w:b/>
      <w:bCs/>
      <w:smallCaps/>
      <w:color w:val="0F4761" w:themeColor="accent1" w:themeShade="BF"/>
      <w:spacing w:val="5"/>
    </w:rPr>
  </w:style>
  <w:style w:type="character" w:styleId="Hyperlink">
    <w:name w:val="Hyperlink"/>
    <w:basedOn w:val="DefaultParagraphFont"/>
    <w:uiPriority w:val="99"/>
    <w:unhideWhenUsed/>
    <w:rsid w:val="00111D1A"/>
    <w:rPr>
      <w:color w:val="467886" w:themeColor="hyperlink"/>
      <w:u w:val="single"/>
    </w:rPr>
  </w:style>
  <w:style w:type="character" w:styleId="UnresolvedMention">
    <w:name w:val="Unresolved Mention"/>
    <w:basedOn w:val="DefaultParagraphFont"/>
    <w:uiPriority w:val="99"/>
    <w:semiHidden/>
    <w:unhideWhenUsed/>
    <w:rsid w:val="00111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5/12/ABS-CYBER-RESILIENCE-GUIDANCE.pdf"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404</Words>
  <Characters>2308</Characters>
  <Application>Microsoft Office Word</Application>
  <DocSecurity>0</DocSecurity>
  <Lines>19</Lines>
  <Paragraphs>5</Paragraphs>
  <ScaleCrop>false</ScaleCrop>
  <Company>HP</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2026-01-05T06:26:00Z</dcterms:created>
  <dcterms:modified xsi:type="dcterms:W3CDTF">2026-01-05T06:35:00Z</dcterms:modified>
</cp:coreProperties>
</file>