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DD2C" w14:textId="42BEF3D9" w:rsidR="00D047C9" w:rsidRPr="00FC05F0" w:rsidRDefault="00FC05F0" w:rsidP="00FC05F0">
      <w:pPr>
        <w:spacing w:line="240" w:lineRule="auto"/>
        <w:jc w:val="center"/>
        <w:rPr>
          <w:rFonts w:ascii="Times New Roman" w:hAnsi="Times New Roman" w:cs="Times New Roman"/>
          <w:b/>
          <w:bCs/>
          <w:sz w:val="40"/>
          <w:szCs w:val="40"/>
        </w:rPr>
      </w:pPr>
      <w:r w:rsidRPr="00FC05F0">
        <w:rPr>
          <w:rFonts w:ascii="Times New Roman" w:hAnsi="Times New Roman" w:cs="Times New Roman"/>
          <w:b/>
          <w:bCs/>
          <w:sz w:val="40"/>
          <w:szCs w:val="40"/>
        </w:rPr>
        <w:t>Gard Club: Đảm bảo hệ thống PMS luôn được cập nhật theo các thông báo của nhà sản xuất</w:t>
      </w:r>
    </w:p>
    <w:p w14:paraId="1E05AF9E" w14:textId="7024CEA0" w:rsidR="00D047C9" w:rsidRPr="00D047C9" w:rsidRDefault="00D047C9" w:rsidP="00D047C9">
      <w:pPr>
        <w:jc w:val="right"/>
        <w:rPr>
          <w:rStyle w:val="Hyperlink"/>
        </w:rPr>
      </w:pPr>
      <w:hyperlink r:id="rId5" w:history="1">
        <w:r w:rsidRPr="00D047C9">
          <w:rPr>
            <w:rStyle w:val="Hyperlink"/>
          </w:rPr>
          <w:t>Loss Prevention</w:t>
        </w:r>
      </w:hyperlink>
      <w:r w:rsidRPr="00D047C9">
        <w:fldChar w:fldCharType="begin"/>
      </w:r>
      <w:r w:rsidRPr="00D047C9">
        <w:instrText>HYPERLINK "https://safety4sea.com/wp-content/uploads/2024/08/shutterstock_1777956278-e1768478041737.jpg"</w:instrText>
      </w:r>
      <w:r w:rsidRPr="00D047C9">
        <w:fldChar w:fldCharType="separate"/>
      </w:r>
    </w:p>
    <w:p w14:paraId="5B2EF3A6" w14:textId="25D85CF6" w:rsidR="00D047C9" w:rsidRPr="00D047C9" w:rsidRDefault="00D047C9" w:rsidP="00D047C9">
      <w:pPr>
        <w:rPr>
          <w:rStyle w:val="Hyperlink"/>
        </w:rPr>
      </w:pPr>
      <w:r w:rsidRPr="00D047C9">
        <w:rPr>
          <w:rStyle w:val="Hyperlink"/>
        </w:rPr>
        <w:drawing>
          <wp:inline distT="0" distB="0" distL="0" distR="0" wp14:anchorId="7A3A828A" wp14:editId="32B8BBD2">
            <wp:extent cx="6202680" cy="2974975"/>
            <wp:effectExtent l="0" t="0" r="7620" b="0"/>
            <wp:docPr id="1602888733" name="Picture 2" descr="engin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ngine">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02680" cy="2974975"/>
                    </a:xfrm>
                    <a:prstGeom prst="rect">
                      <a:avLst/>
                    </a:prstGeom>
                    <a:noFill/>
                    <a:ln>
                      <a:noFill/>
                    </a:ln>
                  </pic:spPr>
                </pic:pic>
              </a:graphicData>
            </a:graphic>
          </wp:inline>
        </w:drawing>
      </w:r>
    </w:p>
    <w:p w14:paraId="37162E73" w14:textId="0F67676B" w:rsidR="00FC05F0" w:rsidRPr="00FC05F0" w:rsidRDefault="00D047C9" w:rsidP="00FC05F0">
      <w:pPr>
        <w:jc w:val="both"/>
        <w:rPr>
          <w:rFonts w:ascii="Times New Roman" w:hAnsi="Times New Roman" w:cs="Times New Roman"/>
          <w:sz w:val="26"/>
          <w:szCs w:val="26"/>
        </w:rPr>
      </w:pPr>
      <w:r w:rsidRPr="00D047C9">
        <w:fldChar w:fldCharType="end"/>
      </w:r>
      <w:r w:rsidR="00FC05F0" w:rsidRPr="00FC05F0">
        <w:rPr>
          <w:rFonts w:ascii="Times New Roman" w:hAnsi="Times New Roman" w:cs="Times New Roman"/>
          <w:sz w:val="26"/>
          <w:szCs w:val="26"/>
        </w:rPr>
        <w:t xml:space="preserve">Theo Gard, việc bỏ sót hoặc không rà soát và tích hợp các hướng dẫn, khuyến nghị trong thư/thông báo dịch vụ của nhà sản xuất (service letters) vào </w:t>
      </w:r>
      <w:r w:rsidR="00FC05F0" w:rsidRPr="00FC05F0">
        <w:rPr>
          <w:rFonts w:ascii="Times New Roman" w:hAnsi="Times New Roman" w:cs="Times New Roman"/>
          <w:color w:val="EE0000"/>
          <w:sz w:val="26"/>
          <w:szCs w:val="26"/>
        </w:rPr>
        <w:t xml:space="preserve">Hệ thống Bảo dưỡng </w:t>
      </w:r>
      <w:r w:rsidR="00FC05F0" w:rsidRPr="00FC05F0">
        <w:rPr>
          <w:rFonts w:ascii="Times New Roman" w:hAnsi="Times New Roman" w:cs="Times New Roman"/>
          <w:color w:val="EE0000"/>
          <w:sz w:val="26"/>
          <w:szCs w:val="26"/>
        </w:rPr>
        <w:t xml:space="preserve">theo </w:t>
      </w:r>
      <w:r w:rsidR="00FC05F0" w:rsidRPr="00FC05F0">
        <w:rPr>
          <w:rFonts w:ascii="Times New Roman" w:hAnsi="Times New Roman" w:cs="Times New Roman"/>
          <w:color w:val="EE0000"/>
          <w:sz w:val="26"/>
          <w:szCs w:val="26"/>
        </w:rPr>
        <w:t>Kế hoạch (PMS</w:t>
      </w:r>
      <w:r w:rsidR="00FC05F0" w:rsidRPr="00FC05F0">
        <w:rPr>
          <w:rFonts w:ascii="Times New Roman" w:hAnsi="Times New Roman" w:cs="Times New Roman"/>
          <w:b/>
          <w:bCs/>
          <w:sz w:val="26"/>
          <w:szCs w:val="26"/>
        </w:rPr>
        <w:t>)</w:t>
      </w:r>
      <w:r w:rsidR="00FC05F0" w:rsidRPr="00FC05F0">
        <w:rPr>
          <w:rFonts w:ascii="Times New Roman" w:hAnsi="Times New Roman" w:cs="Times New Roman"/>
          <w:sz w:val="26"/>
          <w:szCs w:val="26"/>
        </w:rPr>
        <w:t xml:space="preserve"> có thể khiến cả thuyền viên và tàu phải đối mặt với những rủi ro không </w:t>
      </w:r>
      <w:r w:rsidR="00FC05F0">
        <w:rPr>
          <w:rFonts w:ascii="Times New Roman" w:hAnsi="Times New Roman" w:cs="Times New Roman"/>
          <w:sz w:val="26"/>
          <w:szCs w:val="26"/>
        </w:rPr>
        <w:t>đáng có</w:t>
      </w:r>
      <w:r w:rsidR="00FC05F0" w:rsidRPr="00FC05F0">
        <w:rPr>
          <w:rFonts w:ascii="Times New Roman" w:hAnsi="Times New Roman" w:cs="Times New Roman"/>
          <w:sz w:val="26"/>
          <w:szCs w:val="26"/>
        </w:rPr>
        <w:t>.</w:t>
      </w:r>
    </w:p>
    <w:p w14:paraId="6900D488" w14:textId="35398F91" w:rsidR="00FC05F0" w:rsidRPr="00FC05F0" w:rsidRDefault="00FC05F0" w:rsidP="00FC05F0">
      <w:pPr>
        <w:spacing w:line="240" w:lineRule="auto"/>
        <w:jc w:val="both"/>
        <w:rPr>
          <w:rFonts w:ascii="Times New Roman" w:hAnsi="Times New Roman" w:cs="Times New Roman"/>
          <w:sz w:val="26"/>
          <w:szCs w:val="26"/>
        </w:rPr>
      </w:pPr>
      <w:r w:rsidRPr="00FC05F0">
        <w:rPr>
          <w:rFonts w:ascii="Times New Roman" w:hAnsi="Times New Roman" w:cs="Times New Roman"/>
          <w:sz w:val="26"/>
          <w:szCs w:val="26"/>
        </w:rPr>
        <w:t xml:space="preserve">Trong nhiều năm qua, Gard đã xử lý rất nhiều hồ sơ bồi thường liên quan đến hư hỏng máy móc – những sự cố hoàn toàn có thể tránh được nếu các hướng dẫn và khuyến nghị trong các </w:t>
      </w:r>
      <w:r w:rsidRPr="00FC05F0">
        <w:rPr>
          <w:rFonts w:ascii="Times New Roman" w:hAnsi="Times New Roman" w:cs="Times New Roman"/>
          <w:color w:val="EE0000"/>
          <w:sz w:val="26"/>
          <w:szCs w:val="26"/>
        </w:rPr>
        <w:t xml:space="preserve">service letters </w:t>
      </w:r>
      <w:r w:rsidRPr="00FC05F0">
        <w:rPr>
          <w:rFonts w:ascii="Times New Roman" w:hAnsi="Times New Roman" w:cs="Times New Roman"/>
          <w:sz w:val="26"/>
          <w:szCs w:val="26"/>
        </w:rPr>
        <w:t xml:space="preserve">của nhà sản xuất được phản ánh đầy đủ trong PMS của tàu. Trong một số trường hợp, các service letters thậm chí </w:t>
      </w:r>
      <w:r>
        <w:rPr>
          <w:rFonts w:ascii="Times New Roman" w:hAnsi="Times New Roman" w:cs="Times New Roman"/>
          <w:sz w:val="26"/>
          <w:szCs w:val="26"/>
        </w:rPr>
        <w:t xml:space="preserve">còn </w:t>
      </w:r>
      <w:r w:rsidRPr="00FC05F0">
        <w:rPr>
          <w:rFonts w:ascii="Times New Roman" w:hAnsi="Times New Roman" w:cs="Times New Roman"/>
          <w:sz w:val="26"/>
          <w:szCs w:val="26"/>
        </w:rPr>
        <w:t xml:space="preserve">không được phân </w:t>
      </w:r>
      <w:r>
        <w:rPr>
          <w:rFonts w:ascii="Times New Roman" w:hAnsi="Times New Roman" w:cs="Times New Roman"/>
          <w:sz w:val="26"/>
          <w:szCs w:val="26"/>
        </w:rPr>
        <w:t>phát</w:t>
      </w:r>
      <w:r w:rsidRPr="00FC05F0">
        <w:rPr>
          <w:rFonts w:ascii="Times New Roman" w:hAnsi="Times New Roman" w:cs="Times New Roman"/>
          <w:sz w:val="26"/>
          <w:szCs w:val="26"/>
        </w:rPr>
        <w:t xml:space="preserve"> đến tất cả các tàu liên quan trong đội tàu.</w:t>
      </w:r>
    </w:p>
    <w:p w14:paraId="5FE64EAE" w14:textId="77777777" w:rsidR="00FC05F0" w:rsidRPr="00FC05F0" w:rsidRDefault="00FC05F0" w:rsidP="00FC05F0">
      <w:pPr>
        <w:spacing w:line="240" w:lineRule="auto"/>
        <w:jc w:val="both"/>
        <w:rPr>
          <w:rFonts w:ascii="Times New Roman" w:hAnsi="Times New Roman" w:cs="Times New Roman"/>
          <w:sz w:val="26"/>
          <w:szCs w:val="26"/>
        </w:rPr>
      </w:pPr>
      <w:r w:rsidRPr="00FC05F0">
        <w:rPr>
          <w:rFonts w:ascii="Times New Roman" w:hAnsi="Times New Roman" w:cs="Times New Roman"/>
          <w:sz w:val="26"/>
          <w:szCs w:val="26"/>
        </w:rPr>
        <w:t xml:space="preserve">Như Gard giải thích, ở những trường hợp khác, các service letters có được chia sẻ nhưng lại thiếu hướng dẫn rõ ràng từ phía công ty về cách thức triển khai và giám sát các thay đổi bắt buộc hoặc được khuyến nghị. Hệ quả là các công việc liên quan </w:t>
      </w:r>
      <w:r w:rsidRPr="00FC05F0">
        <w:rPr>
          <w:rFonts w:ascii="Times New Roman" w:hAnsi="Times New Roman" w:cs="Times New Roman"/>
          <w:color w:val="EE0000"/>
          <w:sz w:val="26"/>
          <w:szCs w:val="26"/>
        </w:rPr>
        <w:t>không bao giờ được đưa vào PMS.</w:t>
      </w:r>
    </w:p>
    <w:p w14:paraId="21654AEB" w14:textId="77777777" w:rsidR="00FC05F0" w:rsidRPr="00FC05F0" w:rsidRDefault="00FC05F0" w:rsidP="00FC05F0">
      <w:pPr>
        <w:spacing w:line="240" w:lineRule="auto"/>
        <w:jc w:val="both"/>
        <w:rPr>
          <w:rFonts w:ascii="Times New Roman" w:hAnsi="Times New Roman" w:cs="Times New Roman"/>
          <w:sz w:val="26"/>
          <w:szCs w:val="26"/>
        </w:rPr>
      </w:pPr>
      <w:r w:rsidRPr="00FC05F0">
        <w:rPr>
          <w:rFonts w:ascii="Times New Roman" w:hAnsi="Times New Roman" w:cs="Times New Roman"/>
          <w:sz w:val="26"/>
          <w:szCs w:val="26"/>
        </w:rPr>
        <w:t xml:space="preserve">Việc không thực hiện theo hướng dẫn của nhà sản xuất có thể dẫn đến những hậu quả nghiêm trọng và tốn kém, đồng thời cũng có thể </w:t>
      </w:r>
      <w:r w:rsidRPr="00FC05F0">
        <w:rPr>
          <w:rFonts w:ascii="Times New Roman" w:hAnsi="Times New Roman" w:cs="Times New Roman"/>
          <w:b/>
          <w:bCs/>
          <w:sz w:val="26"/>
          <w:szCs w:val="26"/>
        </w:rPr>
        <w:t>ảnh hưởng đến phạm vi bảo hiểm</w:t>
      </w:r>
      <w:r w:rsidRPr="00FC05F0">
        <w:rPr>
          <w:rFonts w:ascii="Times New Roman" w:hAnsi="Times New Roman" w:cs="Times New Roman"/>
          <w:sz w:val="26"/>
          <w:szCs w:val="26"/>
        </w:rPr>
        <w:t>.</w:t>
      </w:r>
    </w:p>
    <w:p w14:paraId="45F7EDD1" w14:textId="66B545C2" w:rsidR="00FC05F0" w:rsidRPr="00FC05F0" w:rsidRDefault="00FC05F0" w:rsidP="00FC05F0">
      <w:pPr>
        <w:spacing w:line="240" w:lineRule="auto"/>
        <w:jc w:val="both"/>
        <w:rPr>
          <w:rFonts w:ascii="Times New Roman" w:hAnsi="Times New Roman" w:cs="Times New Roman"/>
          <w:b/>
          <w:bCs/>
          <w:sz w:val="26"/>
          <w:szCs w:val="26"/>
        </w:rPr>
      </w:pPr>
      <w:r>
        <w:rPr>
          <w:rFonts w:ascii="Times New Roman" w:hAnsi="Times New Roman" w:cs="Times New Roman"/>
          <w:b/>
          <w:bCs/>
          <w:sz w:val="26"/>
          <w:szCs w:val="26"/>
        </w:rPr>
        <w:t>Những y</w:t>
      </w:r>
      <w:r w:rsidRPr="00FC05F0">
        <w:rPr>
          <w:rFonts w:ascii="Times New Roman" w:hAnsi="Times New Roman" w:cs="Times New Roman"/>
          <w:b/>
          <w:bCs/>
          <w:sz w:val="26"/>
          <w:szCs w:val="26"/>
        </w:rPr>
        <w:t xml:space="preserve">êu cầu </w:t>
      </w:r>
      <w:r>
        <w:rPr>
          <w:rFonts w:ascii="Times New Roman" w:hAnsi="Times New Roman" w:cs="Times New Roman"/>
          <w:b/>
          <w:bCs/>
          <w:sz w:val="26"/>
          <w:szCs w:val="26"/>
        </w:rPr>
        <w:t>theo</w:t>
      </w:r>
      <w:r w:rsidRPr="00FC05F0">
        <w:rPr>
          <w:rFonts w:ascii="Times New Roman" w:hAnsi="Times New Roman" w:cs="Times New Roman"/>
          <w:b/>
          <w:bCs/>
          <w:sz w:val="26"/>
          <w:szCs w:val="26"/>
        </w:rPr>
        <w:t xml:space="preserve"> quy định</w:t>
      </w:r>
    </w:p>
    <w:p w14:paraId="538D9825" w14:textId="0501085A" w:rsidR="00FC05F0" w:rsidRPr="00FC05F0" w:rsidRDefault="00FC05F0" w:rsidP="00FC05F0">
      <w:pPr>
        <w:spacing w:line="240" w:lineRule="auto"/>
        <w:jc w:val="both"/>
        <w:rPr>
          <w:rFonts w:ascii="Times New Roman" w:hAnsi="Times New Roman" w:cs="Times New Roman"/>
          <w:sz w:val="26"/>
          <w:szCs w:val="26"/>
        </w:rPr>
      </w:pPr>
      <w:r w:rsidRPr="00FC05F0">
        <w:rPr>
          <w:rFonts w:ascii="Times New Roman" w:hAnsi="Times New Roman" w:cs="Times New Roman"/>
          <w:sz w:val="26"/>
          <w:szCs w:val="26"/>
        </w:rPr>
        <w:t>Bộ luật ISM của IMO quy định rằng:</w:t>
      </w:r>
      <w:r>
        <w:rPr>
          <w:rFonts w:ascii="Times New Roman" w:hAnsi="Times New Roman" w:cs="Times New Roman"/>
          <w:sz w:val="26"/>
          <w:szCs w:val="26"/>
        </w:rPr>
        <w:t xml:space="preserve"> </w:t>
      </w:r>
      <w:r w:rsidRPr="00FC05F0">
        <w:rPr>
          <w:rFonts w:ascii="Times New Roman" w:hAnsi="Times New Roman" w:cs="Times New Roman"/>
          <w:i/>
          <w:iCs/>
          <w:sz w:val="26"/>
          <w:szCs w:val="26"/>
        </w:rPr>
        <w:t xml:space="preserve">“Mỗi Công ty phải xây dựng, triển khai và duy trì một Hệ thống Quản lý An toàn (SMS), trong đó bao gồm […] các hướng dẫn và quy trình nhằm bảo đảm vận hành tàu an toàn và bảo vệ môi trường, phù hợp với các quy định quốc tế và quy định của quốc gia </w:t>
      </w:r>
      <w:r>
        <w:rPr>
          <w:rFonts w:ascii="Times New Roman" w:hAnsi="Times New Roman" w:cs="Times New Roman"/>
          <w:i/>
          <w:iCs/>
          <w:sz w:val="26"/>
          <w:szCs w:val="26"/>
        </w:rPr>
        <w:t>tàu mang</w:t>
      </w:r>
      <w:r w:rsidRPr="00FC05F0">
        <w:rPr>
          <w:rFonts w:ascii="Times New Roman" w:hAnsi="Times New Roman" w:cs="Times New Roman"/>
          <w:i/>
          <w:iCs/>
          <w:sz w:val="26"/>
          <w:szCs w:val="26"/>
        </w:rPr>
        <w:t xml:space="preserve"> cờ liên quan”</w:t>
      </w:r>
      <w:r>
        <w:rPr>
          <w:rFonts w:ascii="Times New Roman" w:hAnsi="Times New Roman" w:cs="Times New Roman"/>
          <w:sz w:val="26"/>
          <w:szCs w:val="26"/>
        </w:rPr>
        <w:t xml:space="preserve"> </w:t>
      </w:r>
      <w:r w:rsidRPr="00FC05F0">
        <w:rPr>
          <w:rFonts w:ascii="Times New Roman" w:hAnsi="Times New Roman" w:cs="Times New Roman"/>
          <w:sz w:val="26"/>
          <w:szCs w:val="26"/>
        </w:rPr>
        <w:t>(ISM Code, Mục 1.4).</w:t>
      </w:r>
    </w:p>
    <w:p w14:paraId="7A129D0D" w14:textId="77777777" w:rsidR="00FC05F0" w:rsidRPr="00FC05F0" w:rsidRDefault="00FC05F0" w:rsidP="00FC05F0">
      <w:pPr>
        <w:spacing w:line="240" w:lineRule="auto"/>
        <w:jc w:val="both"/>
        <w:rPr>
          <w:rFonts w:ascii="Times New Roman" w:hAnsi="Times New Roman" w:cs="Times New Roman"/>
          <w:sz w:val="26"/>
          <w:szCs w:val="26"/>
        </w:rPr>
      </w:pPr>
      <w:r w:rsidRPr="00FC05F0">
        <w:rPr>
          <w:rFonts w:ascii="Times New Roman" w:hAnsi="Times New Roman" w:cs="Times New Roman"/>
          <w:sz w:val="26"/>
          <w:szCs w:val="26"/>
        </w:rPr>
        <w:t>Bộ luật cũng nêu rõ rằng Công ty phải:</w:t>
      </w:r>
    </w:p>
    <w:p w14:paraId="37200538" w14:textId="3BED63DA" w:rsidR="00FC05F0" w:rsidRPr="00FC05F0" w:rsidRDefault="00FC05F0" w:rsidP="00FC05F0">
      <w:pPr>
        <w:spacing w:line="240" w:lineRule="auto"/>
        <w:jc w:val="both"/>
        <w:rPr>
          <w:rFonts w:ascii="Times New Roman" w:hAnsi="Times New Roman" w:cs="Times New Roman"/>
          <w:i/>
          <w:iCs/>
          <w:sz w:val="26"/>
          <w:szCs w:val="26"/>
        </w:rPr>
      </w:pPr>
      <w:r w:rsidRPr="00FC05F0">
        <w:rPr>
          <w:rFonts w:ascii="Times New Roman" w:hAnsi="Times New Roman" w:cs="Times New Roman"/>
          <w:sz w:val="26"/>
          <w:szCs w:val="26"/>
        </w:rPr>
        <w:t>“</w:t>
      </w:r>
      <w:r w:rsidRPr="00FC05F0">
        <w:rPr>
          <w:rFonts w:ascii="Times New Roman" w:hAnsi="Times New Roman" w:cs="Times New Roman"/>
          <w:i/>
          <w:iCs/>
          <w:sz w:val="26"/>
          <w:szCs w:val="26"/>
        </w:rPr>
        <w:t xml:space="preserve">Thiết lập các quy trình để bảo đảm tàu được bảo dưỡng phù hợp với các quy định của các </w:t>
      </w:r>
      <w:r>
        <w:rPr>
          <w:rFonts w:ascii="Times New Roman" w:hAnsi="Times New Roman" w:cs="Times New Roman"/>
          <w:i/>
          <w:iCs/>
          <w:sz w:val="26"/>
          <w:szCs w:val="26"/>
        </w:rPr>
        <w:t>luật</w:t>
      </w:r>
      <w:r w:rsidRPr="00FC05F0">
        <w:rPr>
          <w:rFonts w:ascii="Times New Roman" w:hAnsi="Times New Roman" w:cs="Times New Roman"/>
          <w:i/>
          <w:iCs/>
          <w:sz w:val="26"/>
          <w:szCs w:val="26"/>
        </w:rPr>
        <w:t xml:space="preserve"> lệ, quy tắc liên quan và với bất kỳ yêu cầu bổ sung nào do Công ty đặt ra”</w:t>
      </w:r>
      <w:r>
        <w:rPr>
          <w:rFonts w:ascii="Times New Roman" w:hAnsi="Times New Roman" w:cs="Times New Roman"/>
          <w:i/>
          <w:iCs/>
          <w:sz w:val="26"/>
          <w:szCs w:val="26"/>
        </w:rPr>
        <w:t xml:space="preserve"> </w:t>
      </w:r>
      <w:r w:rsidRPr="00FC05F0">
        <w:rPr>
          <w:rFonts w:ascii="Times New Roman" w:hAnsi="Times New Roman" w:cs="Times New Roman"/>
          <w:i/>
          <w:iCs/>
          <w:sz w:val="26"/>
          <w:szCs w:val="26"/>
        </w:rPr>
        <w:t>(ISM Code, Mục 10).</w:t>
      </w:r>
    </w:p>
    <w:p w14:paraId="6274F4CE" w14:textId="19735332" w:rsidR="00FC05F0" w:rsidRPr="00FC05F0" w:rsidRDefault="00FC05F0" w:rsidP="00FC05F0">
      <w:pPr>
        <w:spacing w:line="240" w:lineRule="auto"/>
        <w:jc w:val="both"/>
        <w:rPr>
          <w:rFonts w:ascii="Times New Roman" w:hAnsi="Times New Roman" w:cs="Times New Roman"/>
          <w:sz w:val="26"/>
          <w:szCs w:val="26"/>
        </w:rPr>
      </w:pPr>
      <w:r w:rsidRPr="00FC05F0">
        <w:rPr>
          <w:rFonts w:ascii="Times New Roman" w:hAnsi="Times New Roman" w:cs="Times New Roman"/>
          <w:sz w:val="26"/>
          <w:szCs w:val="26"/>
        </w:rPr>
        <w:lastRenderedPageBreak/>
        <w:t>Ngoài ra, khuôn khổ</w:t>
      </w:r>
      <w:r>
        <w:rPr>
          <w:rFonts w:ascii="Times New Roman" w:hAnsi="Times New Roman" w:cs="Times New Roman"/>
          <w:sz w:val="26"/>
          <w:szCs w:val="26"/>
        </w:rPr>
        <w:t xml:space="preserve"> của</w:t>
      </w:r>
      <w:r w:rsidRPr="00FC05F0">
        <w:rPr>
          <w:rFonts w:ascii="Times New Roman" w:hAnsi="Times New Roman" w:cs="Times New Roman"/>
          <w:sz w:val="26"/>
          <w:szCs w:val="26"/>
        </w:rPr>
        <w:t xml:space="preserve"> STCW bao gồm các năng lực về bảo dưỡng và sửa chữa trong các tiêu chuẩn huấn luyện và cấp chứng chỉ bắt buộc đối với các chức danh kỹ thuật và máy. Các</w:t>
      </w:r>
      <w:r>
        <w:rPr>
          <w:rFonts w:ascii="Times New Roman" w:hAnsi="Times New Roman" w:cs="Times New Roman"/>
          <w:sz w:val="26"/>
          <w:szCs w:val="26"/>
        </w:rPr>
        <w:t xml:space="preserve"> t63 chức</w:t>
      </w:r>
      <w:r w:rsidRPr="00FC05F0">
        <w:rPr>
          <w:rFonts w:ascii="Times New Roman" w:hAnsi="Times New Roman" w:cs="Times New Roman"/>
          <w:sz w:val="26"/>
          <w:szCs w:val="26"/>
        </w:rPr>
        <w:t xml:space="preserve"> Đăng kiểm cũng yêu cầu tàu phải thực hiện bảo dưỡng định kỳ theo PMS riêng của từng tàu.</w:t>
      </w:r>
    </w:p>
    <w:p w14:paraId="2E329244" w14:textId="7E3B3625" w:rsidR="00FC05F0" w:rsidRPr="00FC05F0" w:rsidRDefault="00FC05F0" w:rsidP="00FC05F0">
      <w:pPr>
        <w:spacing w:line="240" w:lineRule="auto"/>
        <w:jc w:val="both"/>
        <w:rPr>
          <w:rFonts w:ascii="Times New Roman" w:hAnsi="Times New Roman" w:cs="Times New Roman"/>
          <w:sz w:val="26"/>
          <w:szCs w:val="26"/>
        </w:rPr>
      </w:pPr>
      <w:r w:rsidRPr="00FC05F0">
        <w:rPr>
          <w:rFonts w:ascii="Times New Roman" w:hAnsi="Times New Roman" w:cs="Times New Roman"/>
          <w:sz w:val="26"/>
          <w:szCs w:val="26"/>
        </w:rPr>
        <w:t>Vì vậy, các đơn vị khai thác tàu phải bảo đảm rằng tất cả các service letters đều được tiếp nhận, rà soát một cách hệ thống, đánh giá mức độ liên quan và tầm quan trọng, đồng thời mọi hướng dẫn và khuyến nghị liên quan đến an toàn phải được tích hợp vào PMS của từng tàu.</w:t>
      </w:r>
      <w:r>
        <w:rPr>
          <w:rFonts w:ascii="Times New Roman" w:hAnsi="Times New Roman" w:cs="Times New Roman"/>
          <w:sz w:val="26"/>
          <w:szCs w:val="26"/>
        </w:rPr>
        <w:t xml:space="preserve"> </w:t>
      </w:r>
      <w:r w:rsidRPr="00FC05F0">
        <w:rPr>
          <w:rFonts w:ascii="Times New Roman" w:hAnsi="Times New Roman" w:cs="Times New Roman"/>
          <w:sz w:val="26"/>
          <w:szCs w:val="26"/>
        </w:rPr>
        <w:t>Bên cạnh đó, các hành động theo dõi sau khi triển khai cần được giám sát và kiểm soát thông qua Hệ thống Quản lý An toàn (SMS) của tàu.</w:t>
      </w:r>
    </w:p>
    <w:p w14:paraId="6521F824" w14:textId="41438D28" w:rsidR="00FC05F0" w:rsidRPr="00FC05F0" w:rsidRDefault="00FC05F0" w:rsidP="00FC05F0">
      <w:pPr>
        <w:spacing w:line="240" w:lineRule="auto"/>
        <w:jc w:val="both"/>
        <w:rPr>
          <w:rFonts w:ascii="Times New Roman" w:hAnsi="Times New Roman" w:cs="Times New Roman"/>
          <w:b/>
          <w:bCs/>
          <w:sz w:val="26"/>
          <w:szCs w:val="26"/>
        </w:rPr>
      </w:pPr>
      <w:r w:rsidRPr="00FC05F0">
        <w:rPr>
          <w:rFonts w:ascii="Times New Roman" w:hAnsi="Times New Roman" w:cs="Times New Roman"/>
          <w:b/>
          <w:bCs/>
          <w:sz w:val="26"/>
          <w:szCs w:val="26"/>
        </w:rPr>
        <w:t>Gard Club nhấn mạnh các điểm then chốt sau cần được xem xét</w:t>
      </w:r>
      <w:r>
        <w:rPr>
          <w:rFonts w:ascii="Times New Roman" w:hAnsi="Times New Roman" w:cs="Times New Roman"/>
          <w:b/>
          <w:bCs/>
          <w:sz w:val="26"/>
          <w:szCs w:val="26"/>
        </w:rPr>
        <w:t xml:space="preserve"> đến</w:t>
      </w:r>
      <w:r w:rsidRPr="00FC05F0">
        <w:rPr>
          <w:rFonts w:ascii="Times New Roman" w:hAnsi="Times New Roman" w:cs="Times New Roman"/>
          <w:b/>
          <w:bCs/>
          <w:sz w:val="26"/>
          <w:szCs w:val="26"/>
        </w:rPr>
        <w:t>:</w:t>
      </w:r>
    </w:p>
    <w:p w14:paraId="63397B2E" w14:textId="77777777" w:rsidR="00FC05F0" w:rsidRPr="00FC05F0" w:rsidRDefault="00FC05F0" w:rsidP="00FC05F0">
      <w:pPr>
        <w:numPr>
          <w:ilvl w:val="0"/>
          <w:numId w:val="2"/>
        </w:numPr>
        <w:spacing w:line="240" w:lineRule="auto"/>
        <w:jc w:val="both"/>
        <w:rPr>
          <w:rFonts w:ascii="Times New Roman" w:hAnsi="Times New Roman" w:cs="Times New Roman"/>
          <w:sz w:val="26"/>
          <w:szCs w:val="26"/>
        </w:rPr>
      </w:pPr>
      <w:r w:rsidRPr="00FC05F0">
        <w:rPr>
          <w:rFonts w:ascii="Times New Roman" w:hAnsi="Times New Roman" w:cs="Times New Roman"/>
          <w:b/>
          <w:bCs/>
          <w:sz w:val="26"/>
          <w:szCs w:val="26"/>
        </w:rPr>
        <w:t>Phân công trách nhiệm đối với service letters:</w:t>
      </w:r>
      <w:r w:rsidRPr="00FC05F0">
        <w:rPr>
          <w:rFonts w:ascii="Times New Roman" w:hAnsi="Times New Roman" w:cs="Times New Roman"/>
          <w:sz w:val="26"/>
          <w:szCs w:val="26"/>
        </w:rPr>
        <w:t xml:space="preserve"> Chỉ định rõ cá nhân hoặc chức danh chịu trách nhiệm bảo đảm tất cả service letters của nhà sản xuất được tiếp nhận, rà soát kịp thời, đánh giá mức độ liên quan và tính then chốt về an toàn, đồng thời được thông báo tới tất cả các tàu phù hợp trong đội tàu. Bao gồm cả các khuyến nghị bổ sung từ bộ phận quản lý trong biên bản bàn giao cho ban chỉ huy tàu để bảo đảm trách nhiệm và việc theo dõi thực hiện.</w:t>
      </w:r>
    </w:p>
    <w:p w14:paraId="2F378873" w14:textId="77777777" w:rsidR="00FC05F0" w:rsidRPr="00FC05F0" w:rsidRDefault="00FC05F0" w:rsidP="00FC05F0">
      <w:pPr>
        <w:numPr>
          <w:ilvl w:val="0"/>
          <w:numId w:val="2"/>
        </w:numPr>
        <w:spacing w:line="240" w:lineRule="auto"/>
        <w:jc w:val="both"/>
        <w:rPr>
          <w:rFonts w:ascii="Times New Roman" w:hAnsi="Times New Roman" w:cs="Times New Roman"/>
          <w:sz w:val="26"/>
          <w:szCs w:val="26"/>
        </w:rPr>
      </w:pPr>
      <w:r w:rsidRPr="00FC05F0">
        <w:rPr>
          <w:rFonts w:ascii="Times New Roman" w:hAnsi="Times New Roman" w:cs="Times New Roman"/>
          <w:b/>
          <w:bCs/>
          <w:sz w:val="26"/>
          <w:szCs w:val="26"/>
        </w:rPr>
        <w:t>Tích hợp vào PMS:</w:t>
      </w:r>
      <w:r w:rsidRPr="00FC05F0">
        <w:rPr>
          <w:rFonts w:ascii="Times New Roman" w:hAnsi="Times New Roman" w:cs="Times New Roman"/>
          <w:sz w:val="26"/>
          <w:szCs w:val="26"/>
        </w:rPr>
        <w:t xml:space="preserve"> Đưa tất cả các hướng dẫn và khuyến nghị liên quan vào PMS của tàu dưới dạng các công việc cụ thể, có thời hạn rõ ràng, và phân công cho những người có đủ năng lực/chứng chỉ phù hợp.</w:t>
      </w:r>
    </w:p>
    <w:p w14:paraId="007A7D79" w14:textId="77777777" w:rsidR="00FC05F0" w:rsidRPr="00FC05F0" w:rsidRDefault="00FC05F0" w:rsidP="00FC05F0">
      <w:pPr>
        <w:numPr>
          <w:ilvl w:val="0"/>
          <w:numId w:val="2"/>
        </w:numPr>
        <w:spacing w:line="240" w:lineRule="auto"/>
        <w:jc w:val="both"/>
        <w:rPr>
          <w:rFonts w:ascii="Times New Roman" w:hAnsi="Times New Roman" w:cs="Times New Roman"/>
          <w:sz w:val="26"/>
          <w:szCs w:val="26"/>
        </w:rPr>
      </w:pPr>
      <w:r w:rsidRPr="00FC05F0">
        <w:rPr>
          <w:rFonts w:ascii="Times New Roman" w:hAnsi="Times New Roman" w:cs="Times New Roman"/>
          <w:b/>
          <w:bCs/>
          <w:sz w:val="26"/>
          <w:szCs w:val="26"/>
        </w:rPr>
        <w:t>Theo dõi và xác minh:</w:t>
      </w:r>
      <w:r w:rsidRPr="00FC05F0">
        <w:rPr>
          <w:rFonts w:ascii="Times New Roman" w:hAnsi="Times New Roman" w:cs="Times New Roman"/>
          <w:sz w:val="26"/>
          <w:szCs w:val="26"/>
        </w:rPr>
        <w:t xml:space="preserve"> Giám sát việc hoàn thành các công việc thông qua SMS của tàu và xác nhận rằng các hành động đã được thực hiện đúng và đầy đủ.</w:t>
      </w:r>
    </w:p>
    <w:p w14:paraId="762C2853" w14:textId="77777777" w:rsidR="00FC05F0" w:rsidRPr="00FC05F0" w:rsidRDefault="00FC05F0" w:rsidP="00FC05F0">
      <w:pPr>
        <w:numPr>
          <w:ilvl w:val="0"/>
          <w:numId w:val="2"/>
        </w:numPr>
        <w:spacing w:line="240" w:lineRule="auto"/>
        <w:jc w:val="both"/>
        <w:rPr>
          <w:rFonts w:ascii="Times New Roman" w:hAnsi="Times New Roman" w:cs="Times New Roman"/>
          <w:sz w:val="26"/>
          <w:szCs w:val="26"/>
        </w:rPr>
      </w:pPr>
      <w:r w:rsidRPr="00FC05F0">
        <w:rPr>
          <w:rFonts w:ascii="Times New Roman" w:hAnsi="Times New Roman" w:cs="Times New Roman"/>
          <w:b/>
          <w:bCs/>
          <w:sz w:val="26"/>
          <w:szCs w:val="26"/>
        </w:rPr>
        <w:t>Thay đổi công tác quản lý:</w:t>
      </w:r>
      <w:r w:rsidRPr="00FC05F0">
        <w:rPr>
          <w:rFonts w:ascii="Times New Roman" w:hAnsi="Times New Roman" w:cs="Times New Roman"/>
          <w:sz w:val="26"/>
          <w:szCs w:val="26"/>
        </w:rPr>
        <w:t xml:space="preserve"> Trong trường hợp thay đổi đơn vị quản lý kỹ thuật hoặc chủ tàu, cần liên hệ với nhà sản xuất để xác nhận rằng PMS đã phản ánh </w:t>
      </w:r>
      <w:r w:rsidRPr="00397253">
        <w:rPr>
          <w:rFonts w:ascii="Times New Roman" w:hAnsi="Times New Roman" w:cs="Times New Roman"/>
          <w:sz w:val="26"/>
          <w:szCs w:val="26"/>
        </w:rPr>
        <w:t>đầy đủ và cập nhật nhất</w:t>
      </w:r>
      <w:r w:rsidRPr="00FC05F0">
        <w:rPr>
          <w:rFonts w:ascii="Times New Roman" w:hAnsi="Times New Roman" w:cs="Times New Roman"/>
          <w:sz w:val="26"/>
          <w:szCs w:val="26"/>
        </w:rPr>
        <w:t xml:space="preserve"> các service letters, hướng dẫn và khuyến nghị hiện hành.</w:t>
      </w:r>
    </w:p>
    <w:p w14:paraId="4860CA83" w14:textId="3612A996" w:rsidR="00C13E10" w:rsidRDefault="00397253" w:rsidP="00397253">
      <w:pPr>
        <w:jc w:val="center"/>
      </w:pPr>
      <w:r>
        <w:rPr>
          <w:b/>
          <w:bCs/>
        </w:rPr>
        <w:t>-------------------------------------------</w:t>
      </w:r>
    </w:p>
    <w:sectPr w:rsidR="00C13E10" w:rsidSect="00FC05F0">
      <w:pgSz w:w="12240" w:h="15840"/>
      <w:pgMar w:top="810" w:right="90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794D1D"/>
    <w:multiLevelType w:val="multilevel"/>
    <w:tmpl w:val="208AB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682E46"/>
    <w:multiLevelType w:val="multilevel"/>
    <w:tmpl w:val="E35E29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8005060">
    <w:abstractNumId w:val="1"/>
  </w:num>
  <w:num w:numId="2" w16cid:durableId="135538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7C9"/>
    <w:rsid w:val="000501D0"/>
    <w:rsid w:val="00397253"/>
    <w:rsid w:val="00560B11"/>
    <w:rsid w:val="00C13E10"/>
    <w:rsid w:val="00D047C9"/>
    <w:rsid w:val="00FC0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5E401"/>
  <w15:chartTrackingRefBased/>
  <w15:docId w15:val="{71003370-E6A4-4C22-9943-85879966E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47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47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47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47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47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47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47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47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47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47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47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47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47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47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47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47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47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47C9"/>
    <w:rPr>
      <w:rFonts w:eastAsiaTheme="majorEastAsia" w:cstheme="majorBidi"/>
      <w:color w:val="272727" w:themeColor="text1" w:themeTint="D8"/>
    </w:rPr>
  </w:style>
  <w:style w:type="paragraph" w:styleId="Title">
    <w:name w:val="Title"/>
    <w:basedOn w:val="Normal"/>
    <w:next w:val="Normal"/>
    <w:link w:val="TitleChar"/>
    <w:uiPriority w:val="10"/>
    <w:qFormat/>
    <w:rsid w:val="00D047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47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47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47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47C9"/>
    <w:pPr>
      <w:spacing w:before="160"/>
      <w:jc w:val="center"/>
    </w:pPr>
    <w:rPr>
      <w:i/>
      <w:iCs/>
      <w:color w:val="404040" w:themeColor="text1" w:themeTint="BF"/>
    </w:rPr>
  </w:style>
  <w:style w:type="character" w:customStyle="1" w:styleId="QuoteChar">
    <w:name w:val="Quote Char"/>
    <w:basedOn w:val="DefaultParagraphFont"/>
    <w:link w:val="Quote"/>
    <w:uiPriority w:val="29"/>
    <w:rsid w:val="00D047C9"/>
    <w:rPr>
      <w:i/>
      <w:iCs/>
      <w:color w:val="404040" w:themeColor="text1" w:themeTint="BF"/>
    </w:rPr>
  </w:style>
  <w:style w:type="paragraph" w:styleId="ListParagraph">
    <w:name w:val="List Paragraph"/>
    <w:basedOn w:val="Normal"/>
    <w:uiPriority w:val="34"/>
    <w:qFormat/>
    <w:rsid w:val="00D047C9"/>
    <w:pPr>
      <w:ind w:left="720"/>
      <w:contextualSpacing/>
    </w:pPr>
  </w:style>
  <w:style w:type="character" w:styleId="IntenseEmphasis">
    <w:name w:val="Intense Emphasis"/>
    <w:basedOn w:val="DefaultParagraphFont"/>
    <w:uiPriority w:val="21"/>
    <w:qFormat/>
    <w:rsid w:val="00D047C9"/>
    <w:rPr>
      <w:i/>
      <w:iCs/>
      <w:color w:val="0F4761" w:themeColor="accent1" w:themeShade="BF"/>
    </w:rPr>
  </w:style>
  <w:style w:type="paragraph" w:styleId="IntenseQuote">
    <w:name w:val="Intense Quote"/>
    <w:basedOn w:val="Normal"/>
    <w:next w:val="Normal"/>
    <w:link w:val="IntenseQuoteChar"/>
    <w:uiPriority w:val="30"/>
    <w:qFormat/>
    <w:rsid w:val="00D047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47C9"/>
    <w:rPr>
      <w:i/>
      <w:iCs/>
      <w:color w:val="0F4761" w:themeColor="accent1" w:themeShade="BF"/>
    </w:rPr>
  </w:style>
  <w:style w:type="character" w:styleId="IntenseReference">
    <w:name w:val="Intense Reference"/>
    <w:basedOn w:val="DefaultParagraphFont"/>
    <w:uiPriority w:val="32"/>
    <w:qFormat/>
    <w:rsid w:val="00D047C9"/>
    <w:rPr>
      <w:b/>
      <w:bCs/>
      <w:smallCaps/>
      <w:color w:val="0F4761" w:themeColor="accent1" w:themeShade="BF"/>
      <w:spacing w:val="5"/>
    </w:rPr>
  </w:style>
  <w:style w:type="character" w:styleId="Hyperlink">
    <w:name w:val="Hyperlink"/>
    <w:basedOn w:val="DefaultParagraphFont"/>
    <w:uiPriority w:val="99"/>
    <w:unhideWhenUsed/>
    <w:rsid w:val="00D047C9"/>
    <w:rPr>
      <w:color w:val="467886" w:themeColor="hyperlink"/>
      <w:u w:val="single"/>
    </w:rPr>
  </w:style>
  <w:style w:type="character" w:styleId="UnresolvedMention">
    <w:name w:val="Unresolved Mention"/>
    <w:basedOn w:val="DefaultParagraphFont"/>
    <w:uiPriority w:val="99"/>
    <w:semiHidden/>
    <w:unhideWhenUsed/>
    <w:rsid w:val="00D047C9"/>
    <w:rPr>
      <w:color w:val="605E5C"/>
      <w:shd w:val="clear" w:color="auto" w:fill="E1DFDD"/>
    </w:rPr>
  </w:style>
  <w:style w:type="character" w:styleId="FollowedHyperlink">
    <w:name w:val="FollowedHyperlink"/>
    <w:basedOn w:val="DefaultParagraphFont"/>
    <w:uiPriority w:val="99"/>
    <w:semiHidden/>
    <w:unhideWhenUsed/>
    <w:rsid w:val="00D047C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wp-content/uploads/2024/08/shutterstock_1777956278-e1768478041737.jpg" TargetMode="External"/><Relationship Id="rId5" Type="http://schemas.openxmlformats.org/officeDocument/2006/relationships/hyperlink" Target="https://safety4sea.com/category/safety-parent/loss-preventio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564</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2026-01-18T07:31:00Z</dcterms:created>
  <dcterms:modified xsi:type="dcterms:W3CDTF">2026-01-18T08:03:00Z</dcterms:modified>
</cp:coreProperties>
</file>