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A184" w14:textId="212B4832" w:rsidR="00F21B1B" w:rsidRPr="00F21B1B" w:rsidRDefault="00F21B1B" w:rsidP="00F21B1B">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Pháp luật </w:t>
      </w:r>
      <w:r w:rsidRPr="00F21B1B">
        <w:rPr>
          <w:rFonts w:ascii="Times New Roman" w:hAnsi="Times New Roman" w:cs="Times New Roman"/>
          <w:b/>
          <w:bCs/>
          <w:sz w:val="40"/>
          <w:szCs w:val="40"/>
        </w:rPr>
        <w:t xml:space="preserve">hàng hải: Bộ luật </w:t>
      </w:r>
      <w:r>
        <w:rPr>
          <w:rFonts w:ascii="Times New Roman" w:hAnsi="Times New Roman" w:cs="Times New Roman"/>
          <w:b/>
          <w:bCs/>
          <w:sz w:val="40"/>
          <w:szCs w:val="40"/>
        </w:rPr>
        <w:t>Vận chuyển hàng hạt rời</w:t>
      </w:r>
      <w:r w:rsidRPr="00F21B1B">
        <w:rPr>
          <w:rFonts w:ascii="Times New Roman" w:hAnsi="Times New Roman" w:cs="Times New Roman"/>
          <w:b/>
          <w:bCs/>
          <w:sz w:val="40"/>
          <w:szCs w:val="40"/>
        </w:rPr>
        <w:t xml:space="preserve"> đã được sửa đổi – bạn đã sẵn sàng chưa?</w:t>
      </w:r>
    </w:p>
    <w:p w14:paraId="12C41313" w14:textId="77777777" w:rsidR="00F21B1B" w:rsidRPr="00F21B1B" w:rsidRDefault="00F21B1B" w:rsidP="00F21B1B">
      <w:pPr>
        <w:jc w:val="right"/>
      </w:pPr>
      <w:r w:rsidRPr="00F21B1B">
        <w:t> </w:t>
      </w:r>
      <w:hyperlink r:id="rId5" w:history="1">
        <w:r w:rsidRPr="00F21B1B">
          <w:rPr>
            <w:rStyle w:val="Hyperlink"/>
            <w:b/>
            <w:bCs/>
          </w:rPr>
          <w:t>maritimecyprus</w:t>
        </w:r>
      </w:hyperlink>
    </w:p>
    <w:p w14:paraId="0438D12D" w14:textId="51396514" w:rsidR="00F21B1B" w:rsidRPr="00F21B1B" w:rsidRDefault="00F21B1B" w:rsidP="00F21B1B">
      <w:pPr>
        <w:jc w:val="center"/>
      </w:pPr>
      <w:r w:rsidRPr="00F21B1B">
        <w:drawing>
          <wp:inline distT="0" distB="0" distL="0" distR="0" wp14:anchorId="6CE2EE6E" wp14:editId="76F9337E">
            <wp:extent cx="5943600" cy="3347720"/>
            <wp:effectExtent l="0" t="0" r="0" b="5080"/>
            <wp:docPr id="1178689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F4E12CB" w14:textId="1F4BAEC7"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Các sửa đổi đối với </w:t>
      </w:r>
      <w:r w:rsidRPr="00F21B1B">
        <w:rPr>
          <w:rFonts w:ascii="Times New Roman" w:hAnsi="Times New Roman" w:cs="Times New Roman"/>
          <w:color w:val="EE0000"/>
          <w:sz w:val="26"/>
          <w:szCs w:val="26"/>
        </w:rPr>
        <w:t xml:space="preserve">Bộ luật Quốc tế về Vận chuyển </w:t>
      </w:r>
      <w:proofErr w:type="gramStart"/>
      <w:r w:rsidRPr="00F21B1B">
        <w:rPr>
          <w:rFonts w:ascii="Times New Roman" w:hAnsi="Times New Roman" w:cs="Times New Roman"/>
          <w:color w:val="EE0000"/>
          <w:sz w:val="26"/>
          <w:szCs w:val="26"/>
        </w:rPr>
        <w:t>An</w:t>
      </w:r>
      <w:proofErr w:type="gramEnd"/>
      <w:r w:rsidRPr="00F21B1B">
        <w:rPr>
          <w:rFonts w:ascii="Times New Roman" w:hAnsi="Times New Roman" w:cs="Times New Roman"/>
          <w:color w:val="EE0000"/>
          <w:sz w:val="26"/>
          <w:szCs w:val="26"/>
        </w:rPr>
        <w:t xml:space="preserve"> toàn </w:t>
      </w:r>
      <w:r w:rsidRPr="00F21B1B">
        <w:rPr>
          <w:rFonts w:ascii="Times New Roman" w:hAnsi="Times New Roman" w:cs="Times New Roman"/>
          <w:color w:val="EE0000"/>
          <w:sz w:val="26"/>
          <w:szCs w:val="26"/>
        </w:rPr>
        <w:t>hàng hạt</w:t>
      </w:r>
      <w:r w:rsidRPr="00F21B1B">
        <w:rPr>
          <w:rFonts w:ascii="Times New Roman" w:hAnsi="Times New Roman" w:cs="Times New Roman"/>
          <w:color w:val="EE0000"/>
          <w:sz w:val="26"/>
          <w:szCs w:val="26"/>
        </w:rPr>
        <w:t xml:space="preserve"> rời (Grain Code) </w:t>
      </w:r>
      <w:r w:rsidRPr="00F21B1B">
        <w:rPr>
          <w:rFonts w:ascii="Times New Roman" w:hAnsi="Times New Roman" w:cs="Times New Roman"/>
          <w:sz w:val="26"/>
          <w:szCs w:val="26"/>
        </w:rPr>
        <w:t xml:space="preserve">đưa ra những cập nhật quan trọng nhằm nâng cao mức độ an toàn và làm rõ các điều kiện xếp hàng </w:t>
      </w:r>
      <w:r>
        <w:rPr>
          <w:rFonts w:ascii="Times New Roman" w:hAnsi="Times New Roman" w:cs="Times New Roman"/>
          <w:sz w:val="26"/>
          <w:szCs w:val="26"/>
        </w:rPr>
        <w:t>hạt rời</w:t>
      </w:r>
      <w:r w:rsidRPr="00F21B1B">
        <w:rPr>
          <w:rFonts w:ascii="Times New Roman" w:hAnsi="Times New Roman" w:cs="Times New Roman"/>
          <w:sz w:val="26"/>
          <w:szCs w:val="26"/>
        </w:rPr>
        <w:t xml:space="preserve"> cho tàu chở hàng rời. Những sửa đổi này được Ủy ban An toàn Hàng hải (MSC) của Tổ chức Hàng hải Quốc tế (IMO) thông qua theo Nghị quyết MSC.552(108) vào tháng 5 năm 2024, nhằm </w:t>
      </w:r>
      <w:r>
        <w:rPr>
          <w:rFonts w:ascii="Times New Roman" w:hAnsi="Times New Roman" w:cs="Times New Roman"/>
          <w:sz w:val="26"/>
          <w:szCs w:val="26"/>
        </w:rPr>
        <w:t>xử lý</w:t>
      </w:r>
      <w:r w:rsidRPr="00F21B1B">
        <w:rPr>
          <w:rFonts w:ascii="Times New Roman" w:hAnsi="Times New Roman" w:cs="Times New Roman"/>
          <w:sz w:val="26"/>
          <w:szCs w:val="26"/>
        </w:rPr>
        <w:t xml:space="preserve"> một tình huống xếp hàng trước đây chưa được định nghĩa rõ: các </w:t>
      </w:r>
      <w:r w:rsidRPr="00F21B1B">
        <w:rPr>
          <w:rFonts w:ascii="Times New Roman" w:hAnsi="Times New Roman" w:cs="Times New Roman"/>
          <w:color w:val="EE0000"/>
          <w:sz w:val="26"/>
          <w:szCs w:val="26"/>
        </w:rPr>
        <w:t xml:space="preserve">“khoang đặc biệt phù hợp” </w:t>
      </w:r>
      <w:r w:rsidRPr="00F21B1B">
        <w:rPr>
          <w:rFonts w:ascii="Times New Roman" w:hAnsi="Times New Roman" w:cs="Times New Roman"/>
          <w:sz w:val="26"/>
          <w:szCs w:val="26"/>
        </w:rPr>
        <w:t xml:space="preserve">được </w:t>
      </w:r>
      <w:r w:rsidRPr="00F21B1B">
        <w:rPr>
          <w:rFonts w:ascii="Times New Roman" w:hAnsi="Times New Roman" w:cs="Times New Roman"/>
          <w:color w:val="EE0000"/>
          <w:sz w:val="26"/>
          <w:szCs w:val="26"/>
        </w:rPr>
        <w:t xml:space="preserve">xếp hàng chỉ lấp đầy một phần tại khu vực </w:t>
      </w:r>
      <w:r w:rsidRPr="00F21B1B">
        <w:rPr>
          <w:rFonts w:ascii="Times New Roman" w:hAnsi="Times New Roman" w:cs="Times New Roman"/>
          <w:color w:val="EE0000"/>
          <w:sz w:val="26"/>
          <w:szCs w:val="26"/>
        </w:rPr>
        <w:t xml:space="preserve">quầy </w:t>
      </w:r>
      <w:r w:rsidRPr="00F21B1B">
        <w:rPr>
          <w:rFonts w:ascii="Times New Roman" w:hAnsi="Times New Roman" w:cs="Times New Roman"/>
          <w:color w:val="EE0000"/>
          <w:sz w:val="26"/>
          <w:szCs w:val="26"/>
        </w:rPr>
        <w:t xml:space="preserve">miệng hầm hàng, với </w:t>
      </w:r>
      <w:r>
        <w:rPr>
          <w:rFonts w:ascii="Times New Roman" w:hAnsi="Times New Roman" w:cs="Times New Roman"/>
          <w:color w:val="EE0000"/>
          <w:sz w:val="26"/>
          <w:szCs w:val="26"/>
        </w:rPr>
        <w:t xml:space="preserve">hàng ở </w:t>
      </w:r>
      <w:r w:rsidRPr="00F21B1B">
        <w:rPr>
          <w:rFonts w:ascii="Times New Roman" w:hAnsi="Times New Roman" w:cs="Times New Roman"/>
          <w:color w:val="EE0000"/>
          <w:sz w:val="26"/>
          <w:szCs w:val="26"/>
        </w:rPr>
        <w:t>hai đầu không được san phẳng (untrimmed).</w:t>
      </w:r>
    </w:p>
    <w:p w14:paraId="0133D3A3" w14:textId="62EEF1D8"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Các quy định mới, có hiệu lực từ </w:t>
      </w:r>
      <w:r w:rsidRPr="00F21B1B">
        <w:rPr>
          <w:rFonts w:ascii="Times New Roman" w:hAnsi="Times New Roman" w:cs="Times New Roman"/>
          <w:color w:val="EE0000"/>
          <w:sz w:val="26"/>
          <w:szCs w:val="26"/>
        </w:rPr>
        <w:t>ngày 1 tháng 1 năm 2026</w:t>
      </w:r>
      <w:r w:rsidRPr="00F21B1B">
        <w:rPr>
          <w:rFonts w:ascii="Times New Roman" w:hAnsi="Times New Roman" w:cs="Times New Roman"/>
          <w:sz w:val="26"/>
          <w:szCs w:val="26"/>
        </w:rPr>
        <w:t xml:space="preserve">, đưa ra hướng dẫn cụ thể để đánh giá ổn định trong các trường hợp này, bảo đảm tuân thủ các tiêu chuẩn an toàn toàn cầu. Tài liệu này trình bày những thay đổi chính, phạm vi áp dụng đối với tàu mới và tàu hiện </w:t>
      </w:r>
      <w:r>
        <w:rPr>
          <w:rFonts w:ascii="Times New Roman" w:hAnsi="Times New Roman" w:cs="Times New Roman"/>
          <w:sz w:val="26"/>
          <w:szCs w:val="26"/>
        </w:rPr>
        <w:t>có</w:t>
      </w:r>
      <w:r w:rsidRPr="00F21B1B">
        <w:rPr>
          <w:rFonts w:ascii="Times New Roman" w:hAnsi="Times New Roman" w:cs="Times New Roman"/>
          <w:sz w:val="26"/>
          <w:szCs w:val="26"/>
        </w:rPr>
        <w:t xml:space="preserve"> cũng như các hành động cần thiết đối với chủ tàu và người khai thác </w:t>
      </w:r>
      <w:r>
        <w:rPr>
          <w:rFonts w:ascii="Times New Roman" w:hAnsi="Times New Roman" w:cs="Times New Roman"/>
          <w:sz w:val="26"/>
          <w:szCs w:val="26"/>
        </w:rPr>
        <w:t xml:space="preserve">tàu </w:t>
      </w:r>
      <w:r w:rsidRPr="00F21B1B">
        <w:rPr>
          <w:rFonts w:ascii="Times New Roman" w:hAnsi="Times New Roman" w:cs="Times New Roman"/>
          <w:sz w:val="26"/>
          <w:szCs w:val="26"/>
        </w:rPr>
        <w:t xml:space="preserve">để phù hợp với khung pháp lý </w:t>
      </w:r>
      <w:r>
        <w:rPr>
          <w:rFonts w:ascii="Times New Roman" w:hAnsi="Times New Roman" w:cs="Times New Roman"/>
          <w:sz w:val="26"/>
          <w:szCs w:val="26"/>
        </w:rPr>
        <w:t xml:space="preserve">được </w:t>
      </w:r>
      <w:r w:rsidRPr="00F21B1B">
        <w:rPr>
          <w:rFonts w:ascii="Times New Roman" w:hAnsi="Times New Roman" w:cs="Times New Roman"/>
          <w:sz w:val="26"/>
          <w:szCs w:val="26"/>
        </w:rPr>
        <w:t>cập nhật.</w:t>
      </w:r>
    </w:p>
    <w:p w14:paraId="19889DBF" w14:textId="7E5FA9F6" w:rsidR="00F21B1B" w:rsidRPr="00F21B1B" w:rsidRDefault="00F21B1B" w:rsidP="00F21B1B">
      <w:pPr>
        <w:spacing w:before="120" w:after="120"/>
        <w:jc w:val="both"/>
        <w:rPr>
          <w:rFonts w:ascii="Times New Roman" w:hAnsi="Times New Roman" w:cs="Times New Roman"/>
          <w:b/>
          <w:bCs/>
          <w:sz w:val="26"/>
          <w:szCs w:val="26"/>
        </w:rPr>
      </w:pPr>
      <w:r w:rsidRPr="00F21B1B">
        <w:rPr>
          <w:rFonts w:ascii="Times New Roman" w:hAnsi="Times New Roman" w:cs="Times New Roman"/>
          <w:b/>
          <w:bCs/>
          <w:sz w:val="26"/>
          <w:szCs w:val="26"/>
        </w:rPr>
        <w:t>Diễn biến</w:t>
      </w:r>
      <w:r w:rsidR="001C0064">
        <w:rPr>
          <w:rFonts w:ascii="Times New Roman" w:hAnsi="Times New Roman" w:cs="Times New Roman"/>
          <w:b/>
          <w:bCs/>
          <w:sz w:val="26"/>
          <w:szCs w:val="26"/>
        </w:rPr>
        <w:t xml:space="preserve"> của sửa đổi</w:t>
      </w:r>
    </w:p>
    <w:p w14:paraId="298B5C4D" w14:textId="7DFEEF84" w:rsidR="00F21B1B" w:rsidRPr="00F21B1B" w:rsidRDefault="00F21B1B" w:rsidP="00F21B1B">
      <w:pPr>
        <w:spacing w:before="120" w:after="120"/>
        <w:jc w:val="both"/>
        <w:rPr>
          <w:rFonts w:ascii="Times New Roman" w:hAnsi="Times New Roman" w:cs="Times New Roman"/>
          <w:sz w:val="26"/>
          <w:szCs w:val="26"/>
        </w:rPr>
      </w:pPr>
      <w:r>
        <w:rPr>
          <w:rFonts w:ascii="Times New Roman" w:hAnsi="Times New Roman" w:cs="Times New Roman"/>
          <w:sz w:val="26"/>
          <w:szCs w:val="26"/>
        </w:rPr>
        <w:t>Bổ sung thêm m</w:t>
      </w:r>
      <w:r w:rsidRPr="00F21B1B">
        <w:rPr>
          <w:rFonts w:ascii="Times New Roman" w:hAnsi="Times New Roman" w:cs="Times New Roman"/>
          <w:sz w:val="26"/>
          <w:szCs w:val="26"/>
        </w:rPr>
        <w:t xml:space="preserve">ột </w:t>
      </w:r>
      <w:r>
        <w:rPr>
          <w:rFonts w:ascii="Times New Roman" w:hAnsi="Times New Roman" w:cs="Times New Roman"/>
          <w:color w:val="EE0000"/>
          <w:sz w:val="26"/>
          <w:szCs w:val="26"/>
        </w:rPr>
        <w:t>loại</w:t>
      </w:r>
      <w:r w:rsidRPr="00F21B1B">
        <w:rPr>
          <w:rFonts w:ascii="Times New Roman" w:hAnsi="Times New Roman" w:cs="Times New Roman"/>
          <w:color w:val="EE0000"/>
          <w:sz w:val="26"/>
          <w:szCs w:val="26"/>
        </w:rPr>
        <w:t xml:space="preserve"> điều kiện xếp hàng mới </w:t>
      </w:r>
      <w:r w:rsidRPr="00F21B1B">
        <w:rPr>
          <w:rFonts w:ascii="Times New Roman" w:hAnsi="Times New Roman" w:cs="Times New Roman"/>
          <w:sz w:val="26"/>
          <w:szCs w:val="26"/>
        </w:rPr>
        <w:t xml:space="preserve">dành cho các </w:t>
      </w:r>
      <w:r w:rsidRPr="00F21B1B">
        <w:rPr>
          <w:rFonts w:ascii="Times New Roman" w:hAnsi="Times New Roman" w:cs="Times New Roman"/>
          <w:color w:val="EE0000"/>
          <w:sz w:val="26"/>
          <w:szCs w:val="26"/>
        </w:rPr>
        <w:t>khoang đặc biệt</w:t>
      </w:r>
      <w:r w:rsidRPr="00F21B1B">
        <w:rPr>
          <w:rFonts w:ascii="Times New Roman" w:hAnsi="Times New Roman" w:cs="Times New Roman"/>
          <w:sz w:val="26"/>
          <w:szCs w:val="26"/>
        </w:rPr>
        <w:t xml:space="preserve">, </w:t>
      </w:r>
      <w:r>
        <w:rPr>
          <w:rFonts w:ascii="Times New Roman" w:hAnsi="Times New Roman" w:cs="Times New Roman"/>
          <w:sz w:val="26"/>
          <w:szCs w:val="26"/>
        </w:rPr>
        <w:t xml:space="preserve">khoang này </w:t>
      </w:r>
      <w:r w:rsidRPr="00F21B1B">
        <w:rPr>
          <w:rFonts w:ascii="Times New Roman" w:hAnsi="Times New Roman" w:cs="Times New Roman"/>
          <w:sz w:val="26"/>
          <w:szCs w:val="26"/>
        </w:rPr>
        <w:t>được định nghĩa là:</w:t>
      </w:r>
      <w:r>
        <w:rPr>
          <w:rFonts w:ascii="Times New Roman" w:hAnsi="Times New Roman" w:cs="Times New Roman"/>
          <w:sz w:val="26"/>
          <w:szCs w:val="26"/>
        </w:rPr>
        <w:t xml:space="preserve"> </w:t>
      </w:r>
      <w:r w:rsidRPr="001C0064">
        <w:rPr>
          <w:rFonts w:ascii="Times New Roman" w:hAnsi="Times New Roman" w:cs="Times New Roman"/>
          <w:i/>
          <w:iCs/>
          <w:color w:val="EE0000"/>
          <w:sz w:val="26"/>
          <w:szCs w:val="26"/>
        </w:rPr>
        <w:t xml:space="preserve">“khoang đặc biệt phù hợp, được xếp </w:t>
      </w:r>
      <w:r w:rsidRPr="001C0064">
        <w:rPr>
          <w:rFonts w:ascii="Times New Roman" w:hAnsi="Times New Roman" w:cs="Times New Roman"/>
          <w:i/>
          <w:iCs/>
          <w:color w:val="EE0000"/>
          <w:sz w:val="26"/>
          <w:szCs w:val="26"/>
        </w:rPr>
        <w:t>đầy</w:t>
      </w:r>
      <w:r w:rsidRPr="001C0064">
        <w:rPr>
          <w:rFonts w:ascii="Times New Roman" w:hAnsi="Times New Roman" w:cs="Times New Roman"/>
          <w:i/>
          <w:iCs/>
          <w:color w:val="EE0000"/>
          <w:sz w:val="26"/>
          <w:szCs w:val="26"/>
        </w:rPr>
        <w:t xml:space="preserve"> một phần tại khu vực </w:t>
      </w:r>
      <w:r w:rsidRPr="001C0064">
        <w:rPr>
          <w:rFonts w:ascii="Times New Roman" w:hAnsi="Times New Roman" w:cs="Times New Roman"/>
          <w:i/>
          <w:iCs/>
          <w:color w:val="EE0000"/>
          <w:sz w:val="26"/>
          <w:szCs w:val="26"/>
        </w:rPr>
        <w:t xml:space="preserve">quầy </w:t>
      </w:r>
      <w:r w:rsidRPr="001C0064">
        <w:rPr>
          <w:rFonts w:ascii="Times New Roman" w:hAnsi="Times New Roman" w:cs="Times New Roman"/>
          <w:i/>
          <w:iCs/>
          <w:color w:val="EE0000"/>
          <w:sz w:val="26"/>
          <w:szCs w:val="26"/>
        </w:rPr>
        <w:t xml:space="preserve">miệng hầm hàng, với </w:t>
      </w:r>
      <w:r w:rsidRPr="001C0064">
        <w:rPr>
          <w:rFonts w:ascii="Times New Roman" w:hAnsi="Times New Roman" w:cs="Times New Roman"/>
          <w:i/>
          <w:iCs/>
          <w:color w:val="EE0000"/>
          <w:sz w:val="26"/>
          <w:szCs w:val="26"/>
        </w:rPr>
        <w:t xml:space="preserve">hàng ở </w:t>
      </w:r>
      <w:r w:rsidRPr="001C0064">
        <w:rPr>
          <w:rFonts w:ascii="Times New Roman" w:hAnsi="Times New Roman" w:cs="Times New Roman"/>
          <w:i/>
          <w:iCs/>
          <w:color w:val="EE0000"/>
          <w:sz w:val="26"/>
          <w:szCs w:val="26"/>
        </w:rPr>
        <w:t>hai đầu không được san phẳng.”</w:t>
      </w:r>
    </w:p>
    <w:p w14:paraId="6260B117" w14:textId="120E1F0E"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Định nghĩa này đề cập đến một khoang không được xếp đầy đến mức tối đa tại </w:t>
      </w:r>
      <w:r w:rsidR="001C0064">
        <w:rPr>
          <w:rFonts w:ascii="Times New Roman" w:hAnsi="Times New Roman" w:cs="Times New Roman"/>
          <w:sz w:val="26"/>
          <w:szCs w:val="26"/>
        </w:rPr>
        <w:t xml:space="preserve">quầy </w:t>
      </w:r>
      <w:r w:rsidRPr="00F21B1B">
        <w:rPr>
          <w:rFonts w:ascii="Times New Roman" w:hAnsi="Times New Roman" w:cs="Times New Roman"/>
          <w:sz w:val="26"/>
          <w:szCs w:val="26"/>
        </w:rPr>
        <w:t xml:space="preserve">miệng hầm hàng, nhưng được xếp đến mức </w:t>
      </w:r>
      <w:r w:rsidRPr="001C0064">
        <w:rPr>
          <w:rFonts w:ascii="Times New Roman" w:hAnsi="Times New Roman" w:cs="Times New Roman"/>
          <w:color w:val="EE0000"/>
          <w:sz w:val="26"/>
          <w:szCs w:val="26"/>
        </w:rPr>
        <w:t xml:space="preserve">bằng hoặc cao hơn mép dưới của dầm cuối </w:t>
      </w:r>
      <w:r w:rsidR="001C0064">
        <w:rPr>
          <w:rFonts w:ascii="Times New Roman" w:hAnsi="Times New Roman" w:cs="Times New Roman"/>
          <w:color w:val="EE0000"/>
          <w:sz w:val="26"/>
          <w:szCs w:val="26"/>
        </w:rPr>
        <w:t xml:space="preserve">quầy </w:t>
      </w:r>
      <w:r w:rsidRPr="001C0064">
        <w:rPr>
          <w:rFonts w:ascii="Times New Roman" w:hAnsi="Times New Roman" w:cs="Times New Roman"/>
          <w:color w:val="EE0000"/>
          <w:sz w:val="26"/>
          <w:szCs w:val="26"/>
        </w:rPr>
        <w:t xml:space="preserve">hầm (hatch end </w:t>
      </w:r>
      <w:r w:rsidRPr="001C0064">
        <w:rPr>
          <w:rFonts w:ascii="Times New Roman" w:hAnsi="Times New Roman" w:cs="Times New Roman"/>
          <w:color w:val="EE0000"/>
          <w:sz w:val="26"/>
          <w:szCs w:val="26"/>
        </w:rPr>
        <w:lastRenderedPageBreak/>
        <w:t xml:space="preserve">beams) và </w:t>
      </w:r>
      <w:r w:rsidR="001C0064" w:rsidRPr="001C0064">
        <w:rPr>
          <w:rFonts w:ascii="Times New Roman" w:hAnsi="Times New Roman" w:cs="Times New Roman"/>
          <w:color w:val="EE0000"/>
          <w:sz w:val="26"/>
          <w:szCs w:val="26"/>
        </w:rPr>
        <w:t xml:space="preserve">hàng </w:t>
      </w:r>
      <w:r w:rsidR="001C0064" w:rsidRPr="001C0064">
        <w:rPr>
          <w:rFonts w:ascii="Times New Roman" w:hAnsi="Times New Roman" w:cs="Times New Roman"/>
          <w:color w:val="EE0000"/>
          <w:sz w:val="26"/>
          <w:szCs w:val="26"/>
        </w:rPr>
        <w:t xml:space="preserve">ở </w:t>
      </w:r>
      <w:r w:rsidRPr="001C0064">
        <w:rPr>
          <w:rFonts w:ascii="Times New Roman" w:hAnsi="Times New Roman" w:cs="Times New Roman"/>
          <w:color w:val="EE0000"/>
          <w:sz w:val="26"/>
          <w:szCs w:val="26"/>
        </w:rPr>
        <w:t xml:space="preserve">bên ngoài chu vi </w:t>
      </w:r>
      <w:r w:rsidR="001C0064" w:rsidRPr="001C0064">
        <w:rPr>
          <w:rFonts w:ascii="Times New Roman" w:hAnsi="Times New Roman" w:cs="Times New Roman"/>
          <w:color w:val="EE0000"/>
          <w:sz w:val="26"/>
          <w:szCs w:val="26"/>
        </w:rPr>
        <w:t xml:space="preserve">quầy </w:t>
      </w:r>
      <w:r w:rsidRPr="001C0064">
        <w:rPr>
          <w:rFonts w:ascii="Times New Roman" w:hAnsi="Times New Roman" w:cs="Times New Roman"/>
          <w:color w:val="EE0000"/>
          <w:sz w:val="26"/>
          <w:szCs w:val="26"/>
        </w:rPr>
        <w:t xml:space="preserve">miệng hầm hàng </w:t>
      </w:r>
      <w:r w:rsidR="001C0064" w:rsidRPr="001C0064">
        <w:rPr>
          <w:rFonts w:ascii="Times New Roman" w:hAnsi="Times New Roman" w:cs="Times New Roman"/>
          <w:color w:val="EE0000"/>
          <w:sz w:val="26"/>
          <w:szCs w:val="26"/>
        </w:rPr>
        <w:t xml:space="preserve">không được san phẳng </w:t>
      </w:r>
      <w:r w:rsidRPr="001C0064">
        <w:rPr>
          <w:rFonts w:ascii="Times New Roman" w:hAnsi="Times New Roman" w:cs="Times New Roman"/>
          <w:color w:val="EE0000"/>
          <w:sz w:val="26"/>
          <w:szCs w:val="26"/>
        </w:rPr>
        <w:t>theo quy định tại điều A/10.4 của Grain Code</w:t>
      </w:r>
      <w:r w:rsidRPr="001C0064">
        <w:rPr>
          <w:rFonts w:ascii="Times New Roman" w:hAnsi="Times New Roman" w:cs="Times New Roman"/>
          <w:sz w:val="26"/>
          <w:szCs w:val="26"/>
        </w:rPr>
        <w:t>.</w:t>
      </w:r>
    </w:p>
    <w:p w14:paraId="3276A542" w14:textId="5DDA91F3" w:rsid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Trong các khoang như vậy, ngũ cốc rời phải được xếp đến mức </w:t>
      </w:r>
      <w:r w:rsidRPr="001C0064">
        <w:rPr>
          <w:rFonts w:ascii="Times New Roman" w:hAnsi="Times New Roman" w:cs="Times New Roman"/>
          <w:color w:val="EE0000"/>
          <w:sz w:val="26"/>
          <w:szCs w:val="26"/>
        </w:rPr>
        <w:t xml:space="preserve">bằng hoặc cao hơn mép dưới của dầm cuối </w:t>
      </w:r>
      <w:r w:rsidR="001C0064" w:rsidRPr="001C0064">
        <w:rPr>
          <w:rFonts w:ascii="Times New Roman" w:hAnsi="Times New Roman" w:cs="Times New Roman"/>
          <w:color w:val="EE0000"/>
          <w:sz w:val="26"/>
          <w:szCs w:val="26"/>
        </w:rPr>
        <w:t xml:space="preserve">quầy </w:t>
      </w:r>
      <w:r w:rsidRPr="001C0064">
        <w:rPr>
          <w:rFonts w:ascii="Times New Roman" w:hAnsi="Times New Roman" w:cs="Times New Roman"/>
          <w:color w:val="EE0000"/>
          <w:sz w:val="26"/>
          <w:szCs w:val="26"/>
        </w:rPr>
        <w:t xml:space="preserve">hầm, </w:t>
      </w:r>
      <w:r w:rsidRPr="00F21B1B">
        <w:rPr>
          <w:rFonts w:ascii="Times New Roman" w:hAnsi="Times New Roman" w:cs="Times New Roman"/>
          <w:sz w:val="26"/>
          <w:szCs w:val="26"/>
        </w:rPr>
        <w:t xml:space="preserve">nhưng </w:t>
      </w:r>
      <w:r w:rsidR="001C0064">
        <w:rPr>
          <w:rFonts w:ascii="Times New Roman" w:hAnsi="Times New Roman" w:cs="Times New Roman"/>
          <w:sz w:val="26"/>
          <w:szCs w:val="26"/>
        </w:rPr>
        <w:t xml:space="preserve">hàng ở </w:t>
      </w:r>
      <w:r w:rsidRPr="00F21B1B">
        <w:rPr>
          <w:rFonts w:ascii="Times New Roman" w:hAnsi="Times New Roman" w:cs="Times New Roman"/>
          <w:sz w:val="26"/>
          <w:szCs w:val="26"/>
        </w:rPr>
        <w:t xml:space="preserve">bên ngoài chu vi miệng hầm hàng có thể để ở </w:t>
      </w:r>
      <w:r w:rsidRPr="001C0064">
        <w:rPr>
          <w:rFonts w:ascii="Times New Roman" w:hAnsi="Times New Roman" w:cs="Times New Roman"/>
          <w:color w:val="EE0000"/>
          <w:sz w:val="26"/>
          <w:szCs w:val="26"/>
        </w:rPr>
        <w:t xml:space="preserve">góc </w:t>
      </w:r>
      <w:r w:rsidR="001C0064" w:rsidRPr="001C0064">
        <w:rPr>
          <w:rFonts w:ascii="Times New Roman" w:hAnsi="Times New Roman" w:cs="Times New Roman"/>
          <w:color w:val="EE0000"/>
          <w:sz w:val="26"/>
          <w:szCs w:val="26"/>
        </w:rPr>
        <w:t>nghiêng</w:t>
      </w:r>
      <w:r w:rsidRPr="001C0064">
        <w:rPr>
          <w:rFonts w:ascii="Times New Roman" w:hAnsi="Times New Roman" w:cs="Times New Roman"/>
          <w:color w:val="EE0000"/>
          <w:sz w:val="26"/>
          <w:szCs w:val="26"/>
        </w:rPr>
        <w:t xml:space="preserve"> tự nhiên </w:t>
      </w:r>
      <w:r w:rsidRPr="00F21B1B">
        <w:rPr>
          <w:rFonts w:ascii="Times New Roman" w:hAnsi="Times New Roman" w:cs="Times New Roman"/>
          <w:sz w:val="26"/>
          <w:szCs w:val="26"/>
        </w:rPr>
        <w:t xml:space="preserve">của hàng. Sau khi xếp hàng, </w:t>
      </w:r>
      <w:r w:rsidRPr="001C0064">
        <w:rPr>
          <w:rFonts w:ascii="Times New Roman" w:hAnsi="Times New Roman" w:cs="Times New Roman"/>
          <w:color w:val="EE0000"/>
          <w:sz w:val="26"/>
          <w:szCs w:val="26"/>
        </w:rPr>
        <w:t xml:space="preserve">chỉ bề mặt ngũ cốc tự do tại khu vực </w:t>
      </w:r>
      <w:r w:rsidR="001C0064">
        <w:rPr>
          <w:rFonts w:ascii="Times New Roman" w:hAnsi="Times New Roman" w:cs="Times New Roman"/>
          <w:color w:val="EE0000"/>
          <w:sz w:val="26"/>
          <w:szCs w:val="26"/>
        </w:rPr>
        <w:t xml:space="preserve">quầy </w:t>
      </w:r>
      <w:r w:rsidRPr="001C0064">
        <w:rPr>
          <w:rFonts w:ascii="Times New Roman" w:hAnsi="Times New Roman" w:cs="Times New Roman"/>
          <w:color w:val="EE0000"/>
          <w:sz w:val="26"/>
          <w:szCs w:val="26"/>
        </w:rPr>
        <w:t xml:space="preserve">miệng hầm hàng </w:t>
      </w:r>
      <w:r w:rsidRPr="00F21B1B">
        <w:rPr>
          <w:rFonts w:ascii="Times New Roman" w:hAnsi="Times New Roman" w:cs="Times New Roman"/>
          <w:sz w:val="26"/>
          <w:szCs w:val="26"/>
        </w:rPr>
        <w:t>mới phải được làm phẳng.</w:t>
      </w:r>
    </w:p>
    <w:p w14:paraId="08368365" w14:textId="280DEEEF" w:rsidR="001C0064" w:rsidRPr="00F21B1B" w:rsidRDefault="001C0064" w:rsidP="00F21B1B">
      <w:pPr>
        <w:spacing w:before="120" w:after="120"/>
        <w:jc w:val="both"/>
        <w:rPr>
          <w:rFonts w:ascii="Times New Roman" w:hAnsi="Times New Roman" w:cs="Times New Roman"/>
          <w:sz w:val="26"/>
          <w:szCs w:val="26"/>
        </w:rPr>
      </w:pPr>
      <w:r w:rsidRPr="001C0064">
        <w:rPr>
          <w:rFonts w:ascii="Times New Roman" w:hAnsi="Times New Roman" w:cs="Times New Roman"/>
          <w:sz w:val="26"/>
          <w:szCs w:val="26"/>
        </w:rPr>
        <w:drawing>
          <wp:inline distT="0" distB="0" distL="0" distR="0" wp14:anchorId="399404DE" wp14:editId="4160E7E1">
            <wp:extent cx="6343650" cy="2127250"/>
            <wp:effectExtent l="0" t="0" r="0" b="6350"/>
            <wp:docPr id="30552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23940" name=""/>
                    <pic:cNvPicPr/>
                  </pic:nvPicPr>
                  <pic:blipFill>
                    <a:blip r:embed="rId7"/>
                    <a:stretch>
                      <a:fillRect/>
                    </a:stretch>
                  </pic:blipFill>
                  <pic:spPr>
                    <a:xfrm>
                      <a:off x="0" y="0"/>
                      <a:ext cx="6343650" cy="2127250"/>
                    </a:xfrm>
                    <a:prstGeom prst="rect">
                      <a:avLst/>
                    </a:prstGeom>
                  </pic:spPr>
                </pic:pic>
              </a:graphicData>
            </a:graphic>
          </wp:inline>
        </w:drawing>
      </w:r>
    </w:p>
    <w:p w14:paraId="0CAEB005" w14:textId="5239C8B2"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Một khoang có thể đủ điều kiện xếp vào loại này nếu được coi là </w:t>
      </w:r>
      <w:r w:rsidRPr="001C0064">
        <w:rPr>
          <w:rFonts w:ascii="Times New Roman" w:hAnsi="Times New Roman" w:cs="Times New Roman"/>
          <w:sz w:val="26"/>
          <w:szCs w:val="26"/>
        </w:rPr>
        <w:t>“đặc biệt phù hợp”</w:t>
      </w:r>
      <w:r w:rsidRPr="00F21B1B">
        <w:rPr>
          <w:rFonts w:ascii="Times New Roman" w:hAnsi="Times New Roman" w:cs="Times New Roman"/>
          <w:sz w:val="26"/>
          <w:szCs w:val="26"/>
        </w:rPr>
        <w:t xml:space="preserve"> theo định nghĩa tại </w:t>
      </w:r>
      <w:r w:rsidRPr="001C0064">
        <w:rPr>
          <w:rFonts w:ascii="Times New Roman" w:hAnsi="Times New Roman" w:cs="Times New Roman"/>
          <w:sz w:val="26"/>
          <w:szCs w:val="26"/>
        </w:rPr>
        <w:t>điều A/2.7 của Grain Code</w:t>
      </w:r>
      <w:r w:rsidRPr="00F21B1B">
        <w:rPr>
          <w:rFonts w:ascii="Times New Roman" w:hAnsi="Times New Roman" w:cs="Times New Roman"/>
          <w:sz w:val="26"/>
          <w:szCs w:val="26"/>
        </w:rPr>
        <w:t xml:space="preserve">; khi đó có thể được </w:t>
      </w:r>
      <w:r w:rsidRPr="001C0064">
        <w:rPr>
          <w:rFonts w:ascii="Times New Roman" w:hAnsi="Times New Roman" w:cs="Times New Roman"/>
          <w:color w:val="EE0000"/>
          <w:sz w:val="26"/>
          <w:szCs w:val="26"/>
        </w:rPr>
        <w:t>miễn yêu cầu san phẳng</w:t>
      </w:r>
      <w:r w:rsidR="001C0064">
        <w:rPr>
          <w:rFonts w:ascii="Times New Roman" w:hAnsi="Times New Roman" w:cs="Times New Roman"/>
          <w:color w:val="EE0000"/>
          <w:sz w:val="26"/>
          <w:szCs w:val="26"/>
        </w:rPr>
        <w:t xml:space="preserve"> hàng ở</w:t>
      </w:r>
      <w:r w:rsidRPr="001C0064">
        <w:rPr>
          <w:rFonts w:ascii="Times New Roman" w:hAnsi="Times New Roman" w:cs="Times New Roman"/>
          <w:color w:val="EE0000"/>
          <w:sz w:val="26"/>
          <w:szCs w:val="26"/>
        </w:rPr>
        <w:t xml:space="preserve"> hai đầu khoang</w:t>
      </w:r>
      <w:r w:rsidRPr="00F21B1B">
        <w:rPr>
          <w:rFonts w:ascii="Times New Roman" w:hAnsi="Times New Roman" w:cs="Times New Roman"/>
          <w:sz w:val="26"/>
          <w:szCs w:val="26"/>
        </w:rPr>
        <w:t xml:space="preserve">. Ngoài ra, các sửa đổi bổ sung trong </w:t>
      </w:r>
      <w:r w:rsidRPr="001C0064">
        <w:rPr>
          <w:rFonts w:ascii="Times New Roman" w:hAnsi="Times New Roman" w:cs="Times New Roman"/>
          <w:sz w:val="26"/>
          <w:szCs w:val="26"/>
        </w:rPr>
        <w:t>Phần B của Grain Code</w:t>
      </w:r>
      <w:r w:rsidRPr="00F21B1B">
        <w:rPr>
          <w:rFonts w:ascii="Times New Roman" w:hAnsi="Times New Roman" w:cs="Times New Roman"/>
          <w:sz w:val="26"/>
          <w:szCs w:val="26"/>
        </w:rPr>
        <w:t xml:space="preserve"> liên quan đến các </w:t>
      </w:r>
      <w:r w:rsidRPr="001C0064">
        <w:rPr>
          <w:rFonts w:ascii="Times New Roman" w:hAnsi="Times New Roman" w:cs="Times New Roman"/>
          <w:sz w:val="26"/>
          <w:szCs w:val="26"/>
        </w:rPr>
        <w:t>giả định tính toán</w:t>
      </w:r>
      <w:r w:rsidRPr="00F21B1B">
        <w:rPr>
          <w:rFonts w:ascii="Times New Roman" w:hAnsi="Times New Roman" w:cs="Times New Roman"/>
          <w:sz w:val="26"/>
          <w:szCs w:val="26"/>
        </w:rPr>
        <w:t xml:space="preserve"> cũng đã được đưa ra, nhằm hướng dẫn về </w:t>
      </w:r>
      <w:r w:rsidRPr="001C0064">
        <w:rPr>
          <w:rFonts w:ascii="Times New Roman" w:hAnsi="Times New Roman" w:cs="Times New Roman"/>
          <w:sz w:val="26"/>
          <w:szCs w:val="26"/>
        </w:rPr>
        <w:t xml:space="preserve">độ </w:t>
      </w:r>
      <w:r w:rsidR="001C0064">
        <w:rPr>
          <w:rFonts w:ascii="Times New Roman" w:hAnsi="Times New Roman" w:cs="Times New Roman"/>
          <w:sz w:val="26"/>
          <w:szCs w:val="26"/>
        </w:rPr>
        <w:t>dốc</w:t>
      </w:r>
      <w:r w:rsidRPr="001C0064">
        <w:rPr>
          <w:rFonts w:ascii="Times New Roman" w:hAnsi="Times New Roman" w:cs="Times New Roman"/>
          <w:sz w:val="26"/>
          <w:szCs w:val="26"/>
        </w:rPr>
        <w:t xml:space="preserve"> giả định của hàng </w:t>
      </w:r>
      <w:r w:rsidRPr="00F21B1B">
        <w:rPr>
          <w:rFonts w:ascii="Times New Roman" w:hAnsi="Times New Roman" w:cs="Times New Roman"/>
          <w:sz w:val="26"/>
          <w:szCs w:val="26"/>
        </w:rPr>
        <w:t xml:space="preserve">khi khoang được xếp một phần tại khu vực </w:t>
      </w:r>
      <w:r w:rsidR="001C0064">
        <w:rPr>
          <w:rFonts w:ascii="Times New Roman" w:hAnsi="Times New Roman" w:cs="Times New Roman"/>
          <w:sz w:val="26"/>
          <w:szCs w:val="26"/>
        </w:rPr>
        <w:t xml:space="preserve">quầy </w:t>
      </w:r>
      <w:r w:rsidRPr="00F21B1B">
        <w:rPr>
          <w:rFonts w:ascii="Times New Roman" w:hAnsi="Times New Roman" w:cs="Times New Roman"/>
          <w:sz w:val="26"/>
          <w:szCs w:val="26"/>
        </w:rPr>
        <w:t xml:space="preserve">miệng hầm hàng với </w:t>
      </w:r>
      <w:r w:rsidR="001C0064">
        <w:rPr>
          <w:rFonts w:ascii="Times New Roman" w:hAnsi="Times New Roman" w:cs="Times New Roman"/>
          <w:sz w:val="26"/>
          <w:szCs w:val="26"/>
        </w:rPr>
        <w:t xml:space="preserve">hàng ở hai đầu </w:t>
      </w:r>
      <w:r w:rsidRPr="00F21B1B">
        <w:rPr>
          <w:rFonts w:ascii="Times New Roman" w:hAnsi="Times New Roman" w:cs="Times New Roman"/>
          <w:sz w:val="26"/>
          <w:szCs w:val="26"/>
        </w:rPr>
        <w:t xml:space="preserve">không </w:t>
      </w:r>
      <w:r w:rsidR="001C0064">
        <w:rPr>
          <w:rFonts w:ascii="Times New Roman" w:hAnsi="Times New Roman" w:cs="Times New Roman"/>
          <w:sz w:val="26"/>
          <w:szCs w:val="26"/>
        </w:rPr>
        <w:t xml:space="preserve">được </w:t>
      </w:r>
      <w:r w:rsidRPr="00F21B1B">
        <w:rPr>
          <w:rFonts w:ascii="Times New Roman" w:hAnsi="Times New Roman" w:cs="Times New Roman"/>
          <w:sz w:val="26"/>
          <w:szCs w:val="26"/>
        </w:rPr>
        <w:t xml:space="preserve">san phẳng, phục vụ cho việc xác định </w:t>
      </w:r>
      <w:r w:rsidR="001C0064">
        <w:rPr>
          <w:rFonts w:ascii="Times New Roman" w:hAnsi="Times New Roman" w:cs="Times New Roman"/>
          <w:sz w:val="26"/>
          <w:szCs w:val="26"/>
        </w:rPr>
        <w:t xml:space="preserve">ra </w:t>
      </w:r>
      <w:r w:rsidRPr="001C0064">
        <w:rPr>
          <w:rFonts w:ascii="Times New Roman" w:hAnsi="Times New Roman" w:cs="Times New Roman"/>
          <w:color w:val="EE0000"/>
          <w:sz w:val="26"/>
          <w:szCs w:val="26"/>
        </w:rPr>
        <w:t>mô men nghiêng thể tích giả định</w:t>
      </w:r>
      <w:r w:rsidRPr="00F21B1B">
        <w:rPr>
          <w:rFonts w:ascii="Times New Roman" w:hAnsi="Times New Roman" w:cs="Times New Roman"/>
          <w:sz w:val="26"/>
          <w:szCs w:val="26"/>
        </w:rPr>
        <w:t>.</w:t>
      </w:r>
    </w:p>
    <w:p w14:paraId="2961BA39" w14:textId="77777777" w:rsidR="00F21B1B" w:rsidRPr="00F21B1B" w:rsidRDefault="00F21B1B" w:rsidP="00F21B1B">
      <w:pPr>
        <w:spacing w:before="120" w:after="120"/>
        <w:jc w:val="both"/>
        <w:rPr>
          <w:rFonts w:ascii="Times New Roman" w:hAnsi="Times New Roman" w:cs="Times New Roman"/>
          <w:b/>
          <w:bCs/>
          <w:sz w:val="26"/>
          <w:szCs w:val="26"/>
        </w:rPr>
      </w:pPr>
      <w:r w:rsidRPr="00F21B1B">
        <w:rPr>
          <w:rFonts w:ascii="Times New Roman" w:hAnsi="Times New Roman" w:cs="Times New Roman"/>
          <w:b/>
          <w:bCs/>
          <w:sz w:val="26"/>
          <w:szCs w:val="26"/>
        </w:rPr>
        <w:t>Phạm vi áp dụng (Application)</w:t>
      </w:r>
    </w:p>
    <w:p w14:paraId="2531F0EE" w14:textId="026D99CC"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Các sửa đổi </w:t>
      </w:r>
      <w:r w:rsidR="001C0064">
        <w:rPr>
          <w:rFonts w:ascii="Times New Roman" w:hAnsi="Times New Roman" w:cs="Times New Roman"/>
          <w:sz w:val="26"/>
          <w:szCs w:val="26"/>
        </w:rPr>
        <w:t xml:space="preserve">này </w:t>
      </w:r>
      <w:r w:rsidRPr="00F21B1B">
        <w:rPr>
          <w:rFonts w:ascii="Times New Roman" w:hAnsi="Times New Roman" w:cs="Times New Roman"/>
          <w:sz w:val="26"/>
          <w:szCs w:val="26"/>
        </w:rPr>
        <w:t xml:space="preserve">đã </w:t>
      </w:r>
      <w:r w:rsidRPr="001C0064">
        <w:rPr>
          <w:rFonts w:ascii="Times New Roman" w:hAnsi="Times New Roman" w:cs="Times New Roman"/>
          <w:sz w:val="26"/>
          <w:szCs w:val="26"/>
        </w:rPr>
        <w:t>chính thức có hiệu lực từ ngày 1 tháng 1 năm 2026</w:t>
      </w:r>
      <w:r w:rsidRPr="00F21B1B">
        <w:rPr>
          <w:rFonts w:ascii="Times New Roman" w:hAnsi="Times New Roman" w:cs="Times New Roman"/>
          <w:sz w:val="26"/>
          <w:szCs w:val="26"/>
        </w:rPr>
        <w:t xml:space="preserve">. Chúng áp dụng cho </w:t>
      </w:r>
      <w:r w:rsidRPr="001C0064">
        <w:rPr>
          <w:rFonts w:ascii="Times New Roman" w:hAnsi="Times New Roman" w:cs="Times New Roman"/>
          <w:sz w:val="26"/>
          <w:szCs w:val="26"/>
        </w:rPr>
        <w:t xml:space="preserve">cả tàu mới và tàu hiện </w:t>
      </w:r>
      <w:r w:rsidR="001C0064">
        <w:rPr>
          <w:rFonts w:ascii="Times New Roman" w:hAnsi="Times New Roman" w:cs="Times New Roman"/>
          <w:sz w:val="26"/>
          <w:szCs w:val="26"/>
        </w:rPr>
        <w:t>có</w:t>
      </w:r>
      <w:r w:rsidRPr="00F21B1B">
        <w:rPr>
          <w:rFonts w:ascii="Times New Roman" w:hAnsi="Times New Roman" w:cs="Times New Roman"/>
          <w:sz w:val="26"/>
          <w:szCs w:val="26"/>
        </w:rPr>
        <w:t xml:space="preserve"> vận chuyển </w:t>
      </w:r>
      <w:r w:rsidR="001C0064">
        <w:rPr>
          <w:rFonts w:ascii="Times New Roman" w:hAnsi="Times New Roman" w:cs="Times New Roman"/>
          <w:sz w:val="26"/>
          <w:szCs w:val="26"/>
        </w:rPr>
        <w:t>hàng hạt</w:t>
      </w:r>
      <w:r w:rsidRPr="00F21B1B">
        <w:rPr>
          <w:rFonts w:ascii="Times New Roman" w:hAnsi="Times New Roman" w:cs="Times New Roman"/>
          <w:sz w:val="26"/>
          <w:szCs w:val="26"/>
        </w:rPr>
        <w:t xml:space="preserve"> rời, theo </w:t>
      </w:r>
      <w:r w:rsidR="001C0064" w:rsidRPr="001C0064">
        <w:rPr>
          <w:rFonts w:ascii="Times New Roman" w:hAnsi="Times New Roman" w:cs="Times New Roman"/>
          <w:sz w:val="26"/>
          <w:szCs w:val="26"/>
        </w:rPr>
        <w:t>loại</w:t>
      </w:r>
      <w:r w:rsidRPr="001C0064">
        <w:rPr>
          <w:rFonts w:ascii="Times New Roman" w:hAnsi="Times New Roman" w:cs="Times New Roman"/>
          <w:sz w:val="26"/>
          <w:szCs w:val="26"/>
        </w:rPr>
        <w:t xml:space="preserve"> điều kiện xếp hàng mới được định nghĩa</w:t>
      </w:r>
      <w:r w:rsidRPr="00F21B1B">
        <w:rPr>
          <w:rFonts w:ascii="Times New Roman" w:hAnsi="Times New Roman" w:cs="Times New Roman"/>
          <w:sz w:val="26"/>
          <w:szCs w:val="26"/>
        </w:rPr>
        <w:t>, kể từ thời điểm này.</w:t>
      </w:r>
    </w:p>
    <w:p w14:paraId="4CE776FF" w14:textId="77777777" w:rsidR="00F21B1B" w:rsidRPr="00F21B1B" w:rsidRDefault="00F21B1B" w:rsidP="00F21B1B">
      <w:pPr>
        <w:spacing w:before="120" w:after="120"/>
        <w:jc w:val="both"/>
        <w:rPr>
          <w:rFonts w:ascii="Times New Roman" w:hAnsi="Times New Roman" w:cs="Times New Roman"/>
          <w:b/>
          <w:bCs/>
          <w:sz w:val="26"/>
          <w:szCs w:val="26"/>
        </w:rPr>
      </w:pPr>
      <w:r w:rsidRPr="00F21B1B">
        <w:rPr>
          <w:rFonts w:ascii="Times New Roman" w:hAnsi="Times New Roman" w:cs="Times New Roman"/>
          <w:b/>
          <w:bCs/>
          <w:sz w:val="26"/>
          <w:szCs w:val="26"/>
        </w:rPr>
        <w:t>Hành động để tuân thủ (Actions for Compliance)</w:t>
      </w:r>
    </w:p>
    <w:p w14:paraId="66CCED20" w14:textId="0ECE3C49"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Các tàu dự kiến vận chuyển </w:t>
      </w:r>
      <w:r w:rsidR="001C0064">
        <w:rPr>
          <w:rFonts w:ascii="Times New Roman" w:hAnsi="Times New Roman" w:cs="Times New Roman"/>
          <w:sz w:val="26"/>
          <w:szCs w:val="26"/>
        </w:rPr>
        <w:t>hàng hạt rời</w:t>
      </w:r>
      <w:r w:rsidRPr="00F21B1B">
        <w:rPr>
          <w:rFonts w:ascii="Times New Roman" w:hAnsi="Times New Roman" w:cs="Times New Roman"/>
          <w:sz w:val="26"/>
          <w:szCs w:val="26"/>
        </w:rPr>
        <w:t xml:space="preserve"> theo </w:t>
      </w:r>
      <w:r w:rsidR="001C0064">
        <w:rPr>
          <w:rFonts w:ascii="Times New Roman" w:hAnsi="Times New Roman" w:cs="Times New Roman"/>
          <w:sz w:val="26"/>
          <w:szCs w:val="26"/>
        </w:rPr>
        <w:t>loại</w:t>
      </w:r>
      <w:r w:rsidRPr="00F21B1B">
        <w:rPr>
          <w:rFonts w:ascii="Times New Roman" w:hAnsi="Times New Roman" w:cs="Times New Roman"/>
          <w:sz w:val="26"/>
          <w:szCs w:val="26"/>
        </w:rPr>
        <w:t xml:space="preserve"> điều kiện xếp hàng mới, </w:t>
      </w:r>
      <w:r w:rsidRPr="001C0064">
        <w:rPr>
          <w:rFonts w:ascii="Times New Roman" w:hAnsi="Times New Roman" w:cs="Times New Roman"/>
          <w:sz w:val="26"/>
          <w:szCs w:val="26"/>
        </w:rPr>
        <w:t>từ hoặc sau ngày 1 tháng 1 năm 2026</w:t>
      </w:r>
      <w:r w:rsidRPr="00F21B1B">
        <w:rPr>
          <w:rFonts w:ascii="Times New Roman" w:hAnsi="Times New Roman" w:cs="Times New Roman"/>
          <w:sz w:val="26"/>
          <w:szCs w:val="26"/>
        </w:rPr>
        <w:t>, cần lưu ý các yêu cầu sau:</w:t>
      </w:r>
    </w:p>
    <w:p w14:paraId="5EB1D252" w14:textId="55F5BD9C" w:rsidR="00F21B1B" w:rsidRPr="00F21B1B" w:rsidRDefault="00F21B1B" w:rsidP="00F21B1B">
      <w:pPr>
        <w:numPr>
          <w:ilvl w:val="0"/>
          <w:numId w:val="1"/>
        </w:numPr>
        <w:spacing w:before="120" w:after="120"/>
        <w:jc w:val="both"/>
        <w:rPr>
          <w:rFonts w:ascii="Times New Roman" w:hAnsi="Times New Roman" w:cs="Times New Roman"/>
          <w:sz w:val="26"/>
          <w:szCs w:val="26"/>
        </w:rPr>
      </w:pPr>
      <w:r w:rsidRPr="00917940">
        <w:rPr>
          <w:rFonts w:ascii="Times New Roman" w:hAnsi="Times New Roman" w:cs="Times New Roman"/>
          <w:color w:val="EE0000"/>
          <w:sz w:val="26"/>
          <w:szCs w:val="26"/>
        </w:rPr>
        <w:t xml:space="preserve">Sổ tay ổn định xếp hàng </w:t>
      </w:r>
      <w:r w:rsidR="001C0064" w:rsidRPr="00917940">
        <w:rPr>
          <w:rFonts w:ascii="Times New Roman" w:hAnsi="Times New Roman" w:cs="Times New Roman"/>
          <w:color w:val="EE0000"/>
          <w:sz w:val="26"/>
          <w:szCs w:val="26"/>
        </w:rPr>
        <w:t>hạt rời</w:t>
      </w:r>
      <w:r w:rsidRPr="00917940">
        <w:rPr>
          <w:rFonts w:ascii="Times New Roman" w:hAnsi="Times New Roman" w:cs="Times New Roman"/>
          <w:color w:val="EE0000"/>
          <w:sz w:val="26"/>
          <w:szCs w:val="26"/>
        </w:rPr>
        <w:t xml:space="preserve"> (Grain Loading Stability Manual) </w:t>
      </w:r>
      <w:r w:rsidRPr="00F21B1B">
        <w:rPr>
          <w:rFonts w:ascii="Times New Roman" w:hAnsi="Times New Roman" w:cs="Times New Roman"/>
          <w:sz w:val="26"/>
          <w:szCs w:val="26"/>
        </w:rPr>
        <w:t xml:space="preserve">của tàu phải được cập nhật phù hợp với các sửa đổi của Grain Code theo </w:t>
      </w:r>
      <w:r w:rsidRPr="00917940">
        <w:rPr>
          <w:rFonts w:ascii="Times New Roman" w:hAnsi="Times New Roman" w:cs="Times New Roman"/>
          <w:color w:val="EE0000"/>
          <w:sz w:val="26"/>
          <w:szCs w:val="26"/>
        </w:rPr>
        <w:t xml:space="preserve">Nghị quyết MSC.552(108) </w:t>
      </w:r>
      <w:r w:rsidRPr="00F21B1B">
        <w:rPr>
          <w:rFonts w:ascii="Times New Roman" w:hAnsi="Times New Roman" w:cs="Times New Roman"/>
          <w:sz w:val="26"/>
          <w:szCs w:val="26"/>
        </w:rPr>
        <w:t xml:space="preserve">và nộp cho </w:t>
      </w:r>
      <w:r w:rsidRPr="00917940">
        <w:rPr>
          <w:rFonts w:ascii="Times New Roman" w:hAnsi="Times New Roman" w:cs="Times New Roman"/>
          <w:sz w:val="26"/>
          <w:szCs w:val="26"/>
        </w:rPr>
        <w:t xml:space="preserve">Chính quyền </w:t>
      </w:r>
      <w:r w:rsidR="00917940" w:rsidRPr="00917940">
        <w:rPr>
          <w:rFonts w:ascii="Times New Roman" w:hAnsi="Times New Roman" w:cs="Times New Roman"/>
          <w:sz w:val="26"/>
          <w:szCs w:val="26"/>
        </w:rPr>
        <w:t>nước tàu mang</w:t>
      </w:r>
      <w:r w:rsidRPr="00917940">
        <w:rPr>
          <w:rFonts w:ascii="Times New Roman" w:hAnsi="Times New Roman" w:cs="Times New Roman"/>
          <w:sz w:val="26"/>
          <w:szCs w:val="26"/>
        </w:rPr>
        <w:t xml:space="preserve"> cờ</w:t>
      </w:r>
      <w:r w:rsidRPr="00F21B1B">
        <w:rPr>
          <w:rFonts w:ascii="Times New Roman" w:hAnsi="Times New Roman" w:cs="Times New Roman"/>
          <w:sz w:val="26"/>
          <w:szCs w:val="26"/>
        </w:rPr>
        <w:t xml:space="preserve"> hoặc </w:t>
      </w:r>
      <w:r w:rsidRPr="00917940">
        <w:rPr>
          <w:rFonts w:ascii="Times New Roman" w:hAnsi="Times New Roman" w:cs="Times New Roman"/>
          <w:sz w:val="26"/>
          <w:szCs w:val="26"/>
        </w:rPr>
        <w:t xml:space="preserve">Tổ chức được công nhận (RO) </w:t>
      </w:r>
      <w:r w:rsidRPr="00F21B1B">
        <w:rPr>
          <w:rFonts w:ascii="Times New Roman" w:hAnsi="Times New Roman" w:cs="Times New Roman"/>
          <w:sz w:val="26"/>
          <w:szCs w:val="26"/>
        </w:rPr>
        <w:t>để phê duyệt.</w:t>
      </w:r>
    </w:p>
    <w:p w14:paraId="66DE6AA1" w14:textId="77777777" w:rsidR="00F21B1B" w:rsidRPr="00F21B1B" w:rsidRDefault="00F21B1B" w:rsidP="00F21B1B">
      <w:pPr>
        <w:numPr>
          <w:ilvl w:val="0"/>
          <w:numId w:val="1"/>
        </w:num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t xml:space="preserve">Hoặc, có thể chuẩn bị </w:t>
      </w:r>
      <w:r w:rsidRPr="00917940">
        <w:rPr>
          <w:rFonts w:ascii="Times New Roman" w:hAnsi="Times New Roman" w:cs="Times New Roman"/>
          <w:sz w:val="26"/>
          <w:szCs w:val="26"/>
        </w:rPr>
        <w:t>phụ lục bổ sung</w:t>
      </w:r>
      <w:r w:rsidRPr="00F21B1B">
        <w:rPr>
          <w:rFonts w:ascii="Times New Roman" w:hAnsi="Times New Roman" w:cs="Times New Roman"/>
          <w:sz w:val="26"/>
          <w:szCs w:val="26"/>
        </w:rPr>
        <w:t xml:space="preserve"> cho sổ tay ổn định xếp hàng ngũ cốc đã được phê duyệt, bao gồm điều kiện mới, và nộp để xin phê duyệt.</w:t>
      </w:r>
    </w:p>
    <w:p w14:paraId="7DAD9054" w14:textId="6FB16EF6" w:rsidR="00F21B1B" w:rsidRPr="00F21B1B" w:rsidRDefault="00F21B1B" w:rsidP="00F21B1B">
      <w:pPr>
        <w:numPr>
          <w:ilvl w:val="0"/>
          <w:numId w:val="1"/>
        </w:numPr>
        <w:spacing w:before="120" w:after="120"/>
        <w:jc w:val="both"/>
        <w:rPr>
          <w:rFonts w:ascii="Times New Roman" w:hAnsi="Times New Roman" w:cs="Times New Roman"/>
          <w:sz w:val="26"/>
          <w:szCs w:val="26"/>
        </w:rPr>
      </w:pPr>
      <w:r w:rsidRPr="00917940">
        <w:rPr>
          <w:rFonts w:ascii="Times New Roman" w:hAnsi="Times New Roman" w:cs="Times New Roman"/>
          <w:sz w:val="26"/>
          <w:szCs w:val="26"/>
        </w:rPr>
        <w:t xml:space="preserve">Phần mềm/máy tính xếp hàng </w:t>
      </w:r>
      <w:r w:rsidR="00917940">
        <w:rPr>
          <w:rFonts w:ascii="Times New Roman" w:hAnsi="Times New Roman" w:cs="Times New Roman"/>
          <w:sz w:val="26"/>
          <w:szCs w:val="26"/>
        </w:rPr>
        <w:t>hạt rời</w:t>
      </w:r>
      <w:r w:rsidRPr="00F21B1B">
        <w:rPr>
          <w:rFonts w:ascii="Times New Roman" w:hAnsi="Times New Roman" w:cs="Times New Roman"/>
          <w:sz w:val="26"/>
          <w:szCs w:val="26"/>
        </w:rPr>
        <w:t xml:space="preserve"> đáp ứng các sửa đổi của Grain Code cần được chuẩn bị và nộp cho </w:t>
      </w:r>
      <w:r w:rsidRPr="00917940">
        <w:rPr>
          <w:rFonts w:ascii="Times New Roman" w:hAnsi="Times New Roman" w:cs="Times New Roman"/>
          <w:sz w:val="26"/>
          <w:szCs w:val="26"/>
        </w:rPr>
        <w:t xml:space="preserve">Chính quyền </w:t>
      </w:r>
      <w:r w:rsidR="00917940">
        <w:rPr>
          <w:rFonts w:ascii="Times New Roman" w:hAnsi="Times New Roman" w:cs="Times New Roman"/>
          <w:sz w:val="26"/>
          <w:szCs w:val="26"/>
        </w:rPr>
        <w:t>nước tàu mang</w:t>
      </w:r>
      <w:r w:rsidRPr="00917940">
        <w:rPr>
          <w:rFonts w:ascii="Times New Roman" w:hAnsi="Times New Roman" w:cs="Times New Roman"/>
          <w:sz w:val="26"/>
          <w:szCs w:val="26"/>
        </w:rPr>
        <w:t xml:space="preserve"> cờ</w:t>
      </w:r>
      <w:r w:rsidRPr="00F21B1B">
        <w:rPr>
          <w:rFonts w:ascii="Times New Roman" w:hAnsi="Times New Roman" w:cs="Times New Roman"/>
          <w:sz w:val="26"/>
          <w:szCs w:val="26"/>
        </w:rPr>
        <w:t xml:space="preserve"> hoặc </w:t>
      </w:r>
      <w:r w:rsidRPr="00917940">
        <w:rPr>
          <w:rFonts w:ascii="Times New Roman" w:hAnsi="Times New Roman" w:cs="Times New Roman"/>
          <w:sz w:val="26"/>
          <w:szCs w:val="26"/>
        </w:rPr>
        <w:t>Tổ chức được công nhận (RO)</w:t>
      </w:r>
      <w:r w:rsidRPr="00F21B1B">
        <w:rPr>
          <w:rFonts w:ascii="Times New Roman" w:hAnsi="Times New Roman" w:cs="Times New Roman"/>
          <w:sz w:val="26"/>
          <w:szCs w:val="26"/>
        </w:rPr>
        <w:t xml:space="preserve"> để phê duyệt.</w:t>
      </w:r>
    </w:p>
    <w:p w14:paraId="0686F1A9" w14:textId="4F4BD076" w:rsidR="00F21B1B" w:rsidRPr="00F21B1B" w:rsidRDefault="00F21B1B" w:rsidP="00F21B1B">
      <w:pPr>
        <w:spacing w:before="120" w:after="120"/>
        <w:jc w:val="both"/>
        <w:rPr>
          <w:rFonts w:ascii="Times New Roman" w:hAnsi="Times New Roman" w:cs="Times New Roman"/>
          <w:sz w:val="26"/>
          <w:szCs w:val="26"/>
        </w:rPr>
      </w:pPr>
      <w:r w:rsidRPr="00F21B1B">
        <w:rPr>
          <w:rFonts w:ascii="Times New Roman" w:hAnsi="Times New Roman" w:cs="Times New Roman"/>
          <w:sz w:val="26"/>
          <w:szCs w:val="26"/>
        </w:rPr>
        <w:lastRenderedPageBreak/>
        <w:t xml:space="preserve">Để biết thêm thông tin, vui lòng tải về </w:t>
      </w:r>
      <w:r w:rsidRPr="00917940">
        <w:rPr>
          <w:rFonts w:ascii="Times New Roman" w:hAnsi="Times New Roman" w:cs="Times New Roman"/>
          <w:sz w:val="26"/>
          <w:szCs w:val="26"/>
        </w:rPr>
        <w:t xml:space="preserve">Tài liệu hướng dẫn của ABS về các sửa đổi đối với Bộ luật Quốc tế về Vận chuyển </w:t>
      </w:r>
      <w:proofErr w:type="gramStart"/>
      <w:r w:rsidRPr="00917940">
        <w:rPr>
          <w:rFonts w:ascii="Times New Roman" w:hAnsi="Times New Roman" w:cs="Times New Roman"/>
          <w:sz w:val="26"/>
          <w:szCs w:val="26"/>
        </w:rPr>
        <w:t>An</w:t>
      </w:r>
      <w:proofErr w:type="gramEnd"/>
      <w:r w:rsidRPr="00917940">
        <w:rPr>
          <w:rFonts w:ascii="Times New Roman" w:hAnsi="Times New Roman" w:cs="Times New Roman"/>
          <w:sz w:val="26"/>
          <w:szCs w:val="26"/>
        </w:rPr>
        <w:t xml:space="preserve"> toàn </w:t>
      </w:r>
      <w:r w:rsidR="00917940">
        <w:rPr>
          <w:rFonts w:ascii="Times New Roman" w:hAnsi="Times New Roman" w:cs="Times New Roman"/>
          <w:sz w:val="26"/>
          <w:szCs w:val="26"/>
        </w:rPr>
        <w:t>hàng hạt rời</w:t>
      </w:r>
      <w:r w:rsidRPr="00917940">
        <w:rPr>
          <w:rFonts w:ascii="Times New Roman" w:hAnsi="Times New Roman" w:cs="Times New Roman"/>
          <w:sz w:val="26"/>
          <w:szCs w:val="26"/>
        </w:rPr>
        <w:t xml:space="preserve"> </w:t>
      </w:r>
      <w:r w:rsidRPr="00F21B1B">
        <w:rPr>
          <w:rFonts w:ascii="Times New Roman" w:hAnsi="Times New Roman" w:cs="Times New Roman"/>
          <w:sz w:val="26"/>
          <w:szCs w:val="26"/>
        </w:rPr>
        <w:t>tại liên kết bên dưới.</w:t>
      </w:r>
    </w:p>
    <w:p w14:paraId="1A4847A6" w14:textId="7D6298AE" w:rsidR="00C13E10" w:rsidRDefault="00F21B1B">
      <w:pPr>
        <w:rPr>
          <w:b/>
          <w:bCs/>
        </w:rPr>
      </w:pPr>
      <w:hyperlink r:id="rId8" w:history="1">
        <w:r w:rsidRPr="00917940">
          <w:rPr>
            <w:rStyle w:val="Hyperlink"/>
            <w:b/>
            <w:bCs/>
          </w:rPr>
          <w:t>https://maritimecyprus.com/wp-content/uploads/2025/03/Amendments-to-the-Grain-Code_c.pdf</w:t>
        </w:r>
      </w:hyperlink>
    </w:p>
    <w:p w14:paraId="6BDE42E2" w14:textId="4E9CBE00" w:rsidR="00917940" w:rsidRPr="00917940" w:rsidRDefault="00917940" w:rsidP="00917940">
      <w:pPr>
        <w:jc w:val="center"/>
        <w:rPr>
          <w:b/>
          <w:bCs/>
        </w:rPr>
      </w:pPr>
      <w:r>
        <w:rPr>
          <w:b/>
          <w:bCs/>
        </w:rPr>
        <w:t>---------------------------------------------</w:t>
      </w:r>
    </w:p>
    <w:p w14:paraId="11873483" w14:textId="77777777" w:rsidR="00F21B1B" w:rsidRDefault="00F21B1B"/>
    <w:sectPr w:rsidR="00F21B1B" w:rsidSect="00F21B1B">
      <w:pgSz w:w="12240" w:h="15840"/>
      <w:pgMar w:top="630" w:right="81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41"/>
    <w:multiLevelType w:val="multilevel"/>
    <w:tmpl w:val="795E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98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B"/>
    <w:rsid w:val="000501D0"/>
    <w:rsid w:val="001C0064"/>
    <w:rsid w:val="008B5DD8"/>
    <w:rsid w:val="00917940"/>
    <w:rsid w:val="00C13E10"/>
    <w:rsid w:val="00F2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8158"/>
  <w15:chartTrackingRefBased/>
  <w15:docId w15:val="{0897E940-7079-4163-8607-C20D3A89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B1B"/>
    <w:rPr>
      <w:rFonts w:eastAsiaTheme="majorEastAsia" w:cstheme="majorBidi"/>
      <w:color w:val="272727" w:themeColor="text1" w:themeTint="D8"/>
    </w:rPr>
  </w:style>
  <w:style w:type="paragraph" w:styleId="Title">
    <w:name w:val="Title"/>
    <w:basedOn w:val="Normal"/>
    <w:next w:val="Normal"/>
    <w:link w:val="TitleChar"/>
    <w:uiPriority w:val="10"/>
    <w:qFormat/>
    <w:rsid w:val="00F2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B1B"/>
    <w:pPr>
      <w:spacing w:before="160"/>
      <w:jc w:val="center"/>
    </w:pPr>
    <w:rPr>
      <w:i/>
      <w:iCs/>
      <w:color w:val="404040" w:themeColor="text1" w:themeTint="BF"/>
    </w:rPr>
  </w:style>
  <w:style w:type="character" w:customStyle="1" w:styleId="QuoteChar">
    <w:name w:val="Quote Char"/>
    <w:basedOn w:val="DefaultParagraphFont"/>
    <w:link w:val="Quote"/>
    <w:uiPriority w:val="29"/>
    <w:rsid w:val="00F21B1B"/>
    <w:rPr>
      <w:i/>
      <w:iCs/>
      <w:color w:val="404040" w:themeColor="text1" w:themeTint="BF"/>
    </w:rPr>
  </w:style>
  <w:style w:type="paragraph" w:styleId="ListParagraph">
    <w:name w:val="List Paragraph"/>
    <w:basedOn w:val="Normal"/>
    <w:uiPriority w:val="34"/>
    <w:qFormat/>
    <w:rsid w:val="00F21B1B"/>
    <w:pPr>
      <w:ind w:left="720"/>
      <w:contextualSpacing/>
    </w:pPr>
  </w:style>
  <w:style w:type="character" w:styleId="IntenseEmphasis">
    <w:name w:val="Intense Emphasis"/>
    <w:basedOn w:val="DefaultParagraphFont"/>
    <w:uiPriority w:val="21"/>
    <w:qFormat/>
    <w:rsid w:val="00F21B1B"/>
    <w:rPr>
      <w:i/>
      <w:iCs/>
      <w:color w:val="0F4761" w:themeColor="accent1" w:themeShade="BF"/>
    </w:rPr>
  </w:style>
  <w:style w:type="paragraph" w:styleId="IntenseQuote">
    <w:name w:val="Intense Quote"/>
    <w:basedOn w:val="Normal"/>
    <w:next w:val="Normal"/>
    <w:link w:val="IntenseQuoteChar"/>
    <w:uiPriority w:val="30"/>
    <w:qFormat/>
    <w:rsid w:val="00F21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B1B"/>
    <w:rPr>
      <w:i/>
      <w:iCs/>
      <w:color w:val="0F4761" w:themeColor="accent1" w:themeShade="BF"/>
    </w:rPr>
  </w:style>
  <w:style w:type="character" w:styleId="IntenseReference">
    <w:name w:val="Intense Reference"/>
    <w:basedOn w:val="DefaultParagraphFont"/>
    <w:uiPriority w:val="32"/>
    <w:qFormat/>
    <w:rsid w:val="00F21B1B"/>
    <w:rPr>
      <w:b/>
      <w:bCs/>
      <w:smallCaps/>
      <w:color w:val="0F4761" w:themeColor="accent1" w:themeShade="BF"/>
      <w:spacing w:val="5"/>
    </w:rPr>
  </w:style>
  <w:style w:type="character" w:styleId="Hyperlink">
    <w:name w:val="Hyperlink"/>
    <w:basedOn w:val="DefaultParagraphFont"/>
    <w:uiPriority w:val="99"/>
    <w:unhideWhenUsed/>
    <w:rsid w:val="00F21B1B"/>
    <w:rPr>
      <w:color w:val="467886" w:themeColor="hyperlink"/>
      <w:u w:val="single"/>
    </w:rPr>
  </w:style>
  <w:style w:type="character" w:styleId="UnresolvedMention">
    <w:name w:val="Unresolved Mention"/>
    <w:basedOn w:val="DefaultParagraphFont"/>
    <w:uiPriority w:val="99"/>
    <w:semiHidden/>
    <w:unhideWhenUsed/>
    <w:rsid w:val="00F2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5/03/Amendments-to-the-Grain-Code_c.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2026-01-12T01:02:00Z</dcterms:created>
  <dcterms:modified xsi:type="dcterms:W3CDTF">2026-01-12T01:27:00Z</dcterms:modified>
</cp:coreProperties>
</file>