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1D74" w14:textId="0F9B7697" w:rsidR="008966AC" w:rsidRPr="008966AC" w:rsidRDefault="008966AC" w:rsidP="008966AC">
      <w:pPr>
        <w:jc w:val="center"/>
        <w:rPr>
          <w:rFonts w:ascii="Times New Roman" w:hAnsi="Times New Roman" w:cs="Times New Roman"/>
          <w:b/>
          <w:bCs/>
          <w:sz w:val="40"/>
          <w:szCs w:val="40"/>
        </w:rPr>
      </w:pPr>
      <w:r w:rsidRPr="008966AC">
        <w:rPr>
          <w:rFonts w:ascii="Times New Roman" w:hAnsi="Times New Roman" w:cs="Times New Roman"/>
          <w:b/>
          <w:bCs/>
          <w:sz w:val="40"/>
          <w:szCs w:val="40"/>
        </w:rPr>
        <w:t xml:space="preserve">Xclusiv Shipbrokers: Đội tàu bị trừng phạt lên tới 1.387 </w:t>
      </w:r>
      <w:r w:rsidR="00DF6334">
        <w:rPr>
          <w:rFonts w:ascii="Times New Roman" w:hAnsi="Times New Roman" w:cs="Times New Roman"/>
          <w:b/>
          <w:bCs/>
          <w:sz w:val="40"/>
          <w:szCs w:val="40"/>
        </w:rPr>
        <w:t>chiếc</w:t>
      </w:r>
    </w:p>
    <w:p w14:paraId="33CAD8EF" w14:textId="66ABC768" w:rsidR="008966AC" w:rsidRPr="008966AC" w:rsidRDefault="008966AC" w:rsidP="008966AC">
      <w:pPr>
        <w:jc w:val="right"/>
        <w:rPr>
          <w:rStyle w:val="Hyperlink"/>
        </w:rPr>
      </w:pPr>
      <w:hyperlink r:id="rId4" w:history="1">
        <w:r w:rsidRPr="008966AC">
          <w:rPr>
            <w:rStyle w:val="Hyperlink"/>
          </w:rPr>
          <w:t>Shipping</w:t>
        </w:r>
      </w:hyperlink>
      <w:r w:rsidRPr="008966AC">
        <w:fldChar w:fldCharType="begin"/>
      </w:r>
      <w:r w:rsidRPr="008966AC">
        <w:instrText>HYPERLINK "https://safety4sea.com/wp-content/uploads/2022/04/oil-tankers-scaled-e1749719797552.jpg"</w:instrText>
      </w:r>
      <w:r w:rsidRPr="008966AC">
        <w:fldChar w:fldCharType="separate"/>
      </w:r>
    </w:p>
    <w:p w14:paraId="07F106F2" w14:textId="40FC0514" w:rsidR="008966AC" w:rsidRPr="008966AC" w:rsidRDefault="008966AC" w:rsidP="008966AC">
      <w:pPr>
        <w:rPr>
          <w:rStyle w:val="Hyperlink"/>
        </w:rPr>
      </w:pPr>
      <w:r w:rsidRPr="008966AC">
        <w:rPr>
          <w:rStyle w:val="Hyperlink"/>
        </w:rPr>
        <w:drawing>
          <wp:inline distT="0" distB="0" distL="0" distR="0" wp14:anchorId="0A10C3A4" wp14:editId="78ADDCC9">
            <wp:extent cx="5943600" cy="2974975"/>
            <wp:effectExtent l="0" t="0" r="0" b="0"/>
            <wp:docPr id="1958148490" name="Picture 2" descr="tanker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nker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4A9021D5" w14:textId="04130638" w:rsidR="008966AC" w:rsidRPr="008966AC" w:rsidRDefault="008966AC" w:rsidP="008966AC">
      <w:pPr>
        <w:rPr>
          <w:rFonts w:ascii="Times New Roman" w:hAnsi="Times New Roman" w:cs="Times New Roman"/>
          <w:sz w:val="26"/>
          <w:szCs w:val="26"/>
        </w:rPr>
      </w:pPr>
      <w:r w:rsidRPr="008966AC">
        <w:fldChar w:fldCharType="end"/>
      </w:r>
      <w:r w:rsidRPr="008966AC">
        <w:rPr>
          <w:rFonts w:ascii="Times New Roman" w:hAnsi="Times New Roman" w:cs="Times New Roman"/>
          <w:sz w:val="26"/>
          <w:szCs w:val="26"/>
        </w:rPr>
        <w:t xml:space="preserve">Theo báo cáo bình luận mới nhất của Xclusiv Shipbrokers, đội tàu toàn cầu nằm trong diện </w:t>
      </w:r>
      <w:r>
        <w:rPr>
          <w:rFonts w:ascii="Times New Roman" w:hAnsi="Times New Roman" w:cs="Times New Roman"/>
          <w:sz w:val="26"/>
          <w:szCs w:val="26"/>
        </w:rPr>
        <w:t xml:space="preserve">bị </w:t>
      </w:r>
      <w:r w:rsidRPr="008966AC">
        <w:rPr>
          <w:rFonts w:ascii="Times New Roman" w:hAnsi="Times New Roman" w:cs="Times New Roman"/>
          <w:sz w:val="26"/>
          <w:szCs w:val="26"/>
        </w:rPr>
        <w:t xml:space="preserve">trừng phạt hiện gồm </w:t>
      </w:r>
      <w:r w:rsidRPr="008966AC">
        <w:rPr>
          <w:rFonts w:ascii="Times New Roman" w:hAnsi="Times New Roman" w:cs="Times New Roman"/>
          <w:b/>
          <w:bCs/>
          <w:sz w:val="26"/>
          <w:szCs w:val="26"/>
        </w:rPr>
        <w:t>1.387 tàu</w:t>
      </w:r>
      <w:r w:rsidRPr="008966AC">
        <w:rPr>
          <w:rFonts w:ascii="Times New Roman" w:hAnsi="Times New Roman" w:cs="Times New Roman"/>
          <w:sz w:val="26"/>
          <w:szCs w:val="26"/>
        </w:rPr>
        <w:t xml:space="preserve">, chủ yếu là </w:t>
      </w:r>
      <w:r>
        <w:rPr>
          <w:rFonts w:ascii="Times New Roman" w:hAnsi="Times New Roman" w:cs="Times New Roman"/>
          <w:sz w:val="26"/>
          <w:szCs w:val="26"/>
        </w:rPr>
        <w:t xml:space="preserve">những </w:t>
      </w:r>
      <w:r w:rsidRPr="008966AC">
        <w:rPr>
          <w:rFonts w:ascii="Times New Roman" w:hAnsi="Times New Roman" w:cs="Times New Roman"/>
          <w:sz w:val="26"/>
          <w:szCs w:val="26"/>
        </w:rPr>
        <w:t xml:space="preserve">tàu cũ, phần lớn là tàu chở dầu, hoạt động trong các tuyến vận tải </w:t>
      </w:r>
      <w:r>
        <w:rPr>
          <w:rFonts w:ascii="Times New Roman" w:hAnsi="Times New Roman" w:cs="Times New Roman"/>
          <w:sz w:val="26"/>
          <w:szCs w:val="26"/>
        </w:rPr>
        <w:t xml:space="preserve">có </w:t>
      </w:r>
      <w:r w:rsidRPr="008966AC">
        <w:rPr>
          <w:rFonts w:ascii="Times New Roman" w:hAnsi="Times New Roman" w:cs="Times New Roman"/>
          <w:sz w:val="26"/>
          <w:szCs w:val="26"/>
        </w:rPr>
        <w:t>rủi ro cao liên quan đến Nga, Iran và Venezuela.</w:t>
      </w:r>
    </w:p>
    <w:p w14:paraId="166EBC74" w14:textId="49F1FEDC" w:rsidR="008966AC" w:rsidRPr="008966AC" w:rsidRDefault="008966AC" w:rsidP="008966AC">
      <w:pPr>
        <w:spacing w:before="120" w:after="120"/>
        <w:jc w:val="both"/>
        <w:rPr>
          <w:rFonts w:ascii="Times New Roman" w:hAnsi="Times New Roman" w:cs="Times New Roman"/>
          <w:sz w:val="26"/>
          <w:szCs w:val="26"/>
        </w:rPr>
      </w:pPr>
      <w:r w:rsidRPr="008966AC">
        <w:rPr>
          <w:rFonts w:ascii="Times New Roman" w:hAnsi="Times New Roman" w:cs="Times New Roman"/>
          <w:sz w:val="26"/>
          <w:szCs w:val="26"/>
        </w:rPr>
        <w:t xml:space="preserve">Đội tàu bị trừng phạt hiện bao gồm tổng cộng 1.387 tàu, trong đó 1.004 tàu chở dầu chiếm một tỷ lệ nổi bật 72%, với tuổi trung bình 20,4 năm. Tiếp theo là 65 tàu chở khí, 206 tàu hàng tổng hợp, và phần còn lại là tàu container và tàu hàng rời. Cơ cấu tuổi tàu chủ yếu là tàu “già”: một phân khúc rủi ro cao đã tách khỏi chuẩn mực thương mại chính thống, vận hành phần lớn bên ngoài các khung bảo hiểm, kiểm tra, và </w:t>
      </w:r>
      <w:r>
        <w:rPr>
          <w:rFonts w:ascii="Times New Roman" w:hAnsi="Times New Roman" w:cs="Times New Roman"/>
          <w:sz w:val="26"/>
          <w:szCs w:val="26"/>
        </w:rPr>
        <w:t>đăng kiểm tiêu</w:t>
      </w:r>
      <w:r w:rsidRPr="008966AC">
        <w:rPr>
          <w:rFonts w:ascii="Times New Roman" w:hAnsi="Times New Roman" w:cs="Times New Roman"/>
          <w:sz w:val="26"/>
          <w:szCs w:val="26"/>
        </w:rPr>
        <w:t xml:space="preserve"> chuẩn — chủ yếu trong các tuyến liên quan tới Nga, Iran và Venezuela.</w:t>
      </w:r>
    </w:p>
    <w:p w14:paraId="314059FA" w14:textId="607742ED" w:rsidR="008966AC" w:rsidRPr="008966AC" w:rsidRDefault="008966AC" w:rsidP="008966AC">
      <w:pPr>
        <w:spacing w:before="120" w:after="120"/>
        <w:jc w:val="both"/>
        <w:rPr>
          <w:rFonts w:ascii="Times New Roman" w:hAnsi="Times New Roman" w:cs="Times New Roman"/>
          <w:sz w:val="26"/>
          <w:szCs w:val="26"/>
        </w:rPr>
      </w:pPr>
      <w:r w:rsidRPr="008966AC">
        <w:rPr>
          <w:rFonts w:ascii="Times New Roman" w:hAnsi="Times New Roman" w:cs="Times New Roman"/>
          <w:sz w:val="26"/>
          <w:szCs w:val="26"/>
        </w:rPr>
        <w:t xml:space="preserve">Trong phân khúc tàu chở dầu, cơ cấu đội tàu bị trừng phạt cho thấy mức độ ảnh hưởng sâu rộng của các tuyến vận tải này đối với sự cân bằng trọng tải toàn cầu. </w:t>
      </w:r>
      <w:r>
        <w:rPr>
          <w:rFonts w:ascii="Times New Roman" w:hAnsi="Times New Roman" w:cs="Times New Roman"/>
          <w:sz w:val="26"/>
          <w:szCs w:val="26"/>
        </w:rPr>
        <w:t xml:space="preserve">các tàu cỡ </w:t>
      </w:r>
      <w:r w:rsidRPr="008966AC">
        <w:rPr>
          <w:rFonts w:ascii="Times New Roman" w:hAnsi="Times New Roman" w:cs="Times New Roman"/>
          <w:sz w:val="26"/>
          <w:szCs w:val="26"/>
        </w:rPr>
        <w:t xml:space="preserve">Aframax/LR2 là nòng cốt với 320 tàu, tương đương 26,8% đội tàu đang hoạt động của nhóm này — mức cao nhất trong tất cả các phân khúc. </w:t>
      </w:r>
      <w:r>
        <w:rPr>
          <w:rFonts w:ascii="Times New Roman" w:hAnsi="Times New Roman" w:cs="Times New Roman"/>
          <w:sz w:val="26"/>
          <w:szCs w:val="26"/>
        </w:rPr>
        <w:t xml:space="preserve">Tàu cỡ </w:t>
      </w:r>
      <w:r w:rsidRPr="008966AC">
        <w:rPr>
          <w:rFonts w:ascii="Times New Roman" w:hAnsi="Times New Roman" w:cs="Times New Roman"/>
          <w:b/>
          <w:bCs/>
          <w:sz w:val="26"/>
          <w:szCs w:val="26"/>
        </w:rPr>
        <w:t>S</w:t>
      </w:r>
      <w:r w:rsidRPr="008966AC">
        <w:rPr>
          <w:rFonts w:ascii="Times New Roman" w:hAnsi="Times New Roman" w:cs="Times New Roman"/>
          <w:sz w:val="26"/>
          <w:szCs w:val="26"/>
        </w:rPr>
        <w:t>uezmax theo sau với 17,1%, và VLCC với 16,1%. Các nhóm MR1, MR2 và Panamax/LR1 có tỷ lệ nhỏ hơn nhưng vẫn đáng kể, từ 6% đến 13%. Tính chung toàn bộ tàu chở dầu, số tàu bị trừng phạt chiếm 12,8% trong tổng đội tàu đang hoạt động gồm 7.820 chiếc.</w:t>
      </w:r>
    </w:p>
    <w:p w14:paraId="0CC88944" w14:textId="69A86CC9" w:rsidR="008966AC" w:rsidRPr="008966AC" w:rsidRDefault="008966AC" w:rsidP="008966AC">
      <w:pPr>
        <w:spacing w:before="120" w:after="120"/>
        <w:jc w:val="both"/>
        <w:rPr>
          <w:rFonts w:ascii="Times New Roman" w:hAnsi="Times New Roman" w:cs="Times New Roman"/>
          <w:sz w:val="26"/>
          <w:szCs w:val="26"/>
        </w:rPr>
      </w:pPr>
      <w:r w:rsidRPr="008966AC">
        <w:rPr>
          <w:rFonts w:ascii="Times New Roman" w:hAnsi="Times New Roman" w:cs="Times New Roman"/>
          <w:sz w:val="26"/>
          <w:szCs w:val="26"/>
        </w:rPr>
        <w:t xml:space="preserve">Về tuổi tàu, độ phân bố càng nghiêng nhiều hơn sang tàu cũ: 335 tàu nằm trong nhóm 17–20 năm, và 494 tàu trên 20 năm — tức khoảng 82% </w:t>
      </w:r>
      <w:r>
        <w:rPr>
          <w:rFonts w:ascii="Times New Roman" w:hAnsi="Times New Roman" w:cs="Times New Roman"/>
          <w:sz w:val="26"/>
          <w:szCs w:val="26"/>
        </w:rPr>
        <w:t xml:space="preserve">số </w:t>
      </w:r>
      <w:r w:rsidRPr="008966AC">
        <w:rPr>
          <w:rFonts w:ascii="Times New Roman" w:hAnsi="Times New Roman" w:cs="Times New Roman"/>
          <w:sz w:val="26"/>
          <w:szCs w:val="26"/>
        </w:rPr>
        <w:t xml:space="preserve">tàu chở dầu bị trừng phạt thuộc nhóm “tàu già”. Chỉ có 175 tàu bị trừng phạt có tuổi 16 năm trở xuống, so với 829 tàu ở </w:t>
      </w:r>
      <w:r w:rsidRPr="008966AC">
        <w:rPr>
          <w:rFonts w:ascii="Times New Roman" w:hAnsi="Times New Roman" w:cs="Times New Roman"/>
          <w:sz w:val="26"/>
          <w:szCs w:val="26"/>
        </w:rPr>
        <w:lastRenderedPageBreak/>
        <w:t xml:space="preserve">mức 17 năm trở lên. Trong khi đó, đội tàu đang hoạt động chung toàn cầu có 4.814 tàu trẻ và 3.006 tàu </w:t>
      </w:r>
      <w:r>
        <w:rPr>
          <w:rFonts w:ascii="Times New Roman" w:hAnsi="Times New Roman" w:cs="Times New Roman"/>
          <w:sz w:val="26"/>
          <w:szCs w:val="26"/>
        </w:rPr>
        <w:t>già</w:t>
      </w:r>
      <w:r w:rsidRPr="008966AC">
        <w:rPr>
          <w:rFonts w:ascii="Times New Roman" w:hAnsi="Times New Roman" w:cs="Times New Roman"/>
          <w:sz w:val="26"/>
          <w:szCs w:val="26"/>
        </w:rPr>
        <w:t>. Điều này có nghĩa</w:t>
      </w:r>
      <w:r>
        <w:rPr>
          <w:rFonts w:ascii="Times New Roman" w:hAnsi="Times New Roman" w:cs="Times New Roman"/>
          <w:sz w:val="26"/>
          <w:szCs w:val="26"/>
        </w:rPr>
        <w:t xml:space="preserve"> số</w:t>
      </w:r>
      <w:r w:rsidRPr="008966AC">
        <w:rPr>
          <w:rFonts w:ascii="Times New Roman" w:hAnsi="Times New Roman" w:cs="Times New Roman"/>
          <w:sz w:val="26"/>
          <w:szCs w:val="26"/>
        </w:rPr>
        <w:t xml:space="preserve"> tàu bị trừng phạt chỉ chiếm 3,6% đội tàu trẻ, nhưng lại chiếm tới 27,6% đội tàu trên 17 năm — tăng từ mức 26,1% trước đó.</w:t>
      </w:r>
    </w:p>
    <w:p w14:paraId="0446A716" w14:textId="1E27C89C" w:rsidR="008966AC" w:rsidRPr="008966AC" w:rsidRDefault="008966AC" w:rsidP="008966AC">
      <w:pPr>
        <w:spacing w:before="120" w:after="120"/>
        <w:jc w:val="both"/>
        <w:rPr>
          <w:rFonts w:ascii="Times New Roman" w:hAnsi="Times New Roman" w:cs="Times New Roman"/>
          <w:sz w:val="26"/>
          <w:szCs w:val="26"/>
        </w:rPr>
      </w:pPr>
      <w:r w:rsidRPr="008966AC">
        <w:rPr>
          <w:rFonts w:ascii="Times New Roman" w:hAnsi="Times New Roman" w:cs="Times New Roman"/>
          <w:sz w:val="26"/>
          <w:szCs w:val="26"/>
        </w:rPr>
        <w:t>Sự tập trung càng rõ rệt hơn ở nhóm tàu chở dầu thô cỡ lớn: trong nhóm tàu trên 17 năm tuổi</w:t>
      </w:r>
      <w:r>
        <w:rPr>
          <w:rFonts w:ascii="Times New Roman" w:hAnsi="Times New Roman" w:cs="Times New Roman"/>
          <w:sz w:val="26"/>
          <w:szCs w:val="26"/>
        </w:rPr>
        <w:t xml:space="preserve"> thì số </w:t>
      </w:r>
      <w:r w:rsidRPr="008966AC">
        <w:rPr>
          <w:rFonts w:ascii="Times New Roman" w:hAnsi="Times New Roman" w:cs="Times New Roman"/>
          <w:sz w:val="26"/>
          <w:szCs w:val="26"/>
        </w:rPr>
        <w:t xml:space="preserve">tàu bị trừng phạt chiếm 60,6% </w:t>
      </w:r>
      <w:r>
        <w:rPr>
          <w:rFonts w:ascii="Times New Roman" w:hAnsi="Times New Roman" w:cs="Times New Roman"/>
          <w:sz w:val="26"/>
          <w:szCs w:val="26"/>
        </w:rPr>
        <w:t>nhóm</w:t>
      </w:r>
      <w:r w:rsidRPr="008966AC">
        <w:rPr>
          <w:rFonts w:ascii="Times New Roman" w:hAnsi="Times New Roman" w:cs="Times New Roman"/>
          <w:sz w:val="26"/>
          <w:szCs w:val="26"/>
        </w:rPr>
        <w:t xml:space="preserve"> Aframax/LR2, 51,5% </w:t>
      </w:r>
      <w:r>
        <w:rPr>
          <w:rFonts w:ascii="Times New Roman" w:hAnsi="Times New Roman" w:cs="Times New Roman"/>
          <w:sz w:val="26"/>
          <w:szCs w:val="26"/>
        </w:rPr>
        <w:t>nhóm</w:t>
      </w:r>
      <w:r w:rsidRPr="008966AC">
        <w:rPr>
          <w:rFonts w:ascii="Times New Roman" w:hAnsi="Times New Roman" w:cs="Times New Roman"/>
          <w:sz w:val="26"/>
          <w:szCs w:val="26"/>
        </w:rPr>
        <w:t xml:space="preserve"> Suezmax, và 47% </w:t>
      </w:r>
      <w:r>
        <w:rPr>
          <w:rFonts w:ascii="Times New Roman" w:hAnsi="Times New Roman" w:cs="Times New Roman"/>
          <w:sz w:val="26"/>
          <w:szCs w:val="26"/>
        </w:rPr>
        <w:t>nhóm</w:t>
      </w:r>
      <w:r w:rsidRPr="008966AC">
        <w:rPr>
          <w:rFonts w:ascii="Times New Roman" w:hAnsi="Times New Roman" w:cs="Times New Roman"/>
          <w:sz w:val="26"/>
          <w:szCs w:val="26"/>
        </w:rPr>
        <w:t xml:space="preserve"> VLCC. Điều này cho thấy phần “già nhất” của thị trường gần như bị thống trị bởi </w:t>
      </w:r>
      <w:r>
        <w:rPr>
          <w:rFonts w:ascii="Times New Roman" w:hAnsi="Times New Roman" w:cs="Times New Roman"/>
          <w:sz w:val="26"/>
          <w:szCs w:val="26"/>
        </w:rPr>
        <w:t xml:space="preserve">những tàu có </w:t>
      </w:r>
      <w:r w:rsidRPr="008966AC">
        <w:rPr>
          <w:rFonts w:ascii="Times New Roman" w:hAnsi="Times New Roman" w:cs="Times New Roman"/>
          <w:sz w:val="26"/>
          <w:szCs w:val="26"/>
        </w:rPr>
        <w:t>trọng tải hạn chế. Sự mất cân bằng này vượt xa khả năng thay thế, do tỷ lệ số tàu đặt đóng mới so với đội tàu hiện tại chỉ khoảng 15,6%</w:t>
      </w:r>
      <w:r>
        <w:rPr>
          <w:rFonts w:ascii="Times New Roman" w:hAnsi="Times New Roman" w:cs="Times New Roman"/>
          <w:sz w:val="26"/>
          <w:szCs w:val="26"/>
        </w:rPr>
        <w:t xml:space="preserve"> nên</w:t>
      </w:r>
      <w:r w:rsidRPr="008966AC">
        <w:rPr>
          <w:rFonts w:ascii="Times New Roman" w:hAnsi="Times New Roman" w:cs="Times New Roman"/>
          <w:sz w:val="26"/>
          <w:szCs w:val="26"/>
        </w:rPr>
        <w:t xml:space="preserve"> khó có thể bù đắp, Xclusiv Shipbrokers nhận định.</w:t>
      </w:r>
    </w:p>
    <w:p w14:paraId="25849F01" w14:textId="2909D3B1" w:rsidR="008966AC" w:rsidRPr="008966AC" w:rsidRDefault="008966AC" w:rsidP="008966AC">
      <w:pPr>
        <w:spacing w:before="120" w:after="120"/>
        <w:jc w:val="both"/>
        <w:rPr>
          <w:rFonts w:ascii="Times New Roman" w:hAnsi="Times New Roman" w:cs="Times New Roman"/>
          <w:sz w:val="26"/>
          <w:szCs w:val="26"/>
        </w:rPr>
      </w:pPr>
      <w:r w:rsidRPr="008966AC">
        <w:rPr>
          <w:rFonts w:ascii="Times New Roman" w:hAnsi="Times New Roman" w:cs="Times New Roman"/>
          <w:sz w:val="26"/>
          <w:szCs w:val="26"/>
        </w:rPr>
        <w:t xml:space="preserve">Do đó, đội tàu bị trừng phạt hoạt động như một </w:t>
      </w:r>
      <w:r w:rsidRPr="008966AC">
        <w:rPr>
          <w:rFonts w:ascii="Times New Roman" w:hAnsi="Times New Roman" w:cs="Times New Roman"/>
          <w:b/>
          <w:bCs/>
          <w:sz w:val="26"/>
          <w:szCs w:val="26"/>
        </w:rPr>
        <w:t>“</w:t>
      </w:r>
      <w:r w:rsidRPr="008966AC">
        <w:rPr>
          <w:rFonts w:ascii="Times New Roman" w:hAnsi="Times New Roman" w:cs="Times New Roman"/>
          <w:sz w:val="26"/>
          <w:szCs w:val="26"/>
        </w:rPr>
        <w:t xml:space="preserve">vùng đệm ẩn” mà nếu bị loại bỏ hoặc ngừng hoạt động, </w:t>
      </w:r>
      <w:r>
        <w:rPr>
          <w:rFonts w:ascii="Times New Roman" w:hAnsi="Times New Roman" w:cs="Times New Roman"/>
          <w:sz w:val="26"/>
          <w:szCs w:val="26"/>
        </w:rPr>
        <w:t xml:space="preserve">chúng </w:t>
      </w:r>
      <w:r w:rsidRPr="008966AC">
        <w:rPr>
          <w:rFonts w:ascii="Times New Roman" w:hAnsi="Times New Roman" w:cs="Times New Roman"/>
          <w:sz w:val="26"/>
          <w:szCs w:val="26"/>
        </w:rPr>
        <w:t xml:space="preserve">sẽ không thể nhanh chóng </w:t>
      </w:r>
      <w:r>
        <w:rPr>
          <w:rFonts w:ascii="Times New Roman" w:hAnsi="Times New Roman" w:cs="Times New Roman"/>
          <w:sz w:val="26"/>
          <w:szCs w:val="26"/>
        </w:rPr>
        <w:t xml:space="preserve">được </w:t>
      </w:r>
      <w:r w:rsidRPr="008966AC">
        <w:rPr>
          <w:rFonts w:ascii="Times New Roman" w:hAnsi="Times New Roman" w:cs="Times New Roman"/>
          <w:sz w:val="26"/>
          <w:szCs w:val="26"/>
        </w:rPr>
        <w:t>thay thế bằng năng lực mới. Dữ liệu đăng kiểm tàu càng củng cố tính mờ đục của hệ thống này: Nga, Comoros và Sierra Leone chiếm hơn 1/4 số tàu chở dầu bị trừng phạt, theo sau là Iran, Oman và Panama. Các đăng kiểm Triều Tiên, Palau và Tanzania (Zanzibar) cũng xuất hiện đáng kể, cùng với một danh sách dài các quốc gia nhỏ hơn từ Gambia đến Vanuatu.</w:t>
      </w:r>
    </w:p>
    <w:p w14:paraId="6BD4C30D" w14:textId="77777777" w:rsidR="008966AC" w:rsidRPr="008966AC" w:rsidRDefault="008966AC" w:rsidP="008966AC">
      <w:pPr>
        <w:spacing w:before="120" w:after="120"/>
        <w:jc w:val="both"/>
        <w:rPr>
          <w:rFonts w:ascii="Times New Roman" w:hAnsi="Times New Roman" w:cs="Times New Roman"/>
          <w:sz w:val="26"/>
          <w:szCs w:val="26"/>
        </w:rPr>
      </w:pPr>
      <w:r w:rsidRPr="008966AC">
        <w:rPr>
          <w:rFonts w:ascii="Times New Roman" w:hAnsi="Times New Roman" w:cs="Times New Roman"/>
          <w:sz w:val="26"/>
          <w:szCs w:val="26"/>
        </w:rPr>
        <w:t>Việc tập trung vào các quốc gia có quy định lỏng lẻo phản ánh nỗ lực có chủ đích nhằm né tránh các chuẩn mực tuân thủ chính thống và gây khó khăn cho việc truy vết chủ sở hữu thực sự, thể hiện sự mong manh về quản trị của “hệ sinh thái bóng tối” này.</w:t>
      </w:r>
    </w:p>
    <w:p w14:paraId="5C4BB3D2" w14:textId="5E55FC5D" w:rsidR="008966AC" w:rsidRPr="008966AC" w:rsidRDefault="008966AC" w:rsidP="008966AC">
      <w:pPr>
        <w:spacing w:before="120" w:after="120"/>
        <w:jc w:val="both"/>
        <w:rPr>
          <w:rFonts w:ascii="Times New Roman" w:hAnsi="Times New Roman" w:cs="Times New Roman"/>
          <w:sz w:val="26"/>
          <w:szCs w:val="26"/>
        </w:rPr>
      </w:pPr>
      <w:r w:rsidRPr="008966AC">
        <w:rPr>
          <w:rFonts w:ascii="Times New Roman" w:hAnsi="Times New Roman" w:cs="Times New Roman"/>
          <w:sz w:val="26"/>
          <w:szCs w:val="26"/>
        </w:rPr>
        <w:t xml:space="preserve">Nếu các lệnh trừng phạt được dỡ bỏ, việc đội tàu này tái gia nhập thị trường hợp pháp sẽ không hề dễ dàng. Phần lớn tàu trên 17 năm tuổi sẽ đối mặt với rào cản lớn trong việc đảm bảo thuê chuyến, bảo hiểm, hoặc tái cấp hạng. Thời gian dài hoạt động ngoài các chu kỳ bảo dưỡng quy chuẩn, hồ sơ lên đà mơ hồ, và sự giám sát lỏng lẻo từ các quốc gia </w:t>
      </w:r>
      <w:r w:rsidR="00DF6334">
        <w:rPr>
          <w:rFonts w:ascii="Times New Roman" w:hAnsi="Times New Roman" w:cs="Times New Roman"/>
          <w:sz w:val="26"/>
          <w:szCs w:val="26"/>
        </w:rPr>
        <w:t>tàu mang</w:t>
      </w:r>
      <w:r w:rsidRPr="008966AC">
        <w:rPr>
          <w:rFonts w:ascii="Times New Roman" w:hAnsi="Times New Roman" w:cs="Times New Roman"/>
          <w:sz w:val="26"/>
          <w:szCs w:val="26"/>
        </w:rPr>
        <w:t xml:space="preserve"> cờ nhiều khả năng đã làm suy giảm điều kiện kỹ thuật và tiêu chuẩn an toàn của tàu.</w:t>
      </w:r>
    </w:p>
    <w:p w14:paraId="5F3E60EB" w14:textId="180D1E74" w:rsidR="008966AC" w:rsidRPr="008966AC" w:rsidRDefault="008966AC" w:rsidP="008966AC">
      <w:pPr>
        <w:spacing w:before="120" w:after="120"/>
        <w:jc w:val="both"/>
        <w:rPr>
          <w:rFonts w:ascii="Times New Roman" w:hAnsi="Times New Roman" w:cs="Times New Roman"/>
          <w:sz w:val="26"/>
          <w:szCs w:val="26"/>
        </w:rPr>
      </w:pPr>
      <w:r w:rsidRPr="008966AC">
        <w:rPr>
          <w:rFonts w:ascii="Times New Roman" w:hAnsi="Times New Roman" w:cs="Times New Roman"/>
          <w:sz w:val="26"/>
          <w:szCs w:val="26"/>
        </w:rPr>
        <w:t xml:space="preserve">Nhiều tàu sẽ phải đưa đi lưu kho hoặc phá dỡ, làm giảm quy mô đội tàu hoạt động đúng lúc lượng hàng bị trừng phạt quay trở lại </w:t>
      </w:r>
      <w:r w:rsidR="00DF6334">
        <w:rPr>
          <w:rFonts w:ascii="Times New Roman" w:hAnsi="Times New Roman" w:cs="Times New Roman"/>
          <w:sz w:val="26"/>
          <w:szCs w:val="26"/>
        </w:rPr>
        <w:t xml:space="preserve">với hoạt động </w:t>
      </w:r>
      <w:r w:rsidRPr="008966AC">
        <w:rPr>
          <w:rFonts w:ascii="Times New Roman" w:hAnsi="Times New Roman" w:cs="Times New Roman"/>
          <w:sz w:val="26"/>
          <w:szCs w:val="26"/>
        </w:rPr>
        <w:t>thương mại tuân thủ</w:t>
      </w:r>
      <w:r w:rsidR="00DF6334">
        <w:rPr>
          <w:rFonts w:ascii="Times New Roman" w:hAnsi="Times New Roman" w:cs="Times New Roman"/>
          <w:sz w:val="26"/>
          <w:szCs w:val="26"/>
        </w:rPr>
        <w:t xml:space="preserve"> quy định</w:t>
      </w:r>
      <w:r w:rsidRPr="008966AC">
        <w:rPr>
          <w:rFonts w:ascii="Times New Roman" w:hAnsi="Times New Roman" w:cs="Times New Roman"/>
          <w:sz w:val="26"/>
          <w:szCs w:val="26"/>
        </w:rPr>
        <w:t>. Trong tình huống đó, nguồn cung tàu chở dầu toàn cầu sẽ</w:t>
      </w:r>
      <w:r w:rsidR="00DF6334">
        <w:rPr>
          <w:rFonts w:ascii="Times New Roman" w:hAnsi="Times New Roman" w:cs="Times New Roman"/>
          <w:sz w:val="26"/>
          <w:szCs w:val="26"/>
        </w:rPr>
        <w:t xml:space="preserve"> bị</w:t>
      </w:r>
      <w:r w:rsidRPr="008966AC">
        <w:rPr>
          <w:rFonts w:ascii="Times New Roman" w:hAnsi="Times New Roman" w:cs="Times New Roman"/>
          <w:sz w:val="26"/>
          <w:szCs w:val="26"/>
        </w:rPr>
        <w:t xml:space="preserve"> thắt chặt trong khi nhu cầu vận tải tăng — tạo điều kiện cấu trúc dẫn đến cước vận tải và giá trị tài sản </w:t>
      </w:r>
      <w:r w:rsidR="00DF6334">
        <w:rPr>
          <w:rFonts w:ascii="Times New Roman" w:hAnsi="Times New Roman" w:cs="Times New Roman"/>
          <w:sz w:val="26"/>
          <w:szCs w:val="26"/>
        </w:rPr>
        <w:t xml:space="preserve">sẽ </w:t>
      </w:r>
      <w:r w:rsidRPr="008966AC">
        <w:rPr>
          <w:rFonts w:ascii="Times New Roman" w:hAnsi="Times New Roman" w:cs="Times New Roman"/>
          <w:sz w:val="26"/>
          <w:szCs w:val="26"/>
        </w:rPr>
        <w:t>tăng mạnh.</w:t>
      </w:r>
    </w:p>
    <w:p w14:paraId="77190B35" w14:textId="64B1455A" w:rsidR="008966AC" w:rsidRPr="008966AC" w:rsidRDefault="008966AC" w:rsidP="008966AC">
      <w:pPr>
        <w:spacing w:before="120" w:after="120"/>
        <w:jc w:val="both"/>
        <w:rPr>
          <w:rFonts w:ascii="Times New Roman" w:hAnsi="Times New Roman" w:cs="Times New Roman"/>
          <w:sz w:val="26"/>
          <w:szCs w:val="26"/>
        </w:rPr>
      </w:pPr>
      <w:r w:rsidRPr="008966AC">
        <w:rPr>
          <w:rFonts w:ascii="Times New Roman" w:hAnsi="Times New Roman" w:cs="Times New Roman"/>
          <w:sz w:val="26"/>
          <w:szCs w:val="26"/>
        </w:rPr>
        <w:t xml:space="preserve">Kết quả là một thị trường phân tách: đội tàu hiện đại, đủ điều kiện bảo hiểm sẽ có giá trị và cơ hội thuê chuyến cao; </w:t>
      </w:r>
      <w:r w:rsidR="00DF6334">
        <w:rPr>
          <w:rFonts w:ascii="Times New Roman" w:hAnsi="Times New Roman" w:cs="Times New Roman"/>
          <w:sz w:val="26"/>
          <w:szCs w:val="26"/>
        </w:rPr>
        <w:t>còn</w:t>
      </w:r>
      <w:r w:rsidRPr="008966AC">
        <w:rPr>
          <w:rFonts w:ascii="Times New Roman" w:hAnsi="Times New Roman" w:cs="Times New Roman"/>
          <w:sz w:val="26"/>
          <w:szCs w:val="26"/>
        </w:rPr>
        <w:t xml:space="preserve"> đội tàu già thuộc “vùng xám” sẽ tụt dần vào lạc hậu dưới sức nặng của chính quá khứ của nó.</w:t>
      </w:r>
    </w:p>
    <w:p w14:paraId="16CFE96A" w14:textId="77777777" w:rsidR="008966AC" w:rsidRPr="008966AC" w:rsidRDefault="008966AC" w:rsidP="008966AC">
      <w:pPr>
        <w:spacing w:before="120" w:after="120"/>
        <w:jc w:val="both"/>
        <w:rPr>
          <w:rFonts w:ascii="Times New Roman" w:hAnsi="Times New Roman" w:cs="Times New Roman"/>
          <w:sz w:val="26"/>
          <w:szCs w:val="26"/>
        </w:rPr>
      </w:pPr>
      <w:r w:rsidRPr="008966AC">
        <w:rPr>
          <w:rFonts w:ascii="Times New Roman" w:hAnsi="Times New Roman" w:cs="Times New Roman"/>
          <w:sz w:val="26"/>
          <w:szCs w:val="26"/>
        </w:rPr>
        <w:t>…Xclusiv Shipbrokers kết luận.</w:t>
      </w:r>
    </w:p>
    <w:p w14:paraId="08569318" w14:textId="4B265AF3" w:rsidR="00C13E10" w:rsidRDefault="00DF6334" w:rsidP="00DF6334">
      <w:pPr>
        <w:jc w:val="center"/>
      </w:pPr>
      <w:r>
        <w:t>-----------------------------------------</w:t>
      </w:r>
    </w:p>
    <w:sectPr w:rsidR="00C13E10" w:rsidSect="008966AC">
      <w:pgSz w:w="12240" w:h="15840"/>
      <w:pgMar w:top="117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AC"/>
    <w:rsid w:val="000501D0"/>
    <w:rsid w:val="006C5249"/>
    <w:rsid w:val="008966AC"/>
    <w:rsid w:val="00C13E10"/>
    <w:rsid w:val="00DF6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A9A79"/>
  <w15:chartTrackingRefBased/>
  <w15:docId w15:val="{9AF2129D-0FA2-4F36-9274-7D207F10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6AC"/>
    <w:rPr>
      <w:rFonts w:eastAsiaTheme="majorEastAsia" w:cstheme="majorBidi"/>
      <w:color w:val="272727" w:themeColor="text1" w:themeTint="D8"/>
    </w:rPr>
  </w:style>
  <w:style w:type="paragraph" w:styleId="Title">
    <w:name w:val="Title"/>
    <w:basedOn w:val="Normal"/>
    <w:next w:val="Normal"/>
    <w:link w:val="TitleChar"/>
    <w:uiPriority w:val="10"/>
    <w:qFormat/>
    <w:rsid w:val="00896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6AC"/>
    <w:pPr>
      <w:spacing w:before="160"/>
      <w:jc w:val="center"/>
    </w:pPr>
    <w:rPr>
      <w:i/>
      <w:iCs/>
      <w:color w:val="404040" w:themeColor="text1" w:themeTint="BF"/>
    </w:rPr>
  </w:style>
  <w:style w:type="character" w:customStyle="1" w:styleId="QuoteChar">
    <w:name w:val="Quote Char"/>
    <w:basedOn w:val="DefaultParagraphFont"/>
    <w:link w:val="Quote"/>
    <w:uiPriority w:val="29"/>
    <w:rsid w:val="008966AC"/>
    <w:rPr>
      <w:i/>
      <w:iCs/>
      <w:color w:val="404040" w:themeColor="text1" w:themeTint="BF"/>
    </w:rPr>
  </w:style>
  <w:style w:type="paragraph" w:styleId="ListParagraph">
    <w:name w:val="List Paragraph"/>
    <w:basedOn w:val="Normal"/>
    <w:uiPriority w:val="34"/>
    <w:qFormat/>
    <w:rsid w:val="008966AC"/>
    <w:pPr>
      <w:ind w:left="720"/>
      <w:contextualSpacing/>
    </w:pPr>
  </w:style>
  <w:style w:type="character" w:styleId="IntenseEmphasis">
    <w:name w:val="Intense Emphasis"/>
    <w:basedOn w:val="DefaultParagraphFont"/>
    <w:uiPriority w:val="21"/>
    <w:qFormat/>
    <w:rsid w:val="008966AC"/>
    <w:rPr>
      <w:i/>
      <w:iCs/>
      <w:color w:val="0F4761" w:themeColor="accent1" w:themeShade="BF"/>
    </w:rPr>
  </w:style>
  <w:style w:type="paragraph" w:styleId="IntenseQuote">
    <w:name w:val="Intense Quote"/>
    <w:basedOn w:val="Normal"/>
    <w:next w:val="Normal"/>
    <w:link w:val="IntenseQuoteChar"/>
    <w:uiPriority w:val="30"/>
    <w:qFormat/>
    <w:rsid w:val="00896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6AC"/>
    <w:rPr>
      <w:i/>
      <w:iCs/>
      <w:color w:val="0F4761" w:themeColor="accent1" w:themeShade="BF"/>
    </w:rPr>
  </w:style>
  <w:style w:type="character" w:styleId="IntenseReference">
    <w:name w:val="Intense Reference"/>
    <w:basedOn w:val="DefaultParagraphFont"/>
    <w:uiPriority w:val="32"/>
    <w:qFormat/>
    <w:rsid w:val="008966AC"/>
    <w:rPr>
      <w:b/>
      <w:bCs/>
      <w:smallCaps/>
      <w:color w:val="0F4761" w:themeColor="accent1" w:themeShade="BF"/>
      <w:spacing w:val="5"/>
    </w:rPr>
  </w:style>
  <w:style w:type="character" w:styleId="Hyperlink">
    <w:name w:val="Hyperlink"/>
    <w:basedOn w:val="DefaultParagraphFont"/>
    <w:uiPriority w:val="99"/>
    <w:unhideWhenUsed/>
    <w:rsid w:val="008966AC"/>
    <w:rPr>
      <w:color w:val="467886" w:themeColor="hyperlink"/>
      <w:u w:val="single"/>
    </w:rPr>
  </w:style>
  <w:style w:type="character" w:styleId="UnresolvedMention">
    <w:name w:val="Unresolved Mention"/>
    <w:basedOn w:val="DefaultParagraphFont"/>
    <w:uiPriority w:val="99"/>
    <w:semiHidden/>
    <w:unhideWhenUsed/>
    <w:rsid w:val="00896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2/04/oil-tankers-scaled-e1749719797552.jpg" TargetMode="External"/><Relationship Id="rId4" Type="http://schemas.openxmlformats.org/officeDocument/2006/relationships/hyperlink" Target="https://safety4sea.com/category/others/ship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2025-11-19T09:22:00Z</dcterms:created>
  <dcterms:modified xsi:type="dcterms:W3CDTF">2025-11-19T09:34:00Z</dcterms:modified>
</cp:coreProperties>
</file>