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B32C" w14:textId="58A9D1C0" w:rsidR="00C13E10" w:rsidRPr="0044161B" w:rsidRDefault="0044161B" w:rsidP="0044161B">
      <w:pPr>
        <w:jc w:val="center"/>
        <w:rPr>
          <w:rFonts w:ascii="Times New Roman" w:hAnsi="Times New Roman" w:cs="Times New Roman"/>
          <w:b/>
          <w:bCs/>
          <w:sz w:val="40"/>
          <w:szCs w:val="40"/>
        </w:rPr>
      </w:pPr>
      <w:r w:rsidRPr="0044161B">
        <w:rPr>
          <w:rFonts w:ascii="Times New Roman" w:hAnsi="Times New Roman" w:cs="Times New Roman"/>
          <w:b/>
          <w:bCs/>
          <w:sz w:val="40"/>
          <w:szCs w:val="40"/>
        </w:rPr>
        <w:t xml:space="preserve">Sửa đổi sắp </w:t>
      </w:r>
      <w:r>
        <w:rPr>
          <w:rFonts w:ascii="Times New Roman" w:hAnsi="Times New Roman" w:cs="Times New Roman"/>
          <w:b/>
          <w:bCs/>
          <w:sz w:val="40"/>
          <w:szCs w:val="40"/>
        </w:rPr>
        <w:t>có hiệu lực</w:t>
      </w:r>
      <w:r w:rsidRPr="0044161B">
        <w:rPr>
          <w:rFonts w:ascii="Times New Roman" w:hAnsi="Times New Roman" w:cs="Times New Roman"/>
          <w:b/>
          <w:bCs/>
          <w:sz w:val="40"/>
          <w:szCs w:val="40"/>
        </w:rPr>
        <w:t xml:space="preserve"> của </w:t>
      </w:r>
      <w:r w:rsidRPr="0044161B">
        <w:rPr>
          <w:rFonts w:ascii="Times New Roman" w:hAnsi="Times New Roman" w:cs="Times New Roman"/>
          <w:b/>
          <w:bCs/>
          <w:sz w:val="40"/>
          <w:szCs w:val="40"/>
        </w:rPr>
        <w:t>IAMSAR Manual</w:t>
      </w:r>
    </w:p>
    <w:tbl>
      <w:tblPr>
        <w:tblW w:w="5288" w:type="pct"/>
        <w:jc w:val="center"/>
        <w:tblCellMar>
          <w:left w:w="0" w:type="dxa"/>
          <w:right w:w="0" w:type="dxa"/>
        </w:tblCellMar>
        <w:tblLook w:val="04A0" w:firstRow="1" w:lastRow="0" w:firstColumn="1" w:lastColumn="0" w:noHBand="0" w:noVBand="1"/>
      </w:tblPr>
      <w:tblGrid>
        <w:gridCol w:w="9899"/>
      </w:tblGrid>
      <w:tr w:rsidR="0044161B" w:rsidRPr="0044161B" w14:paraId="5AC530C9" w14:textId="77777777" w:rsidTr="0044161B">
        <w:trPr>
          <w:jc w:val="center"/>
        </w:trPr>
        <w:tc>
          <w:tcPr>
            <w:tcW w:w="5000" w:type="pct"/>
          </w:tcPr>
          <w:p w14:paraId="2EB7C31E" w14:textId="7EAC8769" w:rsidR="0044161B" w:rsidRPr="0044161B" w:rsidRDefault="0044161B" w:rsidP="0044161B">
            <w:pPr>
              <w:jc w:val="center"/>
              <w:rPr>
                <w:b/>
                <w:bCs/>
              </w:rPr>
            </w:pPr>
            <w:r w:rsidRPr="0044161B">
              <w:rPr>
                <w:b/>
                <w:bCs/>
              </w:rPr>
              <w:drawing>
                <wp:inline distT="0" distB="0" distL="0" distR="0" wp14:anchorId="3BD3CC71" wp14:editId="11AC6010">
                  <wp:extent cx="2828679" cy="3300730"/>
                  <wp:effectExtent l="0" t="0" r="0" b="0"/>
                  <wp:docPr id="1911413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13265" name=""/>
                          <pic:cNvPicPr/>
                        </pic:nvPicPr>
                        <pic:blipFill>
                          <a:blip r:embed="rId5"/>
                          <a:stretch>
                            <a:fillRect/>
                          </a:stretch>
                        </pic:blipFill>
                        <pic:spPr>
                          <a:xfrm>
                            <a:off x="0" y="0"/>
                            <a:ext cx="2836555" cy="3309920"/>
                          </a:xfrm>
                          <a:prstGeom prst="rect">
                            <a:avLst/>
                          </a:prstGeom>
                        </pic:spPr>
                      </pic:pic>
                    </a:graphicData>
                  </a:graphic>
                </wp:inline>
              </w:drawing>
            </w:r>
          </w:p>
        </w:tc>
      </w:tr>
      <w:tr w:rsidR="0044161B" w:rsidRPr="0044161B" w14:paraId="4E260EB5" w14:textId="77777777" w:rsidTr="0044161B">
        <w:trPr>
          <w:jc w:val="center"/>
        </w:trPr>
        <w:tc>
          <w:tcPr>
            <w:tcW w:w="5000" w:type="pct"/>
            <w:hideMark/>
          </w:tcPr>
          <w:p w14:paraId="51B3C05A" w14:textId="1FBD0086" w:rsidR="0044161B" w:rsidRPr="0044161B" w:rsidRDefault="0044161B" w:rsidP="0044161B">
            <w:pPr>
              <w:jc w:val="both"/>
              <w:rPr>
                <w:rFonts w:ascii="Times New Roman" w:hAnsi="Times New Roman" w:cs="Times New Roman"/>
                <w:b/>
                <w:bCs/>
                <w:sz w:val="26"/>
                <w:szCs w:val="26"/>
              </w:rPr>
            </w:pPr>
            <w:r w:rsidRPr="0044161B">
              <w:rPr>
                <w:rFonts w:ascii="Times New Roman" w:hAnsi="Times New Roman" w:cs="Times New Roman"/>
                <w:b/>
                <w:bCs/>
                <w:sz w:val="26"/>
                <w:szCs w:val="26"/>
              </w:rPr>
              <w:t>Đ</w:t>
            </w:r>
            <w:r w:rsidRPr="0044161B">
              <w:rPr>
                <w:rFonts w:ascii="Times New Roman" w:hAnsi="Times New Roman" w:cs="Times New Roman"/>
                <w:b/>
                <w:bCs/>
                <w:sz w:val="26"/>
                <w:szCs w:val="26"/>
              </w:rPr>
              <w:t>ối tượng áp dụng: Chủ tàu, người khai thác tàu, quản lý tàu và thuyền trưởng.</w:t>
            </w:r>
          </w:p>
          <w:p w14:paraId="7974BF20" w14:textId="339DAF38" w:rsidR="0044161B" w:rsidRPr="0044161B" w:rsidRDefault="0044161B" w:rsidP="0044161B">
            <w:pPr>
              <w:jc w:val="both"/>
              <w:rPr>
                <w:rFonts w:ascii="Times New Roman" w:hAnsi="Times New Roman" w:cs="Times New Roman"/>
                <w:b/>
                <w:bCs/>
                <w:sz w:val="26"/>
                <w:szCs w:val="26"/>
              </w:rPr>
            </w:pPr>
            <w:r w:rsidRPr="0044161B">
              <w:rPr>
                <w:rFonts w:ascii="Times New Roman" w:hAnsi="Times New Roman" w:cs="Times New Roman"/>
                <w:sz w:val="26"/>
                <w:szCs w:val="26"/>
              </w:rPr>
              <w:t xml:space="preserve">Theo quy định V/21 của SOLAS, tất cả các tàu phải mang theo một bản cập nhật của Sổ tay Tìm kiếm và Cứu nạn Hàng không và Hàng hải Quốc tế (IAMSAR) Tập III. Như đã nêu trong Thông tư MSC-MEPC.2/Circ.2, Sổ tay IAMSAR Tập III phải luôn có sẵn bản cứng để sử dụng trong trường hợp khẩn cấp. Các sửa đổi đối với Sổ tay IAMSAR sẽ có hiệu lực </w:t>
            </w:r>
            <w:r w:rsidRPr="0044161B">
              <w:rPr>
                <w:rFonts w:ascii="Times New Roman" w:hAnsi="Times New Roman" w:cs="Times New Roman"/>
                <w:b/>
                <w:bCs/>
                <w:sz w:val="26"/>
                <w:szCs w:val="26"/>
              </w:rPr>
              <w:t>từ ngày 1 tháng 1 năm 2026.</w:t>
            </w:r>
          </w:p>
          <w:p w14:paraId="22475A37" w14:textId="06863FFF" w:rsidR="0044161B" w:rsidRPr="0044161B" w:rsidRDefault="0044161B" w:rsidP="0044161B">
            <w:pPr>
              <w:jc w:val="both"/>
              <w:rPr>
                <w:rFonts w:ascii="Times New Roman" w:hAnsi="Times New Roman" w:cs="Times New Roman"/>
                <w:sz w:val="26"/>
                <w:szCs w:val="26"/>
              </w:rPr>
            </w:pPr>
            <w:r w:rsidRPr="0044161B">
              <w:rPr>
                <w:rFonts w:ascii="Times New Roman" w:hAnsi="Times New Roman" w:cs="Times New Roman"/>
                <w:sz w:val="26"/>
                <w:szCs w:val="26"/>
              </w:rPr>
              <w:t xml:space="preserve">Các sửa đổi được nêu chi tiết trong thông </w:t>
            </w:r>
            <w:r w:rsidRPr="0044161B">
              <w:rPr>
                <w:rFonts w:ascii="Times New Roman" w:hAnsi="Times New Roman" w:cs="Times New Roman"/>
                <w:sz w:val="26"/>
                <w:szCs w:val="26"/>
              </w:rPr>
              <w:t>tri</w:t>
            </w:r>
            <w:r w:rsidRPr="0044161B">
              <w:rPr>
                <w:rFonts w:ascii="Times New Roman" w:hAnsi="Times New Roman" w:cs="Times New Roman"/>
                <w:sz w:val="26"/>
                <w:szCs w:val="26"/>
              </w:rPr>
              <w:t xml:space="preserve"> </w:t>
            </w:r>
            <w:hyperlink r:id="rId6" w:history="1">
              <w:r w:rsidRPr="0044161B">
                <w:rPr>
                  <w:rStyle w:val="Hyperlink"/>
                  <w:rFonts w:ascii="Times New Roman" w:hAnsi="Times New Roman" w:cs="Times New Roman"/>
                  <w:sz w:val="26"/>
                  <w:szCs w:val="26"/>
                </w:rPr>
                <w:t>MSC.1/Circ.1686</w:t>
              </w:r>
            </w:hyperlink>
            <w:r w:rsidRPr="0044161B">
              <w:rPr>
                <w:rFonts w:ascii="Times New Roman" w:hAnsi="Times New Roman" w:cs="Times New Roman"/>
                <w:sz w:val="26"/>
                <w:szCs w:val="26"/>
              </w:rPr>
              <w:t xml:space="preserve"> </w:t>
            </w:r>
            <w:r w:rsidRPr="0044161B">
              <w:rPr>
                <w:rFonts w:ascii="Times New Roman" w:hAnsi="Times New Roman" w:cs="Times New Roman"/>
                <w:sz w:val="26"/>
                <w:szCs w:val="26"/>
              </w:rPr>
              <w:t>của IMO. Các sửa đổi chính bao gồm, nhưng không giới hạn ở những nội dung sau:</w:t>
            </w:r>
          </w:p>
          <w:p w14:paraId="265CB092" w14:textId="37EF521D" w:rsidR="0044161B" w:rsidRPr="0044161B" w:rsidRDefault="0044161B" w:rsidP="0044161B">
            <w:pPr>
              <w:pStyle w:val="ListParagraph"/>
              <w:numPr>
                <w:ilvl w:val="0"/>
                <w:numId w:val="5"/>
              </w:numPr>
              <w:ind w:left="450"/>
              <w:jc w:val="both"/>
              <w:rPr>
                <w:rFonts w:ascii="Times New Roman" w:hAnsi="Times New Roman" w:cs="Times New Roman"/>
                <w:sz w:val="26"/>
                <w:szCs w:val="26"/>
              </w:rPr>
            </w:pPr>
            <w:r w:rsidRPr="0044161B">
              <w:rPr>
                <w:rFonts w:ascii="Times New Roman" w:hAnsi="Times New Roman" w:cs="Times New Roman"/>
                <w:sz w:val="26"/>
                <w:szCs w:val="26"/>
              </w:rPr>
              <w:t>Cập nhật cho Tập III liên quan đến các bản cập nhật năm 2024 đối với các quy định của Hệ thống An toàn và Cấp cứu Hàng hải Toàn cầu (GMDSS) thuộc Công ước SOLAS.</w:t>
            </w:r>
          </w:p>
          <w:p w14:paraId="78ABA79A" w14:textId="0981E24A" w:rsidR="0044161B" w:rsidRPr="0044161B" w:rsidRDefault="0044161B" w:rsidP="0044161B">
            <w:pPr>
              <w:pStyle w:val="ListParagraph"/>
              <w:numPr>
                <w:ilvl w:val="0"/>
                <w:numId w:val="5"/>
              </w:numPr>
              <w:ind w:left="450"/>
              <w:jc w:val="both"/>
              <w:rPr>
                <w:rFonts w:ascii="Times New Roman" w:hAnsi="Times New Roman" w:cs="Times New Roman"/>
                <w:sz w:val="26"/>
                <w:szCs w:val="26"/>
              </w:rPr>
            </w:pPr>
            <w:r w:rsidRPr="0044161B">
              <w:rPr>
                <w:rFonts w:ascii="Times New Roman" w:hAnsi="Times New Roman" w:cs="Times New Roman"/>
                <w:sz w:val="26"/>
                <w:szCs w:val="26"/>
              </w:rPr>
              <w:t>Giới thiệu các Phụ lục mới:</w:t>
            </w:r>
          </w:p>
          <w:p w14:paraId="6C49A85E" w14:textId="7BE4D06D" w:rsidR="0044161B" w:rsidRPr="0044161B" w:rsidRDefault="0044161B" w:rsidP="0044161B">
            <w:pPr>
              <w:pStyle w:val="ListParagraph"/>
              <w:numPr>
                <w:ilvl w:val="0"/>
                <w:numId w:val="3"/>
              </w:numPr>
              <w:jc w:val="both"/>
              <w:rPr>
                <w:rFonts w:ascii="Times New Roman" w:hAnsi="Times New Roman" w:cs="Times New Roman"/>
                <w:sz w:val="26"/>
                <w:szCs w:val="26"/>
              </w:rPr>
            </w:pPr>
            <w:r w:rsidRPr="0044161B">
              <w:rPr>
                <w:rFonts w:ascii="Times New Roman" w:hAnsi="Times New Roman" w:cs="Times New Roman"/>
                <w:sz w:val="26"/>
                <w:szCs w:val="26"/>
              </w:rPr>
              <w:t>Phụ lục P (Tập I): Mẫu biên bản ghi nhớ giữa dịch vụ Tìm kiếm Cứu nạn và cơ quan điều tra tai nạn</w:t>
            </w:r>
          </w:p>
          <w:p w14:paraId="60CD0DDD" w14:textId="1CFF3984" w:rsidR="0044161B" w:rsidRPr="0044161B" w:rsidRDefault="0044161B" w:rsidP="0044161B">
            <w:pPr>
              <w:pStyle w:val="ListParagraph"/>
              <w:numPr>
                <w:ilvl w:val="0"/>
                <w:numId w:val="3"/>
              </w:numPr>
              <w:jc w:val="both"/>
              <w:rPr>
                <w:rFonts w:ascii="Times New Roman" w:hAnsi="Times New Roman" w:cs="Times New Roman"/>
                <w:sz w:val="26"/>
                <w:szCs w:val="26"/>
              </w:rPr>
            </w:pPr>
            <w:r w:rsidRPr="0044161B">
              <w:rPr>
                <w:rFonts w:ascii="Times New Roman" w:hAnsi="Times New Roman" w:cs="Times New Roman"/>
                <w:sz w:val="26"/>
                <w:szCs w:val="26"/>
              </w:rPr>
              <w:t>Phụ lục Q (Tập I): Mẫu quy trình phê duyệt nhanh chóng cho phép các đơn vị Tìm kiếm Cứu nạn từ một Quốc gia hỗ trợ vào lãnh thổ của Quốc gia có Trung tâm Phối hợp Cứu nạn (RCC).</w:t>
            </w:r>
          </w:p>
          <w:p w14:paraId="3599D0E5" w14:textId="1017C9D0" w:rsidR="0044161B" w:rsidRPr="0044161B" w:rsidRDefault="0044161B" w:rsidP="0044161B">
            <w:pPr>
              <w:pStyle w:val="ListParagraph"/>
              <w:numPr>
                <w:ilvl w:val="0"/>
                <w:numId w:val="3"/>
              </w:numPr>
              <w:jc w:val="both"/>
              <w:rPr>
                <w:rFonts w:ascii="Times New Roman" w:hAnsi="Times New Roman" w:cs="Times New Roman"/>
                <w:sz w:val="26"/>
                <w:szCs w:val="26"/>
              </w:rPr>
            </w:pPr>
            <w:r w:rsidRPr="0044161B">
              <w:rPr>
                <w:rFonts w:ascii="Times New Roman" w:hAnsi="Times New Roman" w:cs="Times New Roman"/>
                <w:sz w:val="26"/>
                <w:szCs w:val="26"/>
              </w:rPr>
              <w:t>Phụ lục W (Tập II): Tìm kiếm ban đêm bằng Máy bay sử dụng thiết bị Điện quang/Hồng ngoại (EO/IR) và/hoặc Thiết bị Nhìn đêm (NVD).</w:t>
            </w:r>
          </w:p>
          <w:p w14:paraId="4EC4A0A4" w14:textId="7AF34735" w:rsidR="0044161B" w:rsidRPr="0044161B" w:rsidRDefault="0044161B" w:rsidP="0044161B">
            <w:pPr>
              <w:pStyle w:val="ListParagraph"/>
              <w:numPr>
                <w:ilvl w:val="0"/>
                <w:numId w:val="5"/>
              </w:numPr>
              <w:ind w:left="360"/>
              <w:jc w:val="both"/>
              <w:rPr>
                <w:rFonts w:ascii="Times New Roman" w:hAnsi="Times New Roman" w:cs="Times New Roman"/>
                <w:sz w:val="26"/>
                <w:szCs w:val="26"/>
              </w:rPr>
            </w:pPr>
            <w:r w:rsidRPr="0044161B">
              <w:rPr>
                <w:rFonts w:ascii="Times New Roman" w:hAnsi="Times New Roman" w:cs="Times New Roman"/>
                <w:sz w:val="26"/>
                <w:szCs w:val="26"/>
              </w:rPr>
              <w:t xml:space="preserve">Hướng dẫn Nâng cao về Hoạt động Tìm kiếm </w:t>
            </w:r>
            <w:r w:rsidR="00BE36F4">
              <w:rPr>
                <w:rFonts w:ascii="Times New Roman" w:hAnsi="Times New Roman" w:cs="Times New Roman"/>
                <w:sz w:val="26"/>
                <w:szCs w:val="26"/>
              </w:rPr>
              <w:t xml:space="preserve">vào </w:t>
            </w:r>
            <w:r w:rsidRPr="0044161B">
              <w:rPr>
                <w:rFonts w:ascii="Times New Roman" w:hAnsi="Times New Roman" w:cs="Times New Roman"/>
                <w:sz w:val="26"/>
                <w:szCs w:val="26"/>
              </w:rPr>
              <w:t>Ban đêm: Giới thiệu hướng dẫn vận hành sử dụng hệ thống EO/IR và NVD, bao gồm Phụ lục W mới cung cấp hướng dẫn chi tiết cho nhân viên RCC.</w:t>
            </w:r>
          </w:p>
          <w:p w14:paraId="68538732" w14:textId="1B99B910" w:rsidR="0044161B" w:rsidRPr="0044161B" w:rsidRDefault="0044161B" w:rsidP="0044161B">
            <w:pPr>
              <w:pStyle w:val="ListParagraph"/>
              <w:numPr>
                <w:ilvl w:val="0"/>
                <w:numId w:val="5"/>
              </w:numPr>
              <w:ind w:left="360"/>
              <w:jc w:val="both"/>
              <w:rPr>
                <w:rFonts w:ascii="Times New Roman" w:hAnsi="Times New Roman" w:cs="Times New Roman"/>
                <w:sz w:val="26"/>
                <w:szCs w:val="26"/>
              </w:rPr>
            </w:pPr>
            <w:r w:rsidRPr="0044161B">
              <w:rPr>
                <w:rFonts w:ascii="Times New Roman" w:hAnsi="Times New Roman" w:cs="Times New Roman"/>
                <w:sz w:val="26"/>
                <w:szCs w:val="26"/>
              </w:rPr>
              <w:lastRenderedPageBreak/>
              <w:t xml:space="preserve">Mục mới về Trang trại Điện gió </w:t>
            </w:r>
            <w:r w:rsidR="00BE36F4">
              <w:rPr>
                <w:rFonts w:ascii="Times New Roman" w:hAnsi="Times New Roman" w:cs="Times New Roman"/>
                <w:sz w:val="26"/>
                <w:szCs w:val="26"/>
              </w:rPr>
              <w:t xml:space="preserve">ở </w:t>
            </w:r>
            <w:r w:rsidRPr="0044161B">
              <w:rPr>
                <w:rFonts w:ascii="Times New Roman" w:hAnsi="Times New Roman" w:cs="Times New Roman"/>
                <w:sz w:val="26"/>
                <w:szCs w:val="26"/>
              </w:rPr>
              <w:t>Ngoài khơi: Bổ sung Mục 6.15 (Tập II), bao gồm các cân nhắc về SAR cho các công trình điện gió ngoài khơi và năng lượng tái tạo, bao gồm các quy trình phối hợp, mối nguy hiểm và giao thức liên lạc.</w:t>
            </w:r>
          </w:p>
          <w:p w14:paraId="67767E46" w14:textId="61ADB3C1" w:rsidR="0044161B" w:rsidRPr="0044161B" w:rsidRDefault="0044161B" w:rsidP="0044161B">
            <w:pPr>
              <w:pStyle w:val="ListParagraph"/>
              <w:numPr>
                <w:ilvl w:val="0"/>
                <w:numId w:val="5"/>
              </w:numPr>
              <w:ind w:left="360"/>
              <w:jc w:val="both"/>
              <w:rPr>
                <w:rFonts w:ascii="Times New Roman" w:hAnsi="Times New Roman" w:cs="Times New Roman"/>
                <w:sz w:val="26"/>
                <w:szCs w:val="26"/>
              </w:rPr>
            </w:pPr>
            <w:r w:rsidRPr="0044161B">
              <w:rPr>
                <w:rFonts w:ascii="Times New Roman" w:hAnsi="Times New Roman" w:cs="Times New Roman"/>
                <w:sz w:val="26"/>
                <w:szCs w:val="26"/>
              </w:rPr>
              <w:t>Hướng dẫn mở rộng về việc tiếp cận và sử dụng các hệ thống và ứng dụng theo dõi chuyến bay để hỗ trợ nhận thức tình huống và lập kế hoạch tìm kiếm.</w:t>
            </w:r>
          </w:p>
          <w:p w14:paraId="47D73FF6" w14:textId="3A9172AC" w:rsidR="0044161B" w:rsidRPr="0044161B" w:rsidRDefault="0044161B" w:rsidP="0044161B">
            <w:pPr>
              <w:jc w:val="both"/>
              <w:rPr>
                <w:rFonts w:ascii="Times New Roman" w:hAnsi="Times New Roman" w:cs="Times New Roman"/>
                <w:sz w:val="26"/>
                <w:szCs w:val="26"/>
              </w:rPr>
            </w:pPr>
            <w:r w:rsidRPr="0044161B">
              <w:rPr>
                <w:rFonts w:ascii="Times New Roman" w:hAnsi="Times New Roman" w:cs="Times New Roman"/>
                <w:sz w:val="26"/>
                <w:szCs w:val="26"/>
              </w:rPr>
              <w:t>Những sửa đổi này đã được đưa vào Sổ tay IAMSAR Tập III, được xuất bản vào cuối tháng 10</w:t>
            </w:r>
            <w:r w:rsidRPr="0044161B">
              <w:rPr>
                <w:rFonts w:ascii="Times New Roman" w:hAnsi="Times New Roman" w:cs="Times New Roman"/>
                <w:sz w:val="26"/>
                <w:szCs w:val="26"/>
              </w:rPr>
              <w:t xml:space="preserve"> năm 2025</w:t>
            </w:r>
            <w:r w:rsidRPr="0044161B">
              <w:rPr>
                <w:rFonts w:ascii="Times New Roman" w:hAnsi="Times New Roman" w:cs="Times New Roman"/>
                <w:sz w:val="26"/>
                <w:szCs w:val="26"/>
              </w:rPr>
              <w:t>.</w:t>
            </w:r>
          </w:p>
          <w:p w14:paraId="2F2AFC6E" w14:textId="77777777" w:rsidR="0044161B" w:rsidRPr="00BE36F4" w:rsidRDefault="0044161B" w:rsidP="0044161B">
            <w:pPr>
              <w:jc w:val="both"/>
              <w:rPr>
                <w:rFonts w:ascii="Times New Roman" w:hAnsi="Times New Roman" w:cs="Times New Roman"/>
                <w:b/>
                <w:bCs/>
                <w:sz w:val="26"/>
                <w:szCs w:val="26"/>
              </w:rPr>
            </w:pPr>
            <w:r w:rsidRPr="00BE36F4">
              <w:rPr>
                <w:rFonts w:ascii="Times New Roman" w:hAnsi="Times New Roman" w:cs="Times New Roman"/>
                <w:b/>
                <w:bCs/>
                <w:sz w:val="26"/>
                <w:szCs w:val="26"/>
              </w:rPr>
              <w:t>Những việc chủ tàu và người khai thác tàu nên làm ngay bây giờ</w:t>
            </w:r>
          </w:p>
          <w:p w14:paraId="33D9BB91" w14:textId="68C6677B" w:rsidR="0044161B" w:rsidRPr="0044161B" w:rsidRDefault="0044161B" w:rsidP="0044161B">
            <w:pPr>
              <w:jc w:val="both"/>
              <w:rPr>
                <w:rFonts w:ascii="Times New Roman" w:hAnsi="Times New Roman" w:cs="Times New Roman"/>
                <w:sz w:val="26"/>
                <w:szCs w:val="26"/>
              </w:rPr>
            </w:pPr>
            <w:r w:rsidRPr="0044161B">
              <w:rPr>
                <w:rFonts w:ascii="Times New Roman" w:hAnsi="Times New Roman" w:cs="Times New Roman"/>
                <w:sz w:val="26"/>
                <w:szCs w:val="26"/>
              </w:rPr>
              <w:t>Đảm bảo Sổ tay IAMSAR Tập III cập nhật được đặt trên tàu của bạn dưới dạng bản cứng, trước ngày 1 tháng 1 năm 2026.</w:t>
            </w:r>
          </w:p>
          <w:p w14:paraId="26455DA3" w14:textId="0567303E" w:rsidR="00BE36F4" w:rsidRPr="0044161B" w:rsidRDefault="00BE36F4" w:rsidP="00BE36F4">
            <w:pPr>
              <w:jc w:val="both"/>
            </w:pPr>
            <w:r w:rsidRPr="00BE36F4">
              <w:rPr>
                <w:rFonts w:ascii="Times New Roman" w:hAnsi="Times New Roman" w:cs="Times New Roman"/>
                <w:sz w:val="26"/>
                <w:szCs w:val="26"/>
              </w:rPr>
              <w:t>Những người không cần bản chính thức thì có thể tải bản dự thảo để tham khảo ở địa chỉ dưới đây</w:t>
            </w:r>
            <w:r>
              <w:t>:</w:t>
            </w:r>
          </w:p>
        </w:tc>
      </w:tr>
    </w:tbl>
    <w:p w14:paraId="34809E21" w14:textId="0A88968C" w:rsidR="0044161B" w:rsidRDefault="0044161B">
      <w:hyperlink r:id="rId7" w:history="1">
        <w:r w:rsidRPr="0047545E">
          <w:rPr>
            <w:rStyle w:val="Hyperlink"/>
          </w:rPr>
          <w:t>https://maritime.lr.org/class-news-24-2025?_gl=1*x2wb0r*_gcl_au*MjAxNjg0NDU1Mi4xNzU3ODE1Njk2*_ga*MTI2OTQzMzU3My4xNzA3ODk4Nzkz*_ga_BTRFH3E7GD*czE3NjM0MjY5MDMkbzIxJGcwJHQxNzYzNDI2OTAzJGo2MCRsMCRoNzk1NDk1MTU2</w:t>
        </w:r>
      </w:hyperlink>
    </w:p>
    <w:p w14:paraId="5CF504B8" w14:textId="2FB4740D" w:rsidR="00BE36F4" w:rsidRDefault="00BE36F4" w:rsidP="00BE36F4">
      <w:pPr>
        <w:jc w:val="center"/>
      </w:pPr>
      <w:r>
        <w:t>-------------------------------------------</w:t>
      </w:r>
    </w:p>
    <w:p w14:paraId="18AB9C69" w14:textId="77777777" w:rsidR="0044161B" w:rsidRDefault="0044161B"/>
    <w:sectPr w:rsidR="0044161B" w:rsidSect="00BE36F4">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660"/>
    <w:multiLevelType w:val="hybridMultilevel"/>
    <w:tmpl w:val="16E00AD6"/>
    <w:lvl w:ilvl="0" w:tplc="F2D6817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464217"/>
    <w:multiLevelType w:val="hybridMultilevel"/>
    <w:tmpl w:val="88361650"/>
    <w:lvl w:ilvl="0" w:tplc="C58047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33D6B"/>
    <w:multiLevelType w:val="multilevel"/>
    <w:tmpl w:val="F114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52F88"/>
    <w:multiLevelType w:val="hybridMultilevel"/>
    <w:tmpl w:val="3D6A8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947CF3"/>
    <w:multiLevelType w:val="hybridMultilevel"/>
    <w:tmpl w:val="8A14CA74"/>
    <w:lvl w:ilvl="0" w:tplc="F2D6817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07663">
    <w:abstractNumId w:val="2"/>
    <w:lvlOverride w:ilvl="0"/>
    <w:lvlOverride w:ilvl="1"/>
    <w:lvlOverride w:ilvl="2"/>
    <w:lvlOverride w:ilvl="3"/>
    <w:lvlOverride w:ilvl="4"/>
    <w:lvlOverride w:ilvl="5"/>
    <w:lvlOverride w:ilvl="6"/>
    <w:lvlOverride w:ilvl="7"/>
    <w:lvlOverride w:ilvl="8"/>
  </w:num>
  <w:num w:numId="2" w16cid:durableId="670253826">
    <w:abstractNumId w:val="3"/>
  </w:num>
  <w:num w:numId="3" w16cid:durableId="62877195">
    <w:abstractNumId w:val="0"/>
  </w:num>
  <w:num w:numId="4" w16cid:durableId="1511411016">
    <w:abstractNumId w:val="4"/>
  </w:num>
  <w:num w:numId="5" w16cid:durableId="27081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1B"/>
    <w:rsid w:val="000501D0"/>
    <w:rsid w:val="0044161B"/>
    <w:rsid w:val="007B243F"/>
    <w:rsid w:val="00BE36F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EEDB"/>
  <w15:chartTrackingRefBased/>
  <w15:docId w15:val="{1E3B56FD-8449-45A2-A24A-FDB0A714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61B"/>
    <w:rPr>
      <w:rFonts w:eastAsiaTheme="majorEastAsia" w:cstheme="majorBidi"/>
      <w:color w:val="272727" w:themeColor="text1" w:themeTint="D8"/>
    </w:rPr>
  </w:style>
  <w:style w:type="paragraph" w:styleId="Title">
    <w:name w:val="Title"/>
    <w:basedOn w:val="Normal"/>
    <w:next w:val="Normal"/>
    <w:link w:val="TitleChar"/>
    <w:uiPriority w:val="10"/>
    <w:qFormat/>
    <w:rsid w:val="00441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61B"/>
    <w:pPr>
      <w:spacing w:before="160"/>
      <w:jc w:val="center"/>
    </w:pPr>
    <w:rPr>
      <w:i/>
      <w:iCs/>
      <w:color w:val="404040" w:themeColor="text1" w:themeTint="BF"/>
    </w:rPr>
  </w:style>
  <w:style w:type="character" w:customStyle="1" w:styleId="QuoteChar">
    <w:name w:val="Quote Char"/>
    <w:basedOn w:val="DefaultParagraphFont"/>
    <w:link w:val="Quote"/>
    <w:uiPriority w:val="29"/>
    <w:rsid w:val="0044161B"/>
    <w:rPr>
      <w:i/>
      <w:iCs/>
      <w:color w:val="404040" w:themeColor="text1" w:themeTint="BF"/>
    </w:rPr>
  </w:style>
  <w:style w:type="paragraph" w:styleId="ListParagraph">
    <w:name w:val="List Paragraph"/>
    <w:basedOn w:val="Normal"/>
    <w:uiPriority w:val="34"/>
    <w:qFormat/>
    <w:rsid w:val="0044161B"/>
    <w:pPr>
      <w:ind w:left="720"/>
      <w:contextualSpacing/>
    </w:pPr>
  </w:style>
  <w:style w:type="character" w:styleId="IntenseEmphasis">
    <w:name w:val="Intense Emphasis"/>
    <w:basedOn w:val="DefaultParagraphFont"/>
    <w:uiPriority w:val="21"/>
    <w:qFormat/>
    <w:rsid w:val="0044161B"/>
    <w:rPr>
      <w:i/>
      <w:iCs/>
      <w:color w:val="0F4761" w:themeColor="accent1" w:themeShade="BF"/>
    </w:rPr>
  </w:style>
  <w:style w:type="paragraph" w:styleId="IntenseQuote">
    <w:name w:val="Intense Quote"/>
    <w:basedOn w:val="Normal"/>
    <w:next w:val="Normal"/>
    <w:link w:val="IntenseQuoteChar"/>
    <w:uiPriority w:val="30"/>
    <w:qFormat/>
    <w:rsid w:val="00441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61B"/>
    <w:rPr>
      <w:i/>
      <w:iCs/>
      <w:color w:val="0F4761" w:themeColor="accent1" w:themeShade="BF"/>
    </w:rPr>
  </w:style>
  <w:style w:type="character" w:styleId="IntenseReference">
    <w:name w:val="Intense Reference"/>
    <w:basedOn w:val="DefaultParagraphFont"/>
    <w:uiPriority w:val="32"/>
    <w:qFormat/>
    <w:rsid w:val="0044161B"/>
    <w:rPr>
      <w:b/>
      <w:bCs/>
      <w:smallCaps/>
      <w:color w:val="0F4761" w:themeColor="accent1" w:themeShade="BF"/>
      <w:spacing w:val="5"/>
    </w:rPr>
  </w:style>
  <w:style w:type="character" w:styleId="Hyperlink">
    <w:name w:val="Hyperlink"/>
    <w:basedOn w:val="DefaultParagraphFont"/>
    <w:uiPriority w:val="99"/>
    <w:unhideWhenUsed/>
    <w:rsid w:val="0044161B"/>
    <w:rPr>
      <w:color w:val="467886" w:themeColor="hyperlink"/>
      <w:u w:val="single"/>
    </w:rPr>
  </w:style>
  <w:style w:type="character" w:styleId="UnresolvedMention">
    <w:name w:val="Unresolved Mention"/>
    <w:basedOn w:val="DefaultParagraphFont"/>
    <w:uiPriority w:val="99"/>
    <w:semiHidden/>
    <w:unhideWhenUsed/>
    <w:rsid w:val="00441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lr.org/class-news-24-2025?_gl=1*x2wb0r*_gcl_au*MjAxNjg0NDU1Mi4xNzU3ODE1Njk2*_ga*MTI2OTQzMzU3My4xNzA3ODk4Nzkz*_ga_BTRFH3E7GD*czE3NjM0MjY5MDMkbzIxJGcwJHQxNzYzNDI2OTAzJGo2MCRsMCRoNzk1NDk1MTU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time.lr.org/e/941163/nal-Aeronautical-and-Marit-pdf/cs71j/1081398240/h/5P6tUARggfnjocfU7n6XcCr1p0Yruf1upFSOEwvnzr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2025-11-18T00:50:00Z</dcterms:created>
  <dcterms:modified xsi:type="dcterms:W3CDTF">2025-11-18T01:04:00Z</dcterms:modified>
</cp:coreProperties>
</file>