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70CA38" w14:textId="5EB91648" w:rsidR="00301C8A" w:rsidRPr="00301C8A" w:rsidRDefault="00301C8A" w:rsidP="00301C8A">
      <w:pPr>
        <w:jc w:val="center"/>
        <w:rPr>
          <w:rFonts w:ascii="Times New Roman" w:hAnsi="Times New Roman" w:cs="Times New Roman"/>
          <w:b/>
          <w:bCs/>
          <w:sz w:val="40"/>
          <w:szCs w:val="40"/>
        </w:rPr>
      </w:pPr>
      <w:r w:rsidRPr="00301C8A">
        <w:rPr>
          <w:rFonts w:ascii="Times New Roman" w:hAnsi="Times New Roman" w:cs="Times New Roman"/>
          <w:b/>
          <w:bCs/>
          <w:sz w:val="40"/>
          <w:szCs w:val="40"/>
        </w:rPr>
        <w:t>Triển vọng năng lượng toàn cầu năm 2025: Lượng khí thải đạt mức cao kỷ lục</w:t>
      </w:r>
    </w:p>
    <w:p w14:paraId="240A8B6E" w14:textId="22C565D9" w:rsidR="00301C8A" w:rsidRPr="00301C8A" w:rsidRDefault="00301C8A" w:rsidP="00301C8A">
      <w:pPr>
        <w:jc w:val="center"/>
        <w:rPr>
          <w:rFonts w:ascii="Times New Roman" w:hAnsi="Times New Roman" w:cs="Times New Roman"/>
          <w:b/>
          <w:bCs/>
          <w:color w:val="EE0000"/>
          <w:sz w:val="28"/>
          <w:szCs w:val="28"/>
        </w:rPr>
      </w:pPr>
      <w:r w:rsidRPr="00301C8A">
        <w:rPr>
          <w:rFonts w:ascii="Times New Roman" w:hAnsi="Times New Roman" w:cs="Times New Roman"/>
          <w:b/>
          <w:bCs/>
          <w:color w:val="EE0000"/>
          <w:sz w:val="28"/>
          <w:szCs w:val="28"/>
        </w:rPr>
        <w:t xml:space="preserve">Các loại nhiên liệu thay thế quan trọng khó có thể được </w:t>
      </w:r>
      <w:r w:rsidRPr="00301C8A">
        <w:rPr>
          <w:rFonts w:ascii="Times New Roman" w:hAnsi="Times New Roman" w:cs="Times New Roman"/>
          <w:b/>
          <w:bCs/>
          <w:color w:val="EE0000"/>
          <w:sz w:val="28"/>
          <w:szCs w:val="28"/>
        </w:rPr>
        <w:t>sử</w:t>
      </w:r>
      <w:r w:rsidRPr="00301C8A">
        <w:rPr>
          <w:rFonts w:ascii="Times New Roman" w:hAnsi="Times New Roman" w:cs="Times New Roman"/>
          <w:b/>
          <w:bCs/>
          <w:color w:val="EE0000"/>
          <w:sz w:val="28"/>
          <w:szCs w:val="28"/>
        </w:rPr>
        <w:t xml:space="preserve"> dụng rộng rãi trước năm 2040 trừ khi </w:t>
      </w:r>
      <w:r w:rsidRPr="00301C8A">
        <w:rPr>
          <w:rFonts w:ascii="Times New Roman" w:hAnsi="Times New Roman" w:cs="Times New Roman"/>
          <w:b/>
          <w:bCs/>
          <w:color w:val="EE0000"/>
          <w:sz w:val="28"/>
          <w:szCs w:val="28"/>
        </w:rPr>
        <w:t>là</w:t>
      </w:r>
      <w:r w:rsidRPr="00301C8A">
        <w:rPr>
          <w:rFonts w:ascii="Times New Roman" w:hAnsi="Times New Roman" w:cs="Times New Roman"/>
          <w:b/>
          <w:bCs/>
          <w:color w:val="EE0000"/>
          <w:sz w:val="28"/>
          <w:szCs w:val="28"/>
        </w:rPr>
        <w:t xml:space="preserve"> yêu cầu bắt buộc</w:t>
      </w:r>
    </w:p>
    <w:p w14:paraId="7E80F2B5" w14:textId="0B01D718" w:rsidR="00301C8A" w:rsidRPr="00301C8A" w:rsidRDefault="00301C8A" w:rsidP="00301C8A">
      <w:pPr>
        <w:jc w:val="right"/>
        <w:rPr>
          <w:rStyle w:val="Hyperlink"/>
        </w:rPr>
      </w:pPr>
      <w:hyperlink r:id="rId4" w:history="1">
        <w:r w:rsidRPr="00301C8A">
          <w:rPr>
            <w:rStyle w:val="Hyperlink"/>
          </w:rPr>
          <w:t>Green Shipping</w:t>
        </w:r>
      </w:hyperlink>
      <w:r w:rsidRPr="00301C8A">
        <w:fldChar w:fldCharType="begin"/>
      </w:r>
      <w:r w:rsidRPr="00301C8A">
        <w:instrText>HYPERLINK "https://safety4sea.com/wp-content/uploads/2022/10/shutterstock_1972988039.jpg"</w:instrText>
      </w:r>
      <w:r w:rsidRPr="00301C8A">
        <w:fldChar w:fldCharType="separate"/>
      </w:r>
    </w:p>
    <w:p w14:paraId="1E10CDA5" w14:textId="402C823B" w:rsidR="00301C8A" w:rsidRPr="00301C8A" w:rsidRDefault="00301C8A" w:rsidP="00301C8A">
      <w:r w:rsidRPr="00301C8A">
        <w:rPr>
          <w:rStyle w:val="Hyperlink"/>
        </w:rPr>
        <w:drawing>
          <wp:inline distT="0" distB="0" distL="0" distR="0" wp14:anchorId="69E4B43E" wp14:editId="42B06E8E">
            <wp:extent cx="5943600" cy="2974975"/>
            <wp:effectExtent l="0" t="0" r="0" b="0"/>
            <wp:docPr id="453034483" name="Picture 4" descr="energy">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nergy">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r w:rsidRPr="00301C8A">
        <w:fldChar w:fldCharType="end"/>
      </w:r>
    </w:p>
    <w:p w14:paraId="156FEEC3" w14:textId="77777777" w:rsidR="00301C8A" w:rsidRPr="00301C8A" w:rsidRDefault="00301C8A" w:rsidP="00301C8A">
      <w:pPr>
        <w:spacing w:after="120"/>
        <w:jc w:val="both"/>
        <w:rPr>
          <w:rFonts w:ascii="Times New Roman" w:hAnsi="Times New Roman" w:cs="Times New Roman"/>
          <w:sz w:val="26"/>
          <w:szCs w:val="26"/>
        </w:rPr>
      </w:pPr>
      <w:r w:rsidRPr="00301C8A">
        <w:rPr>
          <w:rFonts w:ascii="Times New Roman" w:hAnsi="Times New Roman" w:cs="Times New Roman"/>
          <w:sz w:val="26"/>
          <w:szCs w:val="26"/>
        </w:rPr>
        <w:t>Một báo cáo mới của McKinsey &amp; Company cho thấy bất ổn địa chính trị, sự thay đổi chính sách và nhu cầu điện năng ngày càng tăng đang định hình lại bức tranh năng lượng.</w:t>
      </w:r>
    </w:p>
    <w:p w14:paraId="3B9D52FA" w14:textId="7AE6E60A" w:rsidR="00301C8A" w:rsidRPr="00301C8A" w:rsidRDefault="00301C8A" w:rsidP="00301C8A">
      <w:pPr>
        <w:spacing w:after="120"/>
        <w:jc w:val="both"/>
        <w:rPr>
          <w:rFonts w:ascii="Times New Roman" w:hAnsi="Times New Roman" w:cs="Times New Roman"/>
          <w:sz w:val="26"/>
          <w:szCs w:val="26"/>
        </w:rPr>
      </w:pPr>
      <w:r w:rsidRPr="00301C8A">
        <w:rPr>
          <w:rFonts w:ascii="Times New Roman" w:hAnsi="Times New Roman" w:cs="Times New Roman"/>
          <w:sz w:val="26"/>
          <w:szCs w:val="26"/>
        </w:rPr>
        <w:t xml:space="preserve">Theo Triển vọng Năng lượng Toàn cầu 2025, hai chủ đề chính nổi lên từ triển vọng năm nay. Thứ nhất, khả năng cạnh tranh về chi phí và quá trình chuyển đổi năng lượng thực dụng về mặt kinh tế vẫn là những yếu tố then chốt. Khả năng chi trả </w:t>
      </w:r>
      <w:r>
        <w:rPr>
          <w:rFonts w:ascii="Times New Roman" w:hAnsi="Times New Roman" w:cs="Times New Roman"/>
          <w:sz w:val="26"/>
          <w:szCs w:val="26"/>
        </w:rPr>
        <w:t xml:space="preserve">cho </w:t>
      </w:r>
      <w:r w:rsidRPr="00301C8A">
        <w:rPr>
          <w:rFonts w:ascii="Times New Roman" w:hAnsi="Times New Roman" w:cs="Times New Roman"/>
          <w:sz w:val="26"/>
          <w:szCs w:val="26"/>
        </w:rPr>
        <w:t>năng lượng, độ tin cậy (bao gồm an ninh năng lượng ở cấp quốc gia hoặc khu vực) và giảm phát thải tiếp tục là bộ ba ưu tiên thúc đẩy việc ra quyết định về năng lượng. Tuy nhiên, nếu không có khả năng chi trả, cùng với khả năng tiếp cận vốn, việc áp dụng rộng rãi các công nghệ carbon thấp mới sẽ không thể diễn ra.</w:t>
      </w:r>
    </w:p>
    <w:p w14:paraId="3E9A5E65" w14:textId="198B56DA" w:rsidR="00301C8A" w:rsidRDefault="00301C8A" w:rsidP="00301C8A">
      <w:pPr>
        <w:spacing w:after="120"/>
        <w:jc w:val="both"/>
        <w:rPr>
          <w:rFonts w:ascii="Times New Roman" w:hAnsi="Times New Roman" w:cs="Times New Roman"/>
          <w:sz w:val="26"/>
          <w:szCs w:val="26"/>
        </w:rPr>
      </w:pPr>
      <w:r w:rsidRPr="00301C8A">
        <w:rPr>
          <w:rFonts w:ascii="Times New Roman" w:hAnsi="Times New Roman" w:cs="Times New Roman"/>
          <w:sz w:val="26"/>
          <w:szCs w:val="26"/>
        </w:rPr>
        <w:t xml:space="preserve">Thứ hai, không có giải pháp thần kỳ nào cho quá trình </w:t>
      </w:r>
      <w:r>
        <w:rPr>
          <w:rFonts w:ascii="Times New Roman" w:hAnsi="Times New Roman" w:cs="Times New Roman"/>
          <w:sz w:val="26"/>
          <w:szCs w:val="26"/>
        </w:rPr>
        <w:t>loại bỏ khí thải</w:t>
      </w:r>
      <w:r w:rsidRPr="00301C8A">
        <w:rPr>
          <w:rFonts w:ascii="Times New Roman" w:hAnsi="Times New Roman" w:cs="Times New Roman"/>
          <w:sz w:val="26"/>
          <w:szCs w:val="26"/>
        </w:rPr>
        <w:t xml:space="preserve"> cacbon. Các quốc gia và khu vực sẽ đi theo những quỹ đạo riêng dựa trên điều kiện kinh tế </w:t>
      </w:r>
      <w:r>
        <w:rPr>
          <w:rFonts w:ascii="Times New Roman" w:hAnsi="Times New Roman" w:cs="Times New Roman"/>
          <w:sz w:val="26"/>
          <w:szCs w:val="26"/>
        </w:rPr>
        <w:t xml:space="preserve">của </w:t>
      </w:r>
      <w:r w:rsidRPr="00301C8A">
        <w:rPr>
          <w:rFonts w:ascii="Times New Roman" w:hAnsi="Times New Roman" w:cs="Times New Roman"/>
          <w:sz w:val="26"/>
          <w:szCs w:val="26"/>
        </w:rPr>
        <w:t>địa phương, nguồn tài nguyên thiên nhiên và thực tế mà các ngành công nghiệp cụ thể đang phải đối mặt.</w:t>
      </w:r>
    </w:p>
    <w:p w14:paraId="3951B3EC" w14:textId="77777777" w:rsidR="00AF3C63" w:rsidRPr="00301C8A" w:rsidRDefault="00AF3C63" w:rsidP="00AF3C63">
      <w:pPr>
        <w:spacing w:before="120" w:after="120"/>
        <w:jc w:val="both"/>
        <w:rPr>
          <w:rFonts w:ascii="Times New Roman" w:hAnsi="Times New Roman" w:cs="Times New Roman"/>
          <w:sz w:val="26"/>
          <w:szCs w:val="26"/>
        </w:rPr>
      </w:pPr>
      <w:r w:rsidRPr="00301C8A">
        <w:rPr>
          <w:rFonts w:ascii="Times New Roman" w:hAnsi="Times New Roman" w:cs="Times New Roman"/>
          <w:sz w:val="26"/>
          <w:szCs w:val="26"/>
        </w:rPr>
        <w:t xml:space="preserve">Tuy nhiên, mỗi năm cũng mang đến những diễn biến không lường trước được, dù là những đột phá trong công nghệ năng lượng </w:t>
      </w:r>
      <w:r>
        <w:rPr>
          <w:rFonts w:ascii="Times New Roman" w:hAnsi="Times New Roman" w:cs="Times New Roman"/>
          <w:sz w:val="26"/>
          <w:szCs w:val="26"/>
        </w:rPr>
        <w:t>giúp</w:t>
      </w:r>
      <w:r w:rsidRPr="00301C8A">
        <w:rPr>
          <w:rFonts w:ascii="Times New Roman" w:hAnsi="Times New Roman" w:cs="Times New Roman"/>
          <w:sz w:val="26"/>
          <w:szCs w:val="26"/>
        </w:rPr>
        <w:t xml:space="preserve"> tăng tốc quy mô năng lượng mặt trời và </w:t>
      </w:r>
      <w:r>
        <w:rPr>
          <w:rFonts w:ascii="Times New Roman" w:hAnsi="Times New Roman" w:cs="Times New Roman"/>
          <w:sz w:val="26"/>
          <w:szCs w:val="26"/>
        </w:rPr>
        <w:t xml:space="preserve">năng lượng </w:t>
      </w:r>
      <w:r w:rsidRPr="00301C8A">
        <w:rPr>
          <w:rFonts w:ascii="Times New Roman" w:hAnsi="Times New Roman" w:cs="Times New Roman"/>
          <w:sz w:val="26"/>
          <w:szCs w:val="26"/>
        </w:rPr>
        <w:t xml:space="preserve">gió hay những </w:t>
      </w:r>
      <w:r>
        <w:rPr>
          <w:rFonts w:ascii="Times New Roman" w:hAnsi="Times New Roman" w:cs="Times New Roman"/>
          <w:sz w:val="26"/>
          <w:szCs w:val="26"/>
        </w:rPr>
        <w:t>sáng tạo</w:t>
      </w:r>
      <w:r w:rsidRPr="00301C8A">
        <w:rPr>
          <w:rFonts w:ascii="Times New Roman" w:hAnsi="Times New Roman" w:cs="Times New Roman"/>
          <w:sz w:val="26"/>
          <w:szCs w:val="26"/>
        </w:rPr>
        <w:t xml:space="preserve"> như AI </w:t>
      </w:r>
      <w:r>
        <w:rPr>
          <w:rFonts w:ascii="Times New Roman" w:hAnsi="Times New Roman" w:cs="Times New Roman"/>
          <w:sz w:val="26"/>
          <w:szCs w:val="26"/>
        </w:rPr>
        <w:t xml:space="preserve">đã </w:t>
      </w:r>
      <w:r w:rsidRPr="00301C8A">
        <w:rPr>
          <w:rFonts w:ascii="Times New Roman" w:hAnsi="Times New Roman" w:cs="Times New Roman"/>
          <w:sz w:val="26"/>
          <w:szCs w:val="26"/>
        </w:rPr>
        <w:t>thúc đẩy nhu cầu điện năng tăng trưởng nhanh.</w:t>
      </w:r>
    </w:p>
    <w:p w14:paraId="5CBF7E00" w14:textId="77777777" w:rsidR="00AF3C63" w:rsidRPr="00301C8A" w:rsidRDefault="00AF3C63" w:rsidP="00301C8A">
      <w:pPr>
        <w:spacing w:after="120"/>
        <w:jc w:val="both"/>
        <w:rPr>
          <w:rFonts w:ascii="Times New Roman" w:hAnsi="Times New Roman" w:cs="Times New Roman"/>
          <w:sz w:val="26"/>
          <w:szCs w:val="26"/>
        </w:rPr>
      </w:pPr>
    </w:p>
    <w:p w14:paraId="7AC604E9" w14:textId="118FAEF5" w:rsidR="00301C8A" w:rsidRPr="00301C8A" w:rsidRDefault="00301C8A" w:rsidP="00301C8A">
      <w:r w:rsidRPr="00301C8A">
        <w:lastRenderedPageBreak/>
        <w:drawing>
          <wp:inline distT="0" distB="0" distL="0" distR="0" wp14:anchorId="05E3AD02" wp14:editId="77F078AD">
            <wp:extent cx="6111240" cy="4707769"/>
            <wp:effectExtent l="0" t="0" r="3810" b="0"/>
            <wp:docPr id="554675999" name="Picture 3" descr="McKinsey &amp; Compan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McKinsey &amp; Company">
                      <a:hlinkClick r:id="rId7"/>
                    </pic:cNvPr>
                    <pic:cNvPicPr>
                      <a:picLocks noChangeAspect="1" noChangeArrowheads="1"/>
                    </pic:cNvPicPr>
                  </pic:nvPicPr>
                  <pic:blipFill rotWithShape="1">
                    <a:blip r:embed="rId8">
                      <a:extLst>
                        <a:ext uri="{28A0092B-C50C-407E-A947-70E740481C1C}">
                          <a14:useLocalDpi xmlns:a14="http://schemas.microsoft.com/office/drawing/2010/main" val="0"/>
                        </a:ext>
                      </a:extLst>
                    </a:blip>
                    <a:srcRect l="7179" r="5128"/>
                    <a:stretch>
                      <a:fillRect/>
                    </a:stretch>
                  </pic:blipFill>
                  <pic:spPr bwMode="auto">
                    <a:xfrm>
                      <a:off x="0" y="0"/>
                      <a:ext cx="6120924" cy="4715229"/>
                    </a:xfrm>
                    <a:prstGeom prst="rect">
                      <a:avLst/>
                    </a:prstGeom>
                    <a:noFill/>
                    <a:ln>
                      <a:noFill/>
                    </a:ln>
                    <a:extLst>
                      <a:ext uri="{53640926-AAD7-44D8-BBD7-CCE9431645EC}">
                        <a14:shadowObscured xmlns:a14="http://schemas.microsoft.com/office/drawing/2010/main"/>
                      </a:ext>
                    </a:extLst>
                  </pic:spPr>
                </pic:pic>
              </a:graphicData>
            </a:graphic>
          </wp:inline>
        </w:drawing>
      </w:r>
    </w:p>
    <w:p w14:paraId="641ED8FB" w14:textId="77777777" w:rsidR="00301C8A" w:rsidRPr="00301C8A" w:rsidRDefault="00301C8A" w:rsidP="00301C8A">
      <w:pPr>
        <w:spacing w:before="120" w:after="120"/>
        <w:jc w:val="both"/>
        <w:rPr>
          <w:rFonts w:ascii="Times New Roman" w:hAnsi="Times New Roman" w:cs="Times New Roman"/>
          <w:b/>
          <w:bCs/>
          <w:sz w:val="26"/>
          <w:szCs w:val="26"/>
        </w:rPr>
      </w:pPr>
      <w:r w:rsidRPr="00301C8A">
        <w:rPr>
          <w:rFonts w:ascii="Times New Roman" w:hAnsi="Times New Roman" w:cs="Times New Roman"/>
          <w:b/>
          <w:bCs/>
          <w:sz w:val="26"/>
          <w:szCs w:val="26"/>
        </w:rPr>
        <w:t>Những điểm chính trong triển vọng năm nay:</w:t>
      </w:r>
    </w:p>
    <w:p w14:paraId="0E76F1B9" w14:textId="1E7597D4" w:rsidR="00301C8A" w:rsidRPr="00301C8A" w:rsidRDefault="00301C8A" w:rsidP="00301C8A">
      <w:pPr>
        <w:spacing w:before="120" w:after="120"/>
        <w:ind w:left="270"/>
        <w:jc w:val="both"/>
        <w:rPr>
          <w:rFonts w:ascii="Times New Roman" w:hAnsi="Times New Roman" w:cs="Times New Roman"/>
          <w:b/>
          <w:bCs/>
          <w:sz w:val="26"/>
          <w:szCs w:val="26"/>
        </w:rPr>
      </w:pPr>
      <w:r w:rsidRPr="00301C8A">
        <w:rPr>
          <w:rFonts w:ascii="Times New Roman" w:hAnsi="Times New Roman" w:cs="Times New Roman"/>
          <w:b/>
          <w:bCs/>
          <w:sz w:val="26"/>
          <w:szCs w:val="26"/>
        </w:rPr>
        <w:t xml:space="preserve">#1 Nhiên liệu hóa thạch được dự đoán </w:t>
      </w:r>
      <w:r>
        <w:rPr>
          <w:rFonts w:ascii="Times New Roman" w:hAnsi="Times New Roman" w:cs="Times New Roman"/>
          <w:b/>
          <w:bCs/>
          <w:sz w:val="26"/>
          <w:szCs w:val="26"/>
        </w:rPr>
        <w:t>vẫn</w:t>
      </w:r>
      <w:r w:rsidRPr="00301C8A">
        <w:rPr>
          <w:rFonts w:ascii="Times New Roman" w:hAnsi="Times New Roman" w:cs="Times New Roman"/>
          <w:b/>
          <w:bCs/>
          <w:sz w:val="26"/>
          <w:szCs w:val="26"/>
        </w:rPr>
        <w:t xml:space="preserve"> chiếm tỷ trọng lớn trong cơ cấu năng lượng sau năm 2050</w:t>
      </w:r>
    </w:p>
    <w:p w14:paraId="04240633" w14:textId="7FB7CD8A" w:rsidR="00301C8A" w:rsidRPr="00301C8A" w:rsidRDefault="00301C8A" w:rsidP="00301C8A">
      <w:pPr>
        <w:spacing w:before="120" w:after="120"/>
        <w:ind w:left="270"/>
        <w:jc w:val="both"/>
        <w:rPr>
          <w:rFonts w:ascii="Times New Roman" w:hAnsi="Times New Roman" w:cs="Times New Roman"/>
          <w:b/>
          <w:bCs/>
          <w:sz w:val="26"/>
          <w:szCs w:val="26"/>
        </w:rPr>
      </w:pPr>
      <w:r w:rsidRPr="00301C8A">
        <w:rPr>
          <w:rFonts w:ascii="Times New Roman" w:hAnsi="Times New Roman" w:cs="Times New Roman"/>
          <w:b/>
          <w:bCs/>
          <w:sz w:val="26"/>
          <w:szCs w:val="26"/>
        </w:rPr>
        <w:t xml:space="preserve">#2 Các loại nhiên liệu thay thế chủ chốt khó có thể được </w:t>
      </w:r>
      <w:r>
        <w:rPr>
          <w:rFonts w:ascii="Times New Roman" w:hAnsi="Times New Roman" w:cs="Times New Roman"/>
          <w:b/>
          <w:bCs/>
          <w:sz w:val="26"/>
          <w:szCs w:val="26"/>
        </w:rPr>
        <w:t>sử</w:t>
      </w:r>
      <w:r w:rsidRPr="00301C8A">
        <w:rPr>
          <w:rFonts w:ascii="Times New Roman" w:hAnsi="Times New Roman" w:cs="Times New Roman"/>
          <w:b/>
          <w:bCs/>
          <w:sz w:val="26"/>
          <w:szCs w:val="26"/>
        </w:rPr>
        <w:t xml:space="preserve"> dụng rộng rãi cho đến sau năm 2040</w:t>
      </w:r>
    </w:p>
    <w:p w14:paraId="750E8AA5" w14:textId="3CCF98EA" w:rsidR="00301C8A" w:rsidRPr="00301C8A" w:rsidRDefault="00301C8A" w:rsidP="00301C8A">
      <w:pPr>
        <w:spacing w:before="120" w:after="120"/>
        <w:ind w:left="270"/>
        <w:jc w:val="both"/>
        <w:rPr>
          <w:rFonts w:ascii="Times New Roman" w:hAnsi="Times New Roman" w:cs="Times New Roman"/>
          <w:b/>
          <w:bCs/>
          <w:sz w:val="26"/>
          <w:szCs w:val="26"/>
        </w:rPr>
      </w:pPr>
      <w:r w:rsidRPr="00301C8A">
        <w:rPr>
          <w:rFonts w:ascii="Times New Roman" w:hAnsi="Times New Roman" w:cs="Times New Roman"/>
          <w:b/>
          <w:bCs/>
          <w:sz w:val="26"/>
          <w:szCs w:val="26"/>
        </w:rPr>
        <w:t xml:space="preserve">#3 </w:t>
      </w:r>
      <w:r>
        <w:rPr>
          <w:rFonts w:ascii="Times New Roman" w:hAnsi="Times New Roman" w:cs="Times New Roman"/>
          <w:b/>
          <w:bCs/>
          <w:sz w:val="26"/>
          <w:szCs w:val="26"/>
        </w:rPr>
        <w:t>Các b</w:t>
      </w:r>
      <w:r w:rsidRPr="00301C8A">
        <w:rPr>
          <w:rFonts w:ascii="Times New Roman" w:hAnsi="Times New Roman" w:cs="Times New Roman"/>
          <w:b/>
          <w:bCs/>
          <w:sz w:val="26"/>
          <w:szCs w:val="26"/>
        </w:rPr>
        <w:t xml:space="preserve">iến động khu vực đóng vai trò quan trọng trong </w:t>
      </w:r>
      <w:r>
        <w:rPr>
          <w:rFonts w:ascii="Times New Roman" w:hAnsi="Times New Roman" w:cs="Times New Roman"/>
          <w:b/>
          <w:bCs/>
          <w:sz w:val="26"/>
          <w:szCs w:val="26"/>
        </w:rPr>
        <w:t xml:space="preserve">các </w:t>
      </w:r>
      <w:r w:rsidRPr="00301C8A">
        <w:rPr>
          <w:rFonts w:ascii="Times New Roman" w:hAnsi="Times New Roman" w:cs="Times New Roman"/>
          <w:b/>
          <w:bCs/>
          <w:sz w:val="26"/>
          <w:szCs w:val="26"/>
        </w:rPr>
        <w:t xml:space="preserve">kết quả </w:t>
      </w:r>
      <w:r>
        <w:rPr>
          <w:rFonts w:ascii="Times New Roman" w:hAnsi="Times New Roman" w:cs="Times New Roman"/>
          <w:b/>
          <w:bCs/>
          <w:sz w:val="26"/>
          <w:szCs w:val="26"/>
        </w:rPr>
        <w:t xml:space="preserve">của </w:t>
      </w:r>
      <w:r w:rsidRPr="00301C8A">
        <w:rPr>
          <w:rFonts w:ascii="Times New Roman" w:hAnsi="Times New Roman" w:cs="Times New Roman"/>
          <w:b/>
          <w:bCs/>
          <w:sz w:val="26"/>
          <w:szCs w:val="26"/>
        </w:rPr>
        <w:t>kịch bản</w:t>
      </w:r>
    </w:p>
    <w:p w14:paraId="49E9DE04" w14:textId="77777777" w:rsidR="00301C8A" w:rsidRPr="00301C8A" w:rsidRDefault="00301C8A" w:rsidP="00301C8A">
      <w:pPr>
        <w:spacing w:before="120" w:after="120"/>
        <w:ind w:left="270"/>
        <w:jc w:val="both"/>
        <w:rPr>
          <w:rFonts w:ascii="Times New Roman" w:hAnsi="Times New Roman" w:cs="Times New Roman"/>
          <w:b/>
          <w:bCs/>
          <w:sz w:val="26"/>
          <w:szCs w:val="26"/>
        </w:rPr>
      </w:pPr>
      <w:r w:rsidRPr="00301C8A">
        <w:rPr>
          <w:rFonts w:ascii="Times New Roman" w:hAnsi="Times New Roman" w:cs="Times New Roman"/>
          <w:b/>
          <w:bCs/>
          <w:sz w:val="26"/>
          <w:szCs w:val="26"/>
        </w:rPr>
        <w:t>#4 Nhu cầu điện năng toàn cầu dự kiến ​​sẽ tăng, nhờ điện khí hóa và trung tâm dữ liệu tại các nước OECD</w:t>
      </w:r>
    </w:p>
    <w:p w14:paraId="2BF725E2" w14:textId="77777777" w:rsidR="00301C8A" w:rsidRPr="004D25FD" w:rsidRDefault="00301C8A" w:rsidP="00301C8A">
      <w:pPr>
        <w:spacing w:before="120" w:after="120"/>
        <w:ind w:left="270"/>
        <w:jc w:val="both"/>
        <w:rPr>
          <w:rFonts w:ascii="Times New Roman" w:hAnsi="Times New Roman" w:cs="Times New Roman"/>
          <w:b/>
          <w:bCs/>
          <w:sz w:val="26"/>
          <w:szCs w:val="26"/>
        </w:rPr>
      </w:pPr>
      <w:r w:rsidRPr="00301C8A">
        <w:rPr>
          <w:rFonts w:ascii="Times New Roman" w:hAnsi="Times New Roman" w:cs="Times New Roman"/>
          <w:sz w:val="26"/>
          <w:szCs w:val="26"/>
        </w:rPr>
        <w:t>#</w:t>
      </w:r>
      <w:r w:rsidRPr="004D25FD">
        <w:rPr>
          <w:rFonts w:ascii="Times New Roman" w:hAnsi="Times New Roman" w:cs="Times New Roman"/>
          <w:b/>
          <w:bCs/>
          <w:sz w:val="26"/>
          <w:szCs w:val="26"/>
        </w:rPr>
        <w:t>5 Các nguồn năng lượng tái tạo đa dạng và phát điện bằng khí đốt có thể sẽ chiếm ưu thế trong nguồn cung cấp điện mới</w:t>
      </w:r>
    </w:p>
    <w:p w14:paraId="43750E31" w14:textId="77777777" w:rsidR="00301C8A" w:rsidRPr="004D25FD" w:rsidRDefault="00301C8A" w:rsidP="00301C8A">
      <w:pPr>
        <w:spacing w:before="120" w:after="120"/>
        <w:ind w:left="270"/>
        <w:jc w:val="both"/>
        <w:rPr>
          <w:rFonts w:ascii="Times New Roman" w:hAnsi="Times New Roman" w:cs="Times New Roman"/>
          <w:b/>
          <w:bCs/>
          <w:sz w:val="26"/>
          <w:szCs w:val="26"/>
        </w:rPr>
      </w:pPr>
      <w:r w:rsidRPr="004D25FD">
        <w:rPr>
          <w:rFonts w:ascii="Times New Roman" w:hAnsi="Times New Roman" w:cs="Times New Roman"/>
          <w:b/>
          <w:bCs/>
          <w:sz w:val="26"/>
          <w:szCs w:val="26"/>
        </w:rPr>
        <w:t>#6 Các nguồn năng lượng sạch, ổn định và công nghệ lưu trữ năng lượng tái tạo có thể sẽ được mở rộng. Các nguồn năng lượng này bao gồm năng lượng hạt nhân, năng lượng địa nhiệt và thủy điện, và các công nghệ lưu trữ này bao gồm pin và lưu trữ năng lượng thủy điện tích năng.</w:t>
      </w:r>
    </w:p>
    <w:p w14:paraId="7CAE4563" w14:textId="77777777" w:rsidR="00301C8A" w:rsidRPr="004D25FD" w:rsidRDefault="00301C8A" w:rsidP="004D25FD">
      <w:pPr>
        <w:spacing w:before="120" w:after="120"/>
        <w:ind w:left="270"/>
        <w:jc w:val="both"/>
        <w:rPr>
          <w:rFonts w:ascii="Times New Roman" w:hAnsi="Times New Roman" w:cs="Times New Roman"/>
          <w:b/>
          <w:bCs/>
          <w:sz w:val="26"/>
          <w:szCs w:val="26"/>
        </w:rPr>
      </w:pPr>
      <w:r w:rsidRPr="004D25FD">
        <w:rPr>
          <w:rFonts w:ascii="Times New Roman" w:hAnsi="Times New Roman" w:cs="Times New Roman"/>
          <w:b/>
          <w:bCs/>
          <w:sz w:val="26"/>
          <w:szCs w:val="26"/>
        </w:rPr>
        <w:lastRenderedPageBreak/>
        <w:t>#7 Một tầm nhìn toàn hệ thống có thể mang lại một con đường nhanh hơn và tiết kiệm chi phí hơn để giảm phát thải trong lĩnh vực năng lượng.</w:t>
      </w:r>
    </w:p>
    <w:p w14:paraId="20AA77EC" w14:textId="77777777" w:rsidR="00301C8A" w:rsidRPr="00301C8A" w:rsidRDefault="00301C8A" w:rsidP="00301C8A">
      <w:pPr>
        <w:spacing w:before="120" w:after="120"/>
        <w:jc w:val="both"/>
        <w:rPr>
          <w:rFonts w:ascii="Times New Roman" w:hAnsi="Times New Roman" w:cs="Times New Roman"/>
          <w:sz w:val="26"/>
          <w:szCs w:val="26"/>
        </w:rPr>
      </w:pPr>
      <w:r w:rsidRPr="00301C8A">
        <w:rPr>
          <w:rFonts w:ascii="Times New Roman" w:hAnsi="Times New Roman" w:cs="Times New Roman"/>
          <w:sz w:val="26"/>
          <w:szCs w:val="26"/>
        </w:rPr>
        <w:t>Mặc dù tính cấp bách vẫn còn, nhưng con đường để đạt được các mục tiêu của Thỏa thuận chung Paris hiện nay phức tạp hơn và phải dựa trên thực tế kinh tế và địa chính trị. Lượng khí thải nhà kính toàn cầu vẫn đang gia tăng, và hành trình hướng tới phi carbon hóa vẫn còn dài.</w:t>
      </w:r>
    </w:p>
    <w:p w14:paraId="46C75BB8" w14:textId="77777777" w:rsidR="00301C8A" w:rsidRPr="00301C8A" w:rsidRDefault="00301C8A" w:rsidP="00301C8A">
      <w:pPr>
        <w:spacing w:before="120" w:after="120"/>
        <w:jc w:val="both"/>
        <w:rPr>
          <w:rFonts w:ascii="Times New Roman" w:hAnsi="Times New Roman" w:cs="Times New Roman"/>
          <w:sz w:val="26"/>
          <w:szCs w:val="26"/>
        </w:rPr>
      </w:pPr>
      <w:r w:rsidRPr="00301C8A">
        <w:rPr>
          <w:rFonts w:ascii="Times New Roman" w:hAnsi="Times New Roman" w:cs="Times New Roman"/>
          <w:sz w:val="26"/>
          <w:szCs w:val="26"/>
        </w:rPr>
        <w:t>…McKinsey &amp; Company giải thích.</w:t>
      </w:r>
    </w:p>
    <w:p w14:paraId="69168A84" w14:textId="63553763" w:rsidR="00301C8A" w:rsidRPr="00301C8A" w:rsidRDefault="00301C8A" w:rsidP="00301C8A">
      <w:pPr>
        <w:spacing w:before="120" w:after="120"/>
        <w:jc w:val="both"/>
        <w:rPr>
          <w:rFonts w:ascii="Times New Roman" w:hAnsi="Times New Roman" w:cs="Times New Roman"/>
          <w:sz w:val="26"/>
          <w:szCs w:val="26"/>
        </w:rPr>
      </w:pPr>
      <w:r w:rsidRPr="00301C8A">
        <w:rPr>
          <w:rFonts w:ascii="Times New Roman" w:hAnsi="Times New Roman" w:cs="Times New Roman"/>
          <w:sz w:val="26"/>
          <w:szCs w:val="26"/>
        </w:rPr>
        <w:t>Khả năng chi trả, an ninh nguồn cung và phi carbon hóa là những ưu tiên trong lĩnh vực năng lượng. Tuy nhiên, sự chậm lại trong tiến trình hướng tới mục tiêu phát thải ròng bằng 0 cho thấy một số bên liên quan hiện đang ưu tiên</w:t>
      </w:r>
      <w:r w:rsidR="004D25FD">
        <w:rPr>
          <w:rFonts w:ascii="Times New Roman" w:hAnsi="Times New Roman" w:cs="Times New Roman"/>
          <w:sz w:val="26"/>
          <w:szCs w:val="26"/>
        </w:rPr>
        <w:t xml:space="preserve"> cho</w:t>
      </w:r>
      <w:r w:rsidRPr="00301C8A">
        <w:rPr>
          <w:rFonts w:ascii="Times New Roman" w:hAnsi="Times New Roman" w:cs="Times New Roman"/>
          <w:sz w:val="26"/>
          <w:szCs w:val="26"/>
        </w:rPr>
        <w:t xml:space="preserve"> khả năng chi trả và an ninh nguồn cung hơn là phi carbon hóa. Điều cũng trở nên rõ ràng trong thập kỷ qua là hành trình phi carbon hóa sẽ không diễn ra một cách tuyến tính, một phần là do nhiều công nghệ cạnh tranh đang cạnh tranh </w:t>
      </w:r>
      <w:r w:rsidR="004D25FD">
        <w:rPr>
          <w:rFonts w:ascii="Times New Roman" w:hAnsi="Times New Roman" w:cs="Times New Roman"/>
          <w:sz w:val="26"/>
          <w:szCs w:val="26"/>
        </w:rPr>
        <w:t xml:space="preserve">nhau </w:t>
      </w:r>
      <w:r w:rsidRPr="00301C8A">
        <w:rPr>
          <w:rFonts w:ascii="Times New Roman" w:hAnsi="Times New Roman" w:cs="Times New Roman"/>
          <w:sz w:val="26"/>
          <w:szCs w:val="26"/>
        </w:rPr>
        <w:t>để đảm nhiệm cùng một vai trò.</w:t>
      </w:r>
    </w:p>
    <w:p w14:paraId="20CCE0A4" w14:textId="77777777" w:rsidR="00301C8A" w:rsidRPr="004D25FD" w:rsidRDefault="00301C8A" w:rsidP="00301C8A">
      <w:pPr>
        <w:spacing w:before="120" w:after="120"/>
        <w:jc w:val="both"/>
        <w:rPr>
          <w:rFonts w:ascii="Times New Roman" w:hAnsi="Times New Roman" w:cs="Times New Roman"/>
          <w:b/>
          <w:bCs/>
          <w:sz w:val="26"/>
          <w:szCs w:val="26"/>
        </w:rPr>
      </w:pPr>
      <w:r w:rsidRPr="004D25FD">
        <w:rPr>
          <w:rFonts w:ascii="Times New Roman" w:hAnsi="Times New Roman" w:cs="Times New Roman"/>
          <w:b/>
          <w:bCs/>
          <w:sz w:val="26"/>
          <w:szCs w:val="26"/>
        </w:rPr>
        <w:t>Nhiên liệu hóa thạch</w:t>
      </w:r>
    </w:p>
    <w:p w14:paraId="6ED2C2A0" w14:textId="3C0995EE" w:rsidR="00301C8A" w:rsidRPr="00301C8A" w:rsidRDefault="00301C8A" w:rsidP="00301C8A">
      <w:pPr>
        <w:spacing w:before="120" w:after="120"/>
        <w:jc w:val="both"/>
        <w:rPr>
          <w:rFonts w:ascii="Times New Roman" w:hAnsi="Times New Roman" w:cs="Times New Roman"/>
          <w:sz w:val="26"/>
          <w:szCs w:val="26"/>
        </w:rPr>
      </w:pPr>
      <w:r w:rsidRPr="00301C8A">
        <w:rPr>
          <w:rFonts w:ascii="Times New Roman" w:hAnsi="Times New Roman" w:cs="Times New Roman"/>
          <w:sz w:val="26"/>
          <w:szCs w:val="26"/>
        </w:rPr>
        <w:t xml:space="preserve">Một phát hiện quan trọng từ phân tích năm nay là, tùy </w:t>
      </w:r>
      <w:r w:rsidR="004D25FD">
        <w:rPr>
          <w:rFonts w:ascii="Times New Roman" w:hAnsi="Times New Roman" w:cs="Times New Roman"/>
          <w:sz w:val="26"/>
          <w:szCs w:val="26"/>
        </w:rPr>
        <w:t>theo</w:t>
      </w:r>
      <w:r w:rsidRPr="00301C8A">
        <w:rPr>
          <w:rFonts w:ascii="Times New Roman" w:hAnsi="Times New Roman" w:cs="Times New Roman"/>
          <w:sz w:val="26"/>
          <w:szCs w:val="26"/>
        </w:rPr>
        <w:t xml:space="preserve"> kịch bản, nhiên liệu hóa thạch dự kiến ​​</w:t>
      </w:r>
      <w:r w:rsidR="004D25FD">
        <w:rPr>
          <w:rFonts w:ascii="Times New Roman" w:hAnsi="Times New Roman" w:cs="Times New Roman"/>
          <w:sz w:val="26"/>
          <w:szCs w:val="26"/>
        </w:rPr>
        <w:t>vẫn</w:t>
      </w:r>
      <w:r w:rsidRPr="00301C8A">
        <w:rPr>
          <w:rFonts w:ascii="Times New Roman" w:hAnsi="Times New Roman" w:cs="Times New Roman"/>
          <w:sz w:val="26"/>
          <w:szCs w:val="26"/>
        </w:rPr>
        <w:t xml:space="preserve"> chiếm khoảng 41 đến 55% mức tiêu thụ năng lượng toàn cầu vào năm 2050. Mặc dù con số này giảm so với mức 64% hiện nay, nhưng vẫn cao hơn so với dự báo trước đây của chúng tôi cho năm 2050. Khoảng </w:t>
      </w:r>
      <w:r w:rsidR="004D25FD">
        <w:rPr>
          <w:rFonts w:ascii="Times New Roman" w:hAnsi="Times New Roman" w:cs="Times New Roman"/>
          <w:sz w:val="26"/>
          <w:szCs w:val="26"/>
        </w:rPr>
        <w:t xml:space="preserve">cách </w:t>
      </w:r>
      <w:r w:rsidRPr="00301C8A">
        <w:rPr>
          <w:rFonts w:ascii="Times New Roman" w:hAnsi="Times New Roman" w:cs="Times New Roman"/>
          <w:sz w:val="26"/>
          <w:szCs w:val="26"/>
        </w:rPr>
        <w:t xml:space="preserve">này thể hiện lượng tuyệt đối cao hơn của các loại nhiên liệu này, xét đến sự tăng trưởng </w:t>
      </w:r>
      <w:r w:rsidR="004D25FD">
        <w:rPr>
          <w:rFonts w:ascii="Times New Roman" w:hAnsi="Times New Roman" w:cs="Times New Roman"/>
          <w:sz w:val="26"/>
          <w:szCs w:val="26"/>
        </w:rPr>
        <w:t xml:space="preserve">về </w:t>
      </w:r>
      <w:r w:rsidRPr="00301C8A">
        <w:rPr>
          <w:rFonts w:ascii="Times New Roman" w:hAnsi="Times New Roman" w:cs="Times New Roman"/>
          <w:sz w:val="26"/>
          <w:szCs w:val="26"/>
        </w:rPr>
        <w:t>nhu cầu năng lượng.</w:t>
      </w:r>
    </w:p>
    <w:p w14:paraId="2681662B" w14:textId="77777777" w:rsidR="00301C8A" w:rsidRPr="004D25FD" w:rsidRDefault="00301C8A" w:rsidP="00301C8A">
      <w:pPr>
        <w:spacing w:before="120" w:after="120"/>
        <w:jc w:val="both"/>
        <w:rPr>
          <w:rFonts w:ascii="Times New Roman" w:hAnsi="Times New Roman" w:cs="Times New Roman"/>
          <w:b/>
          <w:bCs/>
          <w:sz w:val="26"/>
          <w:szCs w:val="26"/>
        </w:rPr>
      </w:pPr>
      <w:r w:rsidRPr="004D25FD">
        <w:rPr>
          <w:rFonts w:ascii="Times New Roman" w:hAnsi="Times New Roman" w:cs="Times New Roman"/>
          <w:b/>
          <w:bCs/>
          <w:sz w:val="26"/>
          <w:szCs w:val="26"/>
        </w:rPr>
        <w:t>Nhu cầu nhiên liệu dự kiến</w:t>
      </w:r>
    </w:p>
    <w:p w14:paraId="4D3944C8" w14:textId="20267D9C" w:rsidR="00301C8A" w:rsidRPr="00301C8A" w:rsidRDefault="00301C8A" w:rsidP="00301C8A">
      <w:pPr>
        <w:spacing w:before="120" w:after="120"/>
        <w:jc w:val="both"/>
        <w:rPr>
          <w:rFonts w:ascii="Times New Roman" w:hAnsi="Times New Roman" w:cs="Times New Roman"/>
          <w:sz w:val="26"/>
          <w:szCs w:val="26"/>
        </w:rPr>
      </w:pPr>
      <w:r w:rsidRPr="00301C8A">
        <w:rPr>
          <w:rFonts w:ascii="Times New Roman" w:hAnsi="Times New Roman" w:cs="Times New Roman"/>
          <w:sz w:val="26"/>
          <w:szCs w:val="26"/>
        </w:rPr>
        <w:t>Việc sử dụng dầu trong hàng hải và công nghiệp được dự báo sẽ giảm khi các ngành này chuyển từ nhiên liệu gốc dầu sang khí tự nhiên, nhiên liệu bền vững hoặc điện khí hóa sau khoảng năm 2040. Những thay đổi này chủ yếu được thúc đẩy bởi các quy định</w:t>
      </w:r>
      <w:r w:rsidR="004D25FD">
        <w:rPr>
          <w:rFonts w:ascii="Times New Roman" w:hAnsi="Times New Roman" w:cs="Times New Roman"/>
          <w:sz w:val="26"/>
          <w:szCs w:val="26"/>
        </w:rPr>
        <w:t xml:space="preserve"> pháp lý</w:t>
      </w:r>
      <w:r w:rsidRPr="00301C8A">
        <w:rPr>
          <w:rFonts w:ascii="Times New Roman" w:hAnsi="Times New Roman" w:cs="Times New Roman"/>
          <w:sz w:val="26"/>
          <w:szCs w:val="26"/>
        </w:rPr>
        <w:t xml:space="preserve">. Việc sử dụng dầu của ngành điện có thể sẽ tiếp tục giảm theo sự chuyển dịch lịch sử sang khí tự nhiên, tiến tới ngừng sử dụng </w:t>
      </w:r>
      <w:r w:rsidR="004D25FD">
        <w:rPr>
          <w:rFonts w:ascii="Times New Roman" w:hAnsi="Times New Roman" w:cs="Times New Roman"/>
          <w:sz w:val="26"/>
          <w:szCs w:val="26"/>
        </w:rPr>
        <w:t xml:space="preserve">dầu </w:t>
      </w:r>
      <w:r w:rsidRPr="00301C8A">
        <w:rPr>
          <w:rFonts w:ascii="Times New Roman" w:hAnsi="Times New Roman" w:cs="Times New Roman"/>
          <w:sz w:val="26"/>
          <w:szCs w:val="26"/>
        </w:rPr>
        <w:t>vào khoảng năm 2035.</w:t>
      </w:r>
    </w:p>
    <w:p w14:paraId="2910793C" w14:textId="77777777" w:rsidR="00301C8A" w:rsidRPr="004D25FD" w:rsidRDefault="00301C8A" w:rsidP="00301C8A">
      <w:pPr>
        <w:spacing w:before="120" w:after="120"/>
        <w:jc w:val="both"/>
        <w:rPr>
          <w:rFonts w:ascii="Times New Roman" w:hAnsi="Times New Roman" w:cs="Times New Roman"/>
          <w:b/>
          <w:bCs/>
          <w:sz w:val="26"/>
          <w:szCs w:val="26"/>
        </w:rPr>
      </w:pPr>
      <w:r w:rsidRPr="004D25FD">
        <w:rPr>
          <w:rFonts w:ascii="Times New Roman" w:hAnsi="Times New Roman" w:cs="Times New Roman"/>
          <w:b/>
          <w:bCs/>
          <w:sz w:val="26"/>
          <w:szCs w:val="26"/>
        </w:rPr>
        <w:t>Hydro sạch</w:t>
      </w:r>
    </w:p>
    <w:p w14:paraId="1866AD39" w14:textId="27F8E9C3" w:rsidR="00301C8A" w:rsidRDefault="00301C8A" w:rsidP="00301C8A">
      <w:pPr>
        <w:spacing w:before="120" w:after="120"/>
        <w:jc w:val="both"/>
        <w:rPr>
          <w:rFonts w:ascii="Times New Roman" w:hAnsi="Times New Roman" w:cs="Times New Roman"/>
          <w:sz w:val="26"/>
          <w:szCs w:val="26"/>
        </w:rPr>
      </w:pPr>
      <w:r w:rsidRPr="00301C8A">
        <w:rPr>
          <w:rFonts w:ascii="Times New Roman" w:hAnsi="Times New Roman" w:cs="Times New Roman"/>
          <w:sz w:val="26"/>
          <w:szCs w:val="26"/>
        </w:rPr>
        <w:t>Hydro sạch hiện chưa có khả năng cạnh tranh về chi phí ở quy mô lớn, do đó dự kiến ​​sẽ đóng vai trò hạn chế trong cơ cấu năng lượng trong mọi kịch bản. Thực tế</w:t>
      </w:r>
      <w:r w:rsidR="004D25FD">
        <w:rPr>
          <w:rFonts w:ascii="Times New Roman" w:hAnsi="Times New Roman" w:cs="Times New Roman"/>
          <w:sz w:val="26"/>
          <w:szCs w:val="26"/>
        </w:rPr>
        <w:t xml:space="preserve"> là</w:t>
      </w:r>
      <w:r w:rsidRPr="00301C8A">
        <w:rPr>
          <w:rFonts w:ascii="Times New Roman" w:hAnsi="Times New Roman" w:cs="Times New Roman"/>
          <w:sz w:val="26"/>
          <w:szCs w:val="26"/>
        </w:rPr>
        <w:t xml:space="preserve"> không có gì chắc chắn về việc hoàn thành các dự án hydro sạch trong </w:t>
      </w:r>
      <w:r w:rsidR="004D25FD">
        <w:rPr>
          <w:rFonts w:ascii="Times New Roman" w:hAnsi="Times New Roman" w:cs="Times New Roman"/>
          <w:sz w:val="26"/>
          <w:szCs w:val="26"/>
        </w:rPr>
        <w:t>10</w:t>
      </w:r>
      <w:r w:rsidRPr="00301C8A">
        <w:rPr>
          <w:rFonts w:ascii="Times New Roman" w:hAnsi="Times New Roman" w:cs="Times New Roman"/>
          <w:sz w:val="26"/>
          <w:szCs w:val="26"/>
        </w:rPr>
        <w:t xml:space="preserve"> năm tới. Việc </w:t>
      </w:r>
      <w:r w:rsidR="004D25FD">
        <w:rPr>
          <w:rFonts w:ascii="Times New Roman" w:hAnsi="Times New Roman" w:cs="Times New Roman"/>
          <w:sz w:val="26"/>
          <w:szCs w:val="26"/>
        </w:rPr>
        <w:t>sử</w:t>
      </w:r>
      <w:r w:rsidRPr="00301C8A">
        <w:rPr>
          <w:rFonts w:ascii="Times New Roman" w:hAnsi="Times New Roman" w:cs="Times New Roman"/>
          <w:sz w:val="26"/>
          <w:szCs w:val="26"/>
        </w:rPr>
        <w:t xml:space="preserve"> dụng </w:t>
      </w:r>
      <w:r w:rsidR="004D25FD">
        <w:rPr>
          <w:rFonts w:ascii="Times New Roman" w:hAnsi="Times New Roman" w:cs="Times New Roman"/>
          <w:sz w:val="26"/>
          <w:szCs w:val="26"/>
        </w:rPr>
        <w:t xml:space="preserve">hydro </w:t>
      </w:r>
      <w:r w:rsidRPr="00301C8A">
        <w:rPr>
          <w:rFonts w:ascii="Times New Roman" w:hAnsi="Times New Roman" w:cs="Times New Roman"/>
          <w:sz w:val="26"/>
          <w:szCs w:val="26"/>
        </w:rPr>
        <w:t>ở quy mô lớn có thể sẽ bắt đầu trong lĩnh vực vận tải (xe tải hạng nặng hoặc hàng không) và sản xuất sắt thép, đặc biệt là ở các khu vực có chính sách định giá carbon và khuyến khích sản xuất tại địa phương.</w:t>
      </w:r>
    </w:p>
    <w:p w14:paraId="392C9FA1" w14:textId="77777777" w:rsidR="004D25FD" w:rsidRPr="004D25FD" w:rsidRDefault="004D25FD" w:rsidP="004D25FD">
      <w:pPr>
        <w:spacing w:before="120" w:after="120"/>
        <w:jc w:val="both"/>
        <w:rPr>
          <w:rFonts w:ascii="Times New Roman" w:hAnsi="Times New Roman" w:cs="Times New Roman"/>
          <w:b/>
          <w:bCs/>
          <w:sz w:val="26"/>
          <w:szCs w:val="26"/>
        </w:rPr>
      </w:pPr>
      <w:r w:rsidRPr="004D25FD">
        <w:rPr>
          <w:rFonts w:ascii="Times New Roman" w:hAnsi="Times New Roman" w:cs="Times New Roman"/>
          <w:b/>
          <w:bCs/>
          <w:sz w:val="26"/>
          <w:szCs w:val="26"/>
        </w:rPr>
        <w:t>Các loại nhiên liệu bền vững khác</w:t>
      </w:r>
    </w:p>
    <w:p w14:paraId="7FF4B90E" w14:textId="03AA99A6" w:rsidR="004D25FD" w:rsidRPr="004D25FD" w:rsidRDefault="004D25FD" w:rsidP="004D25FD">
      <w:pPr>
        <w:spacing w:before="120" w:after="120"/>
        <w:jc w:val="both"/>
        <w:rPr>
          <w:rFonts w:ascii="Times New Roman" w:hAnsi="Times New Roman" w:cs="Times New Roman"/>
          <w:sz w:val="26"/>
          <w:szCs w:val="26"/>
        </w:rPr>
      </w:pPr>
      <w:r w:rsidRPr="004D25FD">
        <w:rPr>
          <w:rFonts w:ascii="Times New Roman" w:hAnsi="Times New Roman" w:cs="Times New Roman"/>
          <w:sz w:val="26"/>
          <w:szCs w:val="26"/>
        </w:rPr>
        <w:t xml:space="preserve">Các loại nhiên liệu bền vững khác, cả nhiên liệu sinh học và nhiên liệu tổng hợp, sẽ cạnh tranh nhau về chi phí. Nhu cầu nhiên liệu bền vững dự kiến ​​sẽ tăng lên khoảng 600 triệu tấn mỗi năm vào năm 2050, nhờ các biện pháp quản lý - ví dụ như Chỉ thị </w:t>
      </w:r>
      <w:r>
        <w:rPr>
          <w:rFonts w:ascii="Times New Roman" w:hAnsi="Times New Roman" w:cs="Times New Roman"/>
          <w:sz w:val="26"/>
          <w:szCs w:val="26"/>
        </w:rPr>
        <w:t xml:space="preserve">về </w:t>
      </w:r>
      <w:r w:rsidRPr="004D25FD">
        <w:rPr>
          <w:rFonts w:ascii="Times New Roman" w:hAnsi="Times New Roman" w:cs="Times New Roman"/>
          <w:sz w:val="26"/>
          <w:szCs w:val="26"/>
        </w:rPr>
        <w:t xml:space="preserve">Năng lượng Tái tạo </w:t>
      </w:r>
      <w:r w:rsidRPr="004D25FD">
        <w:rPr>
          <w:rFonts w:ascii="Times New Roman" w:hAnsi="Times New Roman" w:cs="Times New Roman"/>
          <w:sz w:val="26"/>
          <w:szCs w:val="26"/>
        </w:rPr>
        <w:lastRenderedPageBreak/>
        <w:t>sửa đổi</w:t>
      </w:r>
      <w:r>
        <w:rPr>
          <w:rFonts w:ascii="Times New Roman" w:hAnsi="Times New Roman" w:cs="Times New Roman"/>
          <w:sz w:val="26"/>
          <w:szCs w:val="26"/>
        </w:rPr>
        <w:t xml:space="preserve"> của EU</w:t>
      </w:r>
      <w:r w:rsidRPr="004D25FD">
        <w:rPr>
          <w:rFonts w:ascii="Times New Roman" w:hAnsi="Times New Roman" w:cs="Times New Roman"/>
          <w:sz w:val="26"/>
          <w:szCs w:val="26"/>
        </w:rPr>
        <w:t xml:space="preserve">, Quy định Hàng hải FuelEU và Chương trình Mã số Nhận dạng Năng lượng Tái tạo của </w:t>
      </w:r>
      <w:r>
        <w:rPr>
          <w:rFonts w:ascii="Times New Roman" w:hAnsi="Times New Roman" w:cs="Times New Roman"/>
          <w:sz w:val="26"/>
          <w:szCs w:val="26"/>
        </w:rPr>
        <w:t>Mỹ</w:t>
      </w:r>
      <w:r w:rsidRPr="004D25FD">
        <w:rPr>
          <w:rFonts w:ascii="Times New Roman" w:hAnsi="Times New Roman" w:cs="Times New Roman"/>
          <w:sz w:val="26"/>
          <w:szCs w:val="26"/>
        </w:rPr>
        <w:t>.</w:t>
      </w:r>
    </w:p>
    <w:p w14:paraId="6A6C388F" w14:textId="08351E5C" w:rsidR="004D25FD" w:rsidRPr="004D25FD" w:rsidRDefault="004D25FD" w:rsidP="004D25FD">
      <w:pPr>
        <w:spacing w:before="120" w:after="120"/>
        <w:jc w:val="both"/>
        <w:rPr>
          <w:rFonts w:ascii="Times New Roman" w:hAnsi="Times New Roman" w:cs="Times New Roman"/>
          <w:sz w:val="26"/>
          <w:szCs w:val="26"/>
        </w:rPr>
      </w:pPr>
      <w:r w:rsidRPr="004D25FD">
        <w:rPr>
          <w:rFonts w:ascii="Times New Roman" w:hAnsi="Times New Roman" w:cs="Times New Roman"/>
          <w:sz w:val="26"/>
          <w:szCs w:val="26"/>
        </w:rPr>
        <w:t xml:space="preserve">Sự tăng trưởng này sẽ thúc đẩy một sự thay đổi lớn trong cơ cấu nhiên liệu: nhu cầu về metyl este axit béo (FAME) và ethanol sẽ tăng ở các nước Châu Á - Thái Bình Dương và Mỹ Latinh. Các loại nhiên liệu thay thế tiên tiến sẽ là cần thiết để </w:t>
      </w:r>
      <w:r>
        <w:rPr>
          <w:rFonts w:ascii="Times New Roman" w:hAnsi="Times New Roman" w:cs="Times New Roman"/>
          <w:sz w:val="26"/>
          <w:szCs w:val="26"/>
        </w:rPr>
        <w:t>loại bỏ khí thải</w:t>
      </w:r>
      <w:r w:rsidRPr="004D25FD">
        <w:rPr>
          <w:rFonts w:ascii="Times New Roman" w:hAnsi="Times New Roman" w:cs="Times New Roman"/>
          <w:sz w:val="26"/>
          <w:szCs w:val="26"/>
        </w:rPr>
        <w:t xml:space="preserve"> cacbon cho đội tàu cũ sử dụng động cơ đốt trong và sẽ thay thế nhiên liệu hóa thạch trong các lĩnh vực hàng không, công nghiệp và hàng hải. Tuy nhiên, nếu không có các quy định </w:t>
      </w:r>
      <w:r>
        <w:rPr>
          <w:rFonts w:ascii="Times New Roman" w:hAnsi="Times New Roman" w:cs="Times New Roman"/>
          <w:sz w:val="26"/>
          <w:szCs w:val="26"/>
        </w:rPr>
        <w:t xml:space="preserve">mang tính </w:t>
      </w:r>
      <w:r w:rsidRPr="004D25FD">
        <w:rPr>
          <w:rFonts w:ascii="Times New Roman" w:hAnsi="Times New Roman" w:cs="Times New Roman"/>
          <w:sz w:val="26"/>
          <w:szCs w:val="26"/>
        </w:rPr>
        <w:t>bắt buộc</w:t>
      </w:r>
      <w:r>
        <w:rPr>
          <w:rFonts w:ascii="Times New Roman" w:hAnsi="Times New Roman" w:cs="Times New Roman"/>
          <w:sz w:val="26"/>
          <w:szCs w:val="26"/>
        </w:rPr>
        <w:t xml:space="preserve"> thì</w:t>
      </w:r>
      <w:r w:rsidRPr="004D25FD">
        <w:rPr>
          <w:rFonts w:ascii="Times New Roman" w:hAnsi="Times New Roman" w:cs="Times New Roman"/>
          <w:sz w:val="26"/>
          <w:szCs w:val="26"/>
        </w:rPr>
        <w:t xml:space="preserve"> nhiên liệu bền vững khó có thể được </w:t>
      </w:r>
      <w:r>
        <w:rPr>
          <w:rFonts w:ascii="Times New Roman" w:hAnsi="Times New Roman" w:cs="Times New Roman"/>
          <w:sz w:val="26"/>
          <w:szCs w:val="26"/>
        </w:rPr>
        <w:t>sử</w:t>
      </w:r>
      <w:r w:rsidRPr="004D25FD">
        <w:rPr>
          <w:rFonts w:ascii="Times New Roman" w:hAnsi="Times New Roman" w:cs="Times New Roman"/>
          <w:sz w:val="26"/>
          <w:szCs w:val="26"/>
        </w:rPr>
        <w:t xml:space="preserve"> dụng rộng rãi trước năm 2040.</w:t>
      </w:r>
    </w:p>
    <w:p w14:paraId="54C2A422" w14:textId="77777777" w:rsidR="004D25FD" w:rsidRPr="004D25FD" w:rsidRDefault="004D25FD" w:rsidP="004D25FD">
      <w:pPr>
        <w:spacing w:before="120" w:after="120"/>
        <w:jc w:val="both"/>
        <w:rPr>
          <w:rFonts w:ascii="Times New Roman" w:hAnsi="Times New Roman" w:cs="Times New Roman"/>
          <w:b/>
          <w:bCs/>
          <w:sz w:val="26"/>
          <w:szCs w:val="26"/>
        </w:rPr>
      </w:pPr>
      <w:r w:rsidRPr="004D25FD">
        <w:rPr>
          <w:rFonts w:ascii="Times New Roman" w:hAnsi="Times New Roman" w:cs="Times New Roman"/>
          <w:b/>
          <w:bCs/>
          <w:sz w:val="26"/>
          <w:szCs w:val="26"/>
        </w:rPr>
        <w:t>Xu hướng điện khí hóa dự kiến</w:t>
      </w:r>
    </w:p>
    <w:p w14:paraId="4A1F928E" w14:textId="77777777" w:rsidR="004D25FD" w:rsidRPr="004D25FD" w:rsidRDefault="004D25FD" w:rsidP="004D25FD">
      <w:pPr>
        <w:spacing w:before="120" w:after="120"/>
        <w:jc w:val="both"/>
        <w:rPr>
          <w:rFonts w:ascii="Times New Roman" w:hAnsi="Times New Roman" w:cs="Times New Roman"/>
          <w:sz w:val="26"/>
          <w:szCs w:val="26"/>
        </w:rPr>
      </w:pPr>
      <w:r w:rsidRPr="004D25FD">
        <w:rPr>
          <w:rFonts w:ascii="Times New Roman" w:hAnsi="Times New Roman" w:cs="Times New Roman"/>
          <w:sz w:val="26"/>
          <w:szCs w:val="26"/>
        </w:rPr>
        <w:t>Trên khắp các khu vực, nhu cầu điện tăng trưởng chủ yếu vẫn do các ngành công nghiệp và xây dựng thúc đẩy, dự kiến ​​sẽ tăng trưởng từ 20 đến 40% so với mức hiện tại vào năm 2050. Ở tất cả các khu vực, ngoại trừ Trung Quốc, điện khí hóa dự kiến ​​sẽ tăng tốc sau năm 2030, với Châu Âu và Bắc Mỹ có thể đạt mức tương tự như Trung Quốc vào năm 2050.</w:t>
      </w:r>
    </w:p>
    <w:p w14:paraId="38462222" w14:textId="4FA3624C" w:rsidR="004D25FD" w:rsidRPr="004D25FD" w:rsidRDefault="004D25FD" w:rsidP="004D25FD">
      <w:pPr>
        <w:spacing w:before="120" w:after="120"/>
        <w:jc w:val="both"/>
        <w:rPr>
          <w:rFonts w:ascii="Times New Roman" w:hAnsi="Times New Roman" w:cs="Times New Roman"/>
          <w:sz w:val="26"/>
          <w:szCs w:val="26"/>
        </w:rPr>
      </w:pPr>
      <w:r w:rsidRPr="004D25FD">
        <w:rPr>
          <w:rFonts w:ascii="Times New Roman" w:hAnsi="Times New Roman" w:cs="Times New Roman"/>
          <w:sz w:val="26"/>
          <w:szCs w:val="26"/>
        </w:rPr>
        <w:t xml:space="preserve">Hơn nữa, giao thông vận tải đã trở thành nguồn tiêu thụ điện lớn hơn, chủ yếu là do sự gia tăng sử dụng xe điện chở khách. Các trung tâm </w:t>
      </w:r>
      <w:r>
        <w:rPr>
          <w:rFonts w:ascii="Times New Roman" w:hAnsi="Times New Roman" w:cs="Times New Roman"/>
          <w:sz w:val="26"/>
          <w:szCs w:val="26"/>
        </w:rPr>
        <w:t xml:space="preserve">lưu trữ </w:t>
      </w:r>
      <w:r w:rsidRPr="004D25FD">
        <w:rPr>
          <w:rFonts w:ascii="Times New Roman" w:hAnsi="Times New Roman" w:cs="Times New Roman"/>
          <w:sz w:val="26"/>
          <w:szCs w:val="26"/>
        </w:rPr>
        <w:t xml:space="preserve">dữ liệu cũng đang phát triển thành một lĩnh vực </w:t>
      </w:r>
      <w:r>
        <w:rPr>
          <w:rFonts w:ascii="Times New Roman" w:hAnsi="Times New Roman" w:cs="Times New Roman"/>
          <w:sz w:val="26"/>
          <w:szCs w:val="26"/>
        </w:rPr>
        <w:t xml:space="preserve">làm </w:t>
      </w:r>
      <w:r w:rsidRPr="004D25FD">
        <w:rPr>
          <w:rFonts w:ascii="Times New Roman" w:hAnsi="Times New Roman" w:cs="Times New Roman"/>
          <w:sz w:val="26"/>
          <w:szCs w:val="26"/>
        </w:rPr>
        <w:t xml:space="preserve">tăng trưởng nhu cầu </w:t>
      </w:r>
      <w:r>
        <w:rPr>
          <w:rFonts w:ascii="Times New Roman" w:hAnsi="Times New Roman" w:cs="Times New Roman"/>
          <w:sz w:val="26"/>
          <w:szCs w:val="26"/>
        </w:rPr>
        <w:t xml:space="preserve">về </w:t>
      </w:r>
      <w:r w:rsidRPr="004D25FD">
        <w:rPr>
          <w:rFonts w:ascii="Times New Roman" w:hAnsi="Times New Roman" w:cs="Times New Roman"/>
          <w:sz w:val="26"/>
          <w:szCs w:val="26"/>
        </w:rPr>
        <w:t xml:space="preserve">điện, đặc biệt là ở </w:t>
      </w:r>
      <w:r>
        <w:rPr>
          <w:rFonts w:ascii="Times New Roman" w:hAnsi="Times New Roman" w:cs="Times New Roman"/>
          <w:sz w:val="26"/>
          <w:szCs w:val="26"/>
        </w:rPr>
        <w:t>Mỹ</w:t>
      </w:r>
      <w:r w:rsidRPr="004D25FD">
        <w:rPr>
          <w:rFonts w:ascii="Times New Roman" w:hAnsi="Times New Roman" w:cs="Times New Roman"/>
          <w:sz w:val="26"/>
          <w:szCs w:val="26"/>
        </w:rPr>
        <w:t>. Một phần nhờ những động lực mới này, nhu cầu điện vào năm 2050 có thể gấp đôi mức năm 2023.</w:t>
      </w:r>
    </w:p>
    <w:p w14:paraId="7033D403" w14:textId="69B11793" w:rsidR="004D25FD" w:rsidRPr="004D25FD" w:rsidRDefault="004D25FD" w:rsidP="004D25FD">
      <w:pPr>
        <w:spacing w:before="120" w:after="120"/>
        <w:jc w:val="both"/>
        <w:rPr>
          <w:rFonts w:ascii="Times New Roman" w:hAnsi="Times New Roman" w:cs="Times New Roman"/>
          <w:sz w:val="26"/>
          <w:szCs w:val="26"/>
        </w:rPr>
      </w:pPr>
      <w:r w:rsidRPr="004D25FD">
        <w:rPr>
          <w:rFonts w:ascii="Times New Roman" w:hAnsi="Times New Roman" w:cs="Times New Roman"/>
          <w:sz w:val="26"/>
          <w:szCs w:val="26"/>
        </w:rPr>
        <w:t xml:space="preserve">Mặc dù một số lĩnh vực dường như đang đạt được những tiến bộ không thể đảo ngược hướng tới quá trình </w:t>
      </w:r>
      <w:r>
        <w:rPr>
          <w:rFonts w:ascii="Times New Roman" w:hAnsi="Times New Roman" w:cs="Times New Roman"/>
          <w:sz w:val="26"/>
          <w:szCs w:val="26"/>
        </w:rPr>
        <w:t>loại bỏ khí thải</w:t>
      </w:r>
      <w:r w:rsidRPr="004D25FD">
        <w:rPr>
          <w:rFonts w:ascii="Times New Roman" w:hAnsi="Times New Roman" w:cs="Times New Roman"/>
          <w:sz w:val="26"/>
          <w:szCs w:val="26"/>
        </w:rPr>
        <w:t xml:space="preserve"> cacbon, nhưng những lĩnh vực khác sẽ không thể tiến triển nếu không có các quy định </w:t>
      </w:r>
      <w:r>
        <w:rPr>
          <w:rFonts w:ascii="Times New Roman" w:hAnsi="Times New Roman" w:cs="Times New Roman"/>
          <w:sz w:val="26"/>
          <w:szCs w:val="26"/>
        </w:rPr>
        <w:t xml:space="preserve">mang tính </w:t>
      </w:r>
      <w:r w:rsidRPr="004D25FD">
        <w:rPr>
          <w:rFonts w:ascii="Times New Roman" w:hAnsi="Times New Roman" w:cs="Times New Roman"/>
          <w:sz w:val="26"/>
          <w:szCs w:val="26"/>
        </w:rPr>
        <w:t>bắt buộc của chính phủ hoặc việc cắt giảm chi phí đáng kể. Hành trình hướng tới phi carbon hóa vẫn còn dài, nhưng vẫn còn nhiều cơ hội để các bên liên quan trong lĩnh vực năng lượng hành động ngay bây giờ và đẩy nhanh tiến độ.</w:t>
      </w:r>
    </w:p>
    <w:p w14:paraId="3AFB4393" w14:textId="73512BE0" w:rsidR="004D25FD" w:rsidRPr="00301C8A" w:rsidRDefault="004D25FD" w:rsidP="004D25FD">
      <w:pPr>
        <w:spacing w:before="120" w:after="120"/>
        <w:jc w:val="both"/>
        <w:rPr>
          <w:rFonts w:ascii="Times New Roman" w:hAnsi="Times New Roman" w:cs="Times New Roman"/>
          <w:sz w:val="26"/>
          <w:szCs w:val="26"/>
        </w:rPr>
      </w:pPr>
      <w:r w:rsidRPr="004D25FD">
        <w:rPr>
          <w:rFonts w:ascii="Times New Roman" w:hAnsi="Times New Roman" w:cs="Times New Roman"/>
          <w:sz w:val="26"/>
          <w:szCs w:val="26"/>
        </w:rPr>
        <w:t>…ông Humayun Tai, Đồng lãnh đạo Bộ phận Năng lượng &amp; Vật liệu kiêm Đối tác Cấp cao tại New York, McKinsey &amp; Company, cho biết.</w:t>
      </w:r>
    </w:p>
    <w:p w14:paraId="66F21CD2" w14:textId="0C0BD569" w:rsidR="00C13E10" w:rsidRDefault="0094281B" w:rsidP="0094281B">
      <w:pPr>
        <w:jc w:val="center"/>
      </w:pPr>
      <w:r>
        <w:t>--------------------------------------------</w:t>
      </w:r>
    </w:p>
    <w:sectPr w:rsidR="00C13E10" w:rsidSect="004D25FD">
      <w:pgSz w:w="12240" w:h="15840"/>
      <w:pgMar w:top="990" w:right="117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C8A"/>
    <w:rsid w:val="000501D0"/>
    <w:rsid w:val="00301C8A"/>
    <w:rsid w:val="004D25FD"/>
    <w:rsid w:val="005416E3"/>
    <w:rsid w:val="0094281B"/>
    <w:rsid w:val="00AF3C63"/>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FD02F"/>
  <w15:chartTrackingRefBased/>
  <w15:docId w15:val="{3AD17488-1F07-4C3D-9AE5-2C5D74FA3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C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C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C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C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C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C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C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C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C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C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C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C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C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C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C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C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C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C8A"/>
    <w:rPr>
      <w:rFonts w:eastAsiaTheme="majorEastAsia" w:cstheme="majorBidi"/>
      <w:color w:val="272727" w:themeColor="text1" w:themeTint="D8"/>
    </w:rPr>
  </w:style>
  <w:style w:type="paragraph" w:styleId="Title">
    <w:name w:val="Title"/>
    <w:basedOn w:val="Normal"/>
    <w:next w:val="Normal"/>
    <w:link w:val="TitleChar"/>
    <w:uiPriority w:val="10"/>
    <w:qFormat/>
    <w:rsid w:val="00301C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C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C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C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C8A"/>
    <w:pPr>
      <w:spacing w:before="160"/>
      <w:jc w:val="center"/>
    </w:pPr>
    <w:rPr>
      <w:i/>
      <w:iCs/>
      <w:color w:val="404040" w:themeColor="text1" w:themeTint="BF"/>
    </w:rPr>
  </w:style>
  <w:style w:type="character" w:customStyle="1" w:styleId="QuoteChar">
    <w:name w:val="Quote Char"/>
    <w:basedOn w:val="DefaultParagraphFont"/>
    <w:link w:val="Quote"/>
    <w:uiPriority w:val="29"/>
    <w:rsid w:val="00301C8A"/>
    <w:rPr>
      <w:i/>
      <w:iCs/>
      <w:color w:val="404040" w:themeColor="text1" w:themeTint="BF"/>
    </w:rPr>
  </w:style>
  <w:style w:type="paragraph" w:styleId="ListParagraph">
    <w:name w:val="List Paragraph"/>
    <w:basedOn w:val="Normal"/>
    <w:uiPriority w:val="34"/>
    <w:qFormat/>
    <w:rsid w:val="00301C8A"/>
    <w:pPr>
      <w:ind w:left="720"/>
      <w:contextualSpacing/>
    </w:pPr>
  </w:style>
  <w:style w:type="character" w:styleId="IntenseEmphasis">
    <w:name w:val="Intense Emphasis"/>
    <w:basedOn w:val="DefaultParagraphFont"/>
    <w:uiPriority w:val="21"/>
    <w:qFormat/>
    <w:rsid w:val="00301C8A"/>
    <w:rPr>
      <w:i/>
      <w:iCs/>
      <w:color w:val="0F4761" w:themeColor="accent1" w:themeShade="BF"/>
    </w:rPr>
  </w:style>
  <w:style w:type="paragraph" w:styleId="IntenseQuote">
    <w:name w:val="Intense Quote"/>
    <w:basedOn w:val="Normal"/>
    <w:next w:val="Normal"/>
    <w:link w:val="IntenseQuoteChar"/>
    <w:uiPriority w:val="30"/>
    <w:qFormat/>
    <w:rsid w:val="00301C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C8A"/>
    <w:rPr>
      <w:i/>
      <w:iCs/>
      <w:color w:val="0F4761" w:themeColor="accent1" w:themeShade="BF"/>
    </w:rPr>
  </w:style>
  <w:style w:type="character" w:styleId="IntenseReference">
    <w:name w:val="Intense Reference"/>
    <w:basedOn w:val="DefaultParagraphFont"/>
    <w:uiPriority w:val="32"/>
    <w:qFormat/>
    <w:rsid w:val="00301C8A"/>
    <w:rPr>
      <w:b/>
      <w:bCs/>
      <w:smallCaps/>
      <w:color w:val="0F4761" w:themeColor="accent1" w:themeShade="BF"/>
      <w:spacing w:val="5"/>
    </w:rPr>
  </w:style>
  <w:style w:type="character" w:styleId="Hyperlink">
    <w:name w:val="Hyperlink"/>
    <w:basedOn w:val="DefaultParagraphFont"/>
    <w:uiPriority w:val="99"/>
    <w:unhideWhenUsed/>
    <w:rsid w:val="00301C8A"/>
    <w:rPr>
      <w:color w:val="467886" w:themeColor="hyperlink"/>
      <w:u w:val="single"/>
    </w:rPr>
  </w:style>
  <w:style w:type="character" w:styleId="UnresolvedMention">
    <w:name w:val="Unresolved Mention"/>
    <w:basedOn w:val="DefaultParagraphFont"/>
    <w:uiPriority w:val="99"/>
    <w:semiHidden/>
    <w:unhideWhenUsed/>
    <w:rsid w:val="00301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afety4sea.com/global-energy-perspective-2025-emissions-reach-record-highs/emissions-mckinseycompan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2/10/shutterstock_1972988039.jpg" TargetMode="External"/><Relationship Id="rId10" Type="http://schemas.openxmlformats.org/officeDocument/2006/relationships/theme" Target="theme/theme1.xml"/><Relationship Id="rId4" Type="http://schemas.openxmlformats.org/officeDocument/2006/relationships/hyperlink" Target="https://safety4sea.com/category/green/green-shippin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1044</Words>
  <Characters>5956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2</cp:revision>
  <dcterms:created xsi:type="dcterms:W3CDTF">2025-10-17T06:50:00Z</dcterms:created>
  <dcterms:modified xsi:type="dcterms:W3CDTF">2025-10-17T07:13:00Z</dcterms:modified>
</cp:coreProperties>
</file>