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0B" w:rsidRPr="00F4420B" w:rsidRDefault="00F4420B" w:rsidP="00F4420B">
      <w:pPr>
        <w:shd w:val="clear" w:color="auto" w:fill="FFFFFF"/>
        <w:spacing w:after="96" w:line="240" w:lineRule="auto"/>
        <w:jc w:val="center"/>
        <w:textAlignment w:val="baseline"/>
        <w:outlineLvl w:val="0"/>
        <w:rPr>
          <w:rFonts w:ascii="Times New Roman" w:eastAsia="Times New Roman" w:hAnsi="Times New Roman" w:cs="Times New Roman"/>
          <w:b/>
          <w:bCs/>
          <w:color w:val="111111"/>
          <w:spacing w:val="-10"/>
          <w:kern w:val="36"/>
          <w:sz w:val="40"/>
          <w:szCs w:val="40"/>
        </w:rPr>
      </w:pPr>
      <w:bookmarkStart w:id="0" w:name="_GoBack"/>
      <w:r w:rsidRPr="00F4420B">
        <w:rPr>
          <w:rFonts w:ascii="Times New Roman" w:eastAsia="Times New Roman" w:hAnsi="Times New Roman" w:cs="Times New Roman"/>
          <w:b/>
          <w:color w:val="000000"/>
          <w:sz w:val="40"/>
          <w:szCs w:val="40"/>
          <w:bdr w:val="none" w:sz="0" w:space="0" w:color="auto" w:frame="1"/>
          <w:shd w:val="clear" w:color="auto" w:fill="FFFFFF"/>
        </w:rPr>
        <w:t xml:space="preserve">Trung tâm Hợp nhất Thông tin </w:t>
      </w:r>
      <w:r>
        <w:rPr>
          <w:rFonts w:ascii="Times New Roman" w:eastAsia="Times New Roman" w:hAnsi="Times New Roman" w:cs="Times New Roman"/>
          <w:b/>
          <w:color w:val="000000"/>
          <w:sz w:val="40"/>
          <w:szCs w:val="40"/>
          <w:bdr w:val="none" w:sz="0" w:space="0" w:color="auto" w:frame="1"/>
          <w:shd w:val="clear" w:color="auto" w:fill="FFFFFF"/>
        </w:rPr>
        <w:t>(</w:t>
      </w:r>
      <w:r>
        <w:rPr>
          <w:rFonts w:ascii="Times New Roman" w:eastAsia="Times New Roman" w:hAnsi="Times New Roman" w:cs="Times New Roman"/>
          <w:b/>
          <w:bCs/>
          <w:color w:val="111111"/>
          <w:spacing w:val="-10"/>
          <w:kern w:val="36"/>
          <w:sz w:val="40"/>
          <w:szCs w:val="40"/>
        </w:rPr>
        <w:t>I</w:t>
      </w:r>
      <w:r w:rsidRPr="00F4420B">
        <w:rPr>
          <w:rFonts w:ascii="Times New Roman" w:eastAsia="Times New Roman" w:hAnsi="Times New Roman" w:cs="Times New Roman"/>
          <w:b/>
          <w:bCs/>
          <w:color w:val="111111"/>
          <w:spacing w:val="-10"/>
          <w:kern w:val="36"/>
          <w:sz w:val="40"/>
          <w:szCs w:val="40"/>
        </w:rPr>
        <w:t>FC</w:t>
      </w:r>
      <w:r>
        <w:rPr>
          <w:rFonts w:ascii="Times New Roman" w:eastAsia="Times New Roman" w:hAnsi="Times New Roman" w:cs="Times New Roman"/>
          <w:b/>
          <w:bCs/>
          <w:color w:val="111111"/>
          <w:spacing w:val="-10"/>
          <w:kern w:val="36"/>
          <w:sz w:val="40"/>
          <w:szCs w:val="40"/>
        </w:rPr>
        <w:t>)</w:t>
      </w:r>
      <w:r w:rsidRPr="00F4420B">
        <w:rPr>
          <w:rFonts w:ascii="Times New Roman" w:eastAsia="Times New Roman" w:hAnsi="Times New Roman" w:cs="Times New Roman"/>
          <w:b/>
          <w:bCs/>
          <w:color w:val="111111"/>
          <w:spacing w:val="-10"/>
          <w:kern w:val="36"/>
          <w:sz w:val="40"/>
          <w:szCs w:val="40"/>
        </w:rPr>
        <w:t xml:space="preserve">: Các xu hướng an ninh hàng hải </w:t>
      </w:r>
      <w:r>
        <w:rPr>
          <w:rFonts w:ascii="Times New Roman" w:eastAsia="Times New Roman" w:hAnsi="Times New Roman" w:cs="Times New Roman"/>
          <w:b/>
          <w:bCs/>
          <w:color w:val="111111"/>
          <w:spacing w:val="-10"/>
          <w:kern w:val="36"/>
          <w:sz w:val="40"/>
          <w:szCs w:val="40"/>
        </w:rPr>
        <w:t>chính</w:t>
      </w:r>
      <w:r w:rsidRPr="00F4420B">
        <w:rPr>
          <w:rFonts w:ascii="Times New Roman" w:eastAsia="Times New Roman" w:hAnsi="Times New Roman" w:cs="Times New Roman"/>
          <w:b/>
          <w:bCs/>
          <w:color w:val="111111"/>
          <w:spacing w:val="-10"/>
          <w:kern w:val="36"/>
          <w:sz w:val="40"/>
          <w:szCs w:val="40"/>
        </w:rPr>
        <w:t xml:space="preserve"> trong sáu tháng đầu năm 2025</w:t>
      </w:r>
    </w:p>
    <w:bookmarkEnd w:id="0"/>
    <w:p w:rsidR="00F4420B" w:rsidRPr="00F4420B" w:rsidRDefault="00F4420B" w:rsidP="00F4420B">
      <w:pPr>
        <w:shd w:val="clear" w:color="auto" w:fill="FFFFFF"/>
        <w:spacing w:after="0" w:line="240" w:lineRule="auto"/>
        <w:jc w:val="right"/>
        <w:textAlignment w:val="baseline"/>
        <w:rPr>
          <w:rFonts w:ascii="Times New Roman" w:eastAsia="Times New Roman" w:hAnsi="Times New Roman" w:cs="Times New Roman"/>
          <w:color w:val="4472C4" w:themeColor="accent1"/>
          <w:sz w:val="24"/>
          <w:szCs w:val="24"/>
        </w:rPr>
      </w:pPr>
      <w:r w:rsidRPr="00F4420B">
        <w:rPr>
          <w:rFonts w:ascii="Times New Roman" w:eastAsia="Times New Roman" w:hAnsi="Times New Roman" w:cs="Times New Roman"/>
          <w:color w:val="4472C4" w:themeColor="accent1"/>
          <w:sz w:val="24"/>
          <w:szCs w:val="24"/>
          <w:bdr w:val="none" w:sz="0" w:space="0" w:color="auto" w:frame="1"/>
        </w:rPr>
        <w:t> </w:t>
      </w:r>
      <w:hyperlink r:id="rId4" w:history="1">
        <w:r w:rsidRPr="00F4420B">
          <w:rPr>
            <w:rFonts w:ascii="Times New Roman" w:eastAsia="Times New Roman" w:hAnsi="Times New Roman" w:cs="Times New Roman"/>
            <w:color w:val="4472C4" w:themeColor="accent1"/>
            <w:sz w:val="24"/>
            <w:szCs w:val="24"/>
            <w:u w:val="single"/>
            <w:bdr w:val="none" w:sz="0" w:space="0" w:color="auto" w:frame="1"/>
          </w:rPr>
          <w:t>Security</w:t>
        </w:r>
      </w:hyperlink>
    </w:p>
    <w:p w:rsidR="00F4420B" w:rsidRPr="00F4420B" w:rsidRDefault="00F4420B" w:rsidP="00F4420B">
      <w:pPr>
        <w:shd w:val="clear" w:color="auto" w:fill="FFFFFF"/>
        <w:spacing w:line="240" w:lineRule="auto"/>
        <w:textAlignment w:val="baseline"/>
        <w:rPr>
          <w:rFonts w:ascii="Helvetica" w:eastAsia="Times New Roman" w:hAnsi="Helvetica" w:cs="Times New Roman"/>
          <w:color w:val="0087CD"/>
          <w:sz w:val="21"/>
          <w:szCs w:val="21"/>
          <w:bdr w:val="none" w:sz="0" w:space="0" w:color="auto" w:frame="1"/>
        </w:rPr>
      </w:pPr>
      <w:r w:rsidRPr="00F4420B">
        <w:rPr>
          <w:rFonts w:ascii="inherit" w:eastAsia="Times New Roman" w:hAnsi="inherit" w:cs="Helvetica"/>
          <w:color w:val="808080"/>
          <w:sz w:val="20"/>
          <w:szCs w:val="20"/>
        </w:rPr>
        <w:t> </w:t>
      </w:r>
      <w:r w:rsidRPr="00F4420B">
        <w:rPr>
          <w:rFonts w:ascii="Helvetica" w:eastAsia="Times New Roman" w:hAnsi="Helvetica" w:cs="Helvetica"/>
          <w:color w:val="333333"/>
          <w:sz w:val="21"/>
          <w:szCs w:val="21"/>
        </w:rPr>
        <w:fldChar w:fldCharType="begin"/>
      </w:r>
      <w:r w:rsidRPr="00F4420B">
        <w:rPr>
          <w:rFonts w:ascii="Helvetica" w:eastAsia="Times New Roman" w:hAnsi="Helvetica" w:cs="Helvetica"/>
          <w:color w:val="333333"/>
          <w:sz w:val="21"/>
          <w:szCs w:val="21"/>
        </w:rPr>
        <w:instrText xml:space="preserve"> HYPERLINK "https://safety4sea.com/wp-content/uploads/2018/04/somalia-piracy-e1522933229720.png" </w:instrText>
      </w:r>
      <w:r w:rsidRPr="00F4420B">
        <w:rPr>
          <w:rFonts w:ascii="Helvetica" w:eastAsia="Times New Roman" w:hAnsi="Helvetica" w:cs="Helvetica"/>
          <w:color w:val="333333"/>
          <w:sz w:val="21"/>
          <w:szCs w:val="21"/>
        </w:rPr>
        <w:fldChar w:fldCharType="separate"/>
      </w:r>
    </w:p>
    <w:p w:rsidR="00F4420B" w:rsidRPr="00F4420B" w:rsidRDefault="00F4420B" w:rsidP="00F4420B">
      <w:pPr>
        <w:shd w:val="clear" w:color="auto" w:fill="FFFFFF"/>
        <w:spacing w:after="0" w:line="240" w:lineRule="auto"/>
        <w:textAlignment w:val="baseline"/>
        <w:rPr>
          <w:rFonts w:ascii="Helvetica" w:eastAsia="Times New Roman" w:hAnsi="Helvetica" w:cs="Helvetica"/>
          <w:color w:val="333333"/>
          <w:sz w:val="21"/>
          <w:szCs w:val="21"/>
        </w:rPr>
      </w:pPr>
      <w:r w:rsidRPr="00F4420B">
        <w:rPr>
          <w:rFonts w:ascii="Helvetica" w:eastAsia="Times New Roman" w:hAnsi="Helvetica" w:cs="Helvetica"/>
          <w:noProof/>
          <w:color w:val="0087CD"/>
          <w:sz w:val="21"/>
          <w:szCs w:val="21"/>
          <w:bdr w:val="none" w:sz="0" w:space="0" w:color="auto" w:frame="1"/>
        </w:rPr>
        <w:drawing>
          <wp:inline distT="0" distB="0" distL="0" distR="0" wp14:anchorId="780E8153" wp14:editId="5F844316">
            <wp:extent cx="5996940" cy="2905946"/>
            <wp:effectExtent l="0" t="0" r="3810" b="8890"/>
            <wp:docPr id="10" name="Picture 10" descr="ReCAAP ISC">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AAP ISC">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6674" cy="2915509"/>
                    </a:xfrm>
                    <a:prstGeom prst="rect">
                      <a:avLst/>
                    </a:prstGeom>
                    <a:noFill/>
                    <a:ln>
                      <a:noFill/>
                    </a:ln>
                  </pic:spPr>
                </pic:pic>
              </a:graphicData>
            </a:graphic>
          </wp:inline>
        </w:drawing>
      </w:r>
      <w:r w:rsidRPr="00F4420B">
        <w:rPr>
          <w:rFonts w:ascii="Helvetica" w:eastAsia="Times New Roman" w:hAnsi="Helvetica" w:cs="Helvetica"/>
          <w:color w:val="333333"/>
          <w:sz w:val="21"/>
          <w:szCs w:val="21"/>
        </w:rPr>
        <w:fldChar w:fldCharType="end"/>
      </w:r>
    </w:p>
    <w:p w:rsidR="00F4420B" w:rsidRP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Pr>
          <w:rFonts w:ascii="Times New Roman" w:eastAsia="Times New Roman" w:hAnsi="Times New Roman" w:cs="Times New Roman"/>
          <w:color w:val="000000"/>
          <w:sz w:val="26"/>
          <w:szCs w:val="26"/>
          <w:bdr w:val="none" w:sz="0" w:space="0" w:color="auto" w:frame="1"/>
          <w:shd w:val="clear" w:color="auto" w:fill="FFFFFF"/>
        </w:rPr>
        <w:t>IFC</w:t>
      </w:r>
      <w:r w:rsidRPr="00F4420B">
        <w:rPr>
          <w:rFonts w:ascii="Times New Roman" w:eastAsia="Times New Roman" w:hAnsi="Times New Roman" w:cs="Times New Roman"/>
          <w:color w:val="000000"/>
          <w:sz w:val="26"/>
          <w:szCs w:val="26"/>
          <w:bdr w:val="none" w:sz="0" w:space="0" w:color="auto" w:frame="1"/>
          <w:shd w:val="clear" w:color="auto" w:fill="FFFFFF"/>
        </w:rPr>
        <w:t xml:space="preserve"> đã công bố báo cáo an ninh hàng hải giữa năm (từ tháng 1 đến tháng 6) năm 2025 trong lĩnh vực </w:t>
      </w:r>
      <w:r>
        <w:rPr>
          <w:rFonts w:ascii="Times New Roman" w:eastAsia="Times New Roman" w:hAnsi="Times New Roman" w:cs="Times New Roman"/>
          <w:color w:val="000000"/>
          <w:sz w:val="26"/>
          <w:szCs w:val="26"/>
          <w:bdr w:val="none" w:sz="0" w:space="0" w:color="auto" w:frame="1"/>
          <w:shd w:val="clear" w:color="auto" w:fill="FFFFFF"/>
        </w:rPr>
        <w:t xml:space="preserve">mà </w:t>
      </w:r>
      <w:r w:rsidRPr="00F4420B">
        <w:rPr>
          <w:rFonts w:ascii="Times New Roman" w:eastAsia="Times New Roman" w:hAnsi="Times New Roman" w:cs="Times New Roman"/>
          <w:color w:val="000000"/>
          <w:sz w:val="26"/>
          <w:szCs w:val="26"/>
          <w:bdr w:val="none" w:sz="0" w:space="0" w:color="auto" w:frame="1"/>
          <w:shd w:val="clear" w:color="auto" w:fill="FFFFFF"/>
        </w:rPr>
        <w:t xml:space="preserve">IFC quan tâm, cho thấy tổng số </w:t>
      </w:r>
      <w:r>
        <w:rPr>
          <w:rFonts w:ascii="Times New Roman" w:eastAsia="Times New Roman" w:hAnsi="Times New Roman" w:cs="Times New Roman"/>
          <w:color w:val="000000"/>
          <w:sz w:val="26"/>
          <w:szCs w:val="26"/>
          <w:bdr w:val="none" w:sz="0" w:space="0" w:color="auto" w:frame="1"/>
          <w:shd w:val="clear" w:color="auto" w:fill="FFFFFF"/>
        </w:rPr>
        <w:t>sự cố an ninh đã</w:t>
      </w:r>
      <w:r w:rsidRPr="00F4420B">
        <w:rPr>
          <w:rFonts w:ascii="Times New Roman" w:eastAsia="Times New Roman" w:hAnsi="Times New Roman" w:cs="Times New Roman"/>
          <w:color w:val="000000"/>
          <w:sz w:val="26"/>
          <w:szCs w:val="26"/>
          <w:bdr w:val="none" w:sz="0" w:space="0" w:color="auto" w:frame="1"/>
          <w:shd w:val="clear" w:color="auto" w:fill="FFFFFF"/>
        </w:rPr>
        <w:t xml:space="preserve"> giảm so với năm 2024.</w:t>
      </w:r>
    </w:p>
    <w:p w:rsidR="00F4420B" w:rsidRP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F4420B">
        <w:rPr>
          <w:rFonts w:ascii="Times New Roman" w:eastAsia="Times New Roman" w:hAnsi="Times New Roman" w:cs="Times New Roman"/>
          <w:color w:val="000000"/>
          <w:sz w:val="26"/>
          <w:szCs w:val="26"/>
          <w:bdr w:val="none" w:sz="0" w:space="0" w:color="auto" w:frame="1"/>
          <w:shd w:val="clear" w:color="auto" w:fill="FFFFFF"/>
        </w:rPr>
        <w:t>Trong nửa đầu năm 2025, IFC đã ghi nhận tổng cộng 1.183 vụ, giảm 23% so với cùng kỳ năm 2024 (1.529 vụ), do số vụ giảm đáng kể trong các danh mục MARSEC gồm (a) Sự cố Hàng hải (MI), (b) Buôn lậu Hàng cấm (CS), và (c) Đánh bắt Cá bất hợp pháp, không theo quy định và không báo cáo (IUUF).</w:t>
      </w:r>
    </w:p>
    <w:p w:rsidR="00F4420B" w:rsidRP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bdr w:val="none" w:sz="0" w:space="0" w:color="auto" w:frame="1"/>
          <w:shd w:val="clear" w:color="auto" w:fill="FFFFFF"/>
        </w:rPr>
      </w:pPr>
      <w:r w:rsidRPr="00F4420B">
        <w:rPr>
          <w:rFonts w:ascii="Times New Roman" w:eastAsia="Times New Roman" w:hAnsi="Times New Roman" w:cs="Times New Roman"/>
          <w:b/>
          <w:color w:val="FF0000"/>
          <w:sz w:val="26"/>
          <w:szCs w:val="26"/>
          <w:bdr w:val="none" w:sz="0" w:space="0" w:color="auto" w:frame="1"/>
          <w:shd w:val="clear" w:color="auto" w:fill="FFFFFF"/>
        </w:rPr>
        <w:t xml:space="preserve">Trộm, cướp và </w:t>
      </w:r>
      <w:r>
        <w:rPr>
          <w:rFonts w:ascii="Times New Roman" w:eastAsia="Times New Roman" w:hAnsi="Times New Roman" w:cs="Times New Roman"/>
          <w:b/>
          <w:color w:val="FF0000"/>
          <w:sz w:val="26"/>
          <w:szCs w:val="26"/>
          <w:bdr w:val="none" w:sz="0" w:space="0" w:color="auto" w:frame="1"/>
          <w:shd w:val="clear" w:color="auto" w:fill="FFFFFF"/>
        </w:rPr>
        <w:t>trộm cắp có vũ trang</w:t>
      </w:r>
      <w:r w:rsidRPr="00F4420B">
        <w:rPr>
          <w:rFonts w:ascii="Times New Roman" w:eastAsia="Times New Roman" w:hAnsi="Times New Roman" w:cs="Times New Roman"/>
          <w:b/>
          <w:color w:val="FF0000"/>
          <w:sz w:val="26"/>
          <w:szCs w:val="26"/>
          <w:bdr w:val="none" w:sz="0" w:space="0" w:color="auto" w:frame="1"/>
          <w:shd w:val="clear" w:color="auto" w:fill="FFFFFF"/>
        </w:rPr>
        <w:t xml:space="preserve"> trên biển (TRAPS)</w:t>
      </w:r>
    </w:p>
    <w:p w:rsidR="00F4420B" w:rsidRP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F4420B">
        <w:rPr>
          <w:rFonts w:ascii="Times New Roman" w:eastAsia="Times New Roman" w:hAnsi="Times New Roman" w:cs="Times New Roman"/>
          <w:color w:val="000000"/>
          <w:sz w:val="26"/>
          <w:szCs w:val="26"/>
          <w:bdr w:val="none" w:sz="0" w:space="0" w:color="auto" w:frame="1"/>
          <w:shd w:val="clear" w:color="auto" w:fill="FFFFFF"/>
        </w:rPr>
        <w:t xml:space="preserve">Số vụ được báo cáo trong năm 2025: 99 </w:t>
      </w:r>
      <w:r>
        <w:rPr>
          <w:rFonts w:ascii="Times New Roman" w:eastAsia="Times New Roman" w:hAnsi="Times New Roman" w:cs="Times New Roman"/>
          <w:color w:val="000000"/>
          <w:sz w:val="26"/>
          <w:szCs w:val="26"/>
          <w:bdr w:val="none" w:sz="0" w:space="0" w:color="auto" w:frame="1"/>
          <w:shd w:val="clear" w:color="auto" w:fill="FFFFFF"/>
        </w:rPr>
        <w:t xml:space="preserve">vụ </w:t>
      </w:r>
      <w:r w:rsidRPr="00F4420B">
        <w:rPr>
          <w:rFonts w:ascii="Times New Roman" w:eastAsia="Times New Roman" w:hAnsi="Times New Roman" w:cs="Times New Roman"/>
          <w:color w:val="000000"/>
          <w:sz w:val="26"/>
          <w:szCs w:val="26"/>
          <w:bdr w:val="none" w:sz="0" w:space="0" w:color="auto" w:frame="1"/>
          <w:shd w:val="clear" w:color="auto" w:fill="FFFFFF"/>
        </w:rPr>
        <w:t>(</w:t>
      </w:r>
      <w:r>
        <w:rPr>
          <w:rFonts w:ascii="Times New Roman" w:eastAsia="Times New Roman" w:hAnsi="Times New Roman" w:cs="Times New Roman"/>
          <w:color w:val="000000"/>
          <w:sz w:val="26"/>
          <w:szCs w:val="26"/>
          <w:bdr w:val="none" w:sz="0" w:space="0" w:color="auto" w:frame="1"/>
          <w:shd w:val="clear" w:color="auto" w:fill="FFFFFF"/>
        </w:rPr>
        <w:t xml:space="preserve">so với </w:t>
      </w:r>
      <w:r w:rsidRPr="00F4420B">
        <w:rPr>
          <w:rFonts w:ascii="Times New Roman" w:eastAsia="Times New Roman" w:hAnsi="Times New Roman" w:cs="Times New Roman"/>
          <w:color w:val="000000"/>
          <w:sz w:val="26"/>
          <w:szCs w:val="26"/>
          <w:bdr w:val="none" w:sz="0" w:space="0" w:color="auto" w:frame="1"/>
          <w:shd w:val="clear" w:color="auto" w:fill="FFFFFF"/>
        </w:rPr>
        <w:t xml:space="preserve">66 vụ </w:t>
      </w:r>
      <w:r>
        <w:rPr>
          <w:rFonts w:ascii="Times New Roman" w:eastAsia="Times New Roman" w:hAnsi="Times New Roman" w:cs="Times New Roman"/>
          <w:color w:val="000000"/>
          <w:sz w:val="26"/>
          <w:szCs w:val="26"/>
          <w:bdr w:val="none" w:sz="0" w:space="0" w:color="auto" w:frame="1"/>
          <w:shd w:val="clear" w:color="auto" w:fill="FFFFFF"/>
        </w:rPr>
        <w:t>cùng kỳ trong năm 2024</w:t>
      </w:r>
      <w:r w:rsidRPr="00F4420B">
        <w:rPr>
          <w:rFonts w:ascii="Times New Roman" w:eastAsia="Times New Roman" w:hAnsi="Times New Roman" w:cs="Times New Roman"/>
          <w:color w:val="000000"/>
          <w:sz w:val="26"/>
          <w:szCs w:val="26"/>
          <w:bdr w:val="none" w:sz="0" w:space="0" w:color="auto" w:frame="1"/>
          <w:shd w:val="clear" w:color="auto" w:fill="FFFFFF"/>
        </w:rPr>
        <w:t xml:space="preserve">) </w:t>
      </w:r>
      <w:r>
        <w:rPr>
          <w:rFonts w:ascii="Times New Roman" w:eastAsia="Times New Roman" w:hAnsi="Times New Roman" w:cs="Times New Roman"/>
          <w:color w:val="000000"/>
          <w:sz w:val="26"/>
          <w:szCs w:val="26"/>
          <w:bdr w:val="none" w:sz="0" w:space="0" w:color="auto" w:frame="1"/>
          <w:shd w:val="clear" w:color="auto" w:fill="FFFFFF"/>
        </w:rPr>
        <w:t xml:space="preserve">tăng </w:t>
      </w:r>
      <w:r w:rsidRPr="00F4420B">
        <w:rPr>
          <w:rFonts w:ascii="Times New Roman" w:eastAsia="Times New Roman" w:hAnsi="Times New Roman" w:cs="Times New Roman"/>
          <w:color w:val="000000"/>
          <w:sz w:val="26"/>
          <w:szCs w:val="26"/>
          <w:bdr w:val="none" w:sz="0" w:space="0" w:color="auto" w:frame="1"/>
          <w:shd w:val="clear" w:color="auto" w:fill="FFFFFF"/>
        </w:rPr>
        <w:t>50%</w:t>
      </w:r>
    </w:p>
    <w:p w:rsidR="00F4420B" w:rsidRDefault="00F4420B" w:rsidP="00F4420B">
      <w:pPr>
        <w:shd w:val="clear" w:color="auto" w:fill="FFFFFF"/>
        <w:spacing w:before="120" w:after="120" w:line="390" w:lineRule="atLeast"/>
        <w:jc w:val="both"/>
        <w:textAlignment w:val="baseline"/>
        <w:rPr>
          <w:rFonts w:ascii="Georgia" w:eastAsia="Times New Roman" w:hAnsi="Georgia" w:cs="Helvetica"/>
          <w:color w:val="000000"/>
          <w:sz w:val="24"/>
          <w:szCs w:val="24"/>
          <w:bdr w:val="none" w:sz="0" w:space="0" w:color="auto" w:frame="1"/>
          <w:shd w:val="clear" w:color="auto" w:fill="FFFFFF"/>
        </w:rPr>
      </w:pPr>
      <w:r w:rsidRPr="00F4420B">
        <w:rPr>
          <w:rFonts w:ascii="Times New Roman" w:eastAsia="Times New Roman" w:hAnsi="Times New Roman" w:cs="Times New Roman"/>
          <w:color w:val="000000"/>
          <w:sz w:val="26"/>
          <w:szCs w:val="26"/>
          <w:bdr w:val="none" w:sz="0" w:space="0" w:color="auto" w:frame="1"/>
          <w:shd w:val="clear" w:color="auto" w:fill="FFFFFF"/>
        </w:rPr>
        <w:t xml:space="preserve">Số vụ tăng so với cùng kỳ năm 2024. Sự gia tăng chủ yếu ở Eo biển Singapore, có thể là do tác động kết hợp của (a) Gió mùa Đông Bắc </w:t>
      </w:r>
      <w:r>
        <w:rPr>
          <w:rFonts w:ascii="Times New Roman" w:eastAsia="Times New Roman" w:hAnsi="Times New Roman" w:cs="Times New Roman"/>
          <w:color w:val="000000"/>
          <w:sz w:val="26"/>
          <w:szCs w:val="26"/>
          <w:bdr w:val="none" w:sz="0" w:space="0" w:color="auto" w:frame="1"/>
          <w:shd w:val="clear" w:color="auto" w:fill="FFFFFF"/>
        </w:rPr>
        <w:t>(từ tháng 12 đến tháng 3)</w:t>
      </w:r>
      <w:r w:rsidR="00D3351E">
        <w:rPr>
          <w:rFonts w:ascii="Times New Roman" w:eastAsia="Times New Roman" w:hAnsi="Times New Roman" w:cs="Times New Roman"/>
          <w:color w:val="000000"/>
          <w:sz w:val="26"/>
          <w:szCs w:val="26"/>
          <w:bdr w:val="none" w:sz="0" w:space="0" w:color="auto" w:frame="1"/>
          <w:shd w:val="clear" w:color="auto" w:fill="FFFFFF"/>
        </w:rPr>
        <w:t>,</w:t>
      </w:r>
      <w:r>
        <w:rPr>
          <w:rFonts w:ascii="Times New Roman" w:eastAsia="Times New Roman" w:hAnsi="Times New Roman" w:cs="Times New Roman"/>
          <w:color w:val="000000"/>
          <w:sz w:val="26"/>
          <w:szCs w:val="26"/>
          <w:bdr w:val="none" w:sz="0" w:space="0" w:color="auto" w:frame="1"/>
          <w:shd w:val="clear" w:color="auto" w:fill="FFFFFF"/>
        </w:rPr>
        <w:t xml:space="preserve"> </w:t>
      </w:r>
      <w:r w:rsidRPr="00F4420B">
        <w:rPr>
          <w:rFonts w:ascii="Times New Roman" w:eastAsia="Times New Roman" w:hAnsi="Times New Roman" w:cs="Times New Roman"/>
          <w:color w:val="000000"/>
          <w:sz w:val="26"/>
          <w:szCs w:val="26"/>
          <w:bdr w:val="none" w:sz="0" w:space="0" w:color="auto" w:frame="1"/>
          <w:shd w:val="clear" w:color="auto" w:fill="FFFFFF"/>
        </w:rPr>
        <w:t>làm trầm trọng thêm điều kiện biển đầy thách thức ở Biển Đông và ảnh hưởng đến hoạt động/sản lượng đánh bắt cá; và (b) gánh nặng tài chính gia tăng trước thềm lễ hội, khiến người dân địa phương phải tìm đến các hoạt động phạm pháp nhỏ ở vùng biển ven bờ để kiếm thêm thu nhập</w:t>
      </w:r>
      <w:r w:rsidRPr="00F4420B">
        <w:rPr>
          <w:rFonts w:ascii="Georgia" w:eastAsia="Times New Roman" w:hAnsi="Georgia" w:cs="Helvetica"/>
          <w:color w:val="000000"/>
          <w:sz w:val="24"/>
          <w:szCs w:val="24"/>
          <w:bdr w:val="none" w:sz="0" w:space="0" w:color="auto" w:frame="1"/>
          <w:shd w:val="clear" w:color="auto" w:fill="FFFFFF"/>
        </w:rPr>
        <w:t>.</w:t>
      </w:r>
    </w:p>
    <w:p w:rsidR="00F4420B" w:rsidRP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F4420B">
        <w:rPr>
          <w:rFonts w:ascii="Times New Roman" w:eastAsia="Times New Roman" w:hAnsi="Times New Roman" w:cs="Times New Roman"/>
          <w:sz w:val="26"/>
          <w:szCs w:val="26"/>
        </w:rPr>
        <w:t>Dựa trên các xu hướng trước đây, IFC dự kiến số vụ việc trong nửa cuối năm 2025 sẽ vẫn ở mức cao, có thể do các nghĩa vụ tài chính tăng lên trước thềm lễ hội cuối năm, và điều kiện biển xấu do gió mùa Tây Nam (tháng 7-9) gây ra, có thể tiếp tục làm gián đoạn hoạt động đánh bắt cá.</w:t>
      </w:r>
    </w:p>
    <w:p w:rsidR="00F4420B" w:rsidRPr="00F4420B" w:rsidRDefault="00F4420B" w:rsidP="00F4420B">
      <w:pPr>
        <w:shd w:val="clear" w:color="auto" w:fill="FFFFFF"/>
        <w:spacing w:line="240" w:lineRule="auto"/>
        <w:ind w:right="-150"/>
        <w:textAlignment w:val="baseline"/>
        <w:outlineLvl w:val="2"/>
        <w:rPr>
          <w:rFonts w:ascii="Helvetica" w:eastAsia="Times New Roman" w:hAnsi="Helvetica" w:cs="Helvetica"/>
          <w:b/>
          <w:bCs/>
          <w:color w:val="111111"/>
          <w:sz w:val="23"/>
          <w:szCs w:val="23"/>
        </w:rPr>
      </w:pPr>
    </w:p>
    <w:p w:rsidR="00F4420B" w:rsidRPr="00F4420B" w:rsidRDefault="00F4420B" w:rsidP="00F4420B">
      <w:pPr>
        <w:shd w:val="clear" w:color="auto" w:fill="FFFFFF"/>
        <w:spacing w:after="0" w:line="390" w:lineRule="atLeast"/>
        <w:textAlignment w:val="baseline"/>
        <w:rPr>
          <w:rFonts w:ascii="inherit" w:eastAsia="Times New Roman" w:hAnsi="inherit" w:cs="Helvetica"/>
          <w:color w:val="333333"/>
          <w:sz w:val="24"/>
          <w:szCs w:val="24"/>
        </w:rPr>
      </w:pPr>
      <w:r w:rsidRPr="00F4420B">
        <w:rPr>
          <w:rFonts w:ascii="inherit" w:eastAsia="Times New Roman" w:hAnsi="inherit" w:cs="Helvetica"/>
          <w:noProof/>
          <w:color w:val="A0A0A0"/>
          <w:sz w:val="24"/>
          <w:szCs w:val="24"/>
          <w:bdr w:val="none" w:sz="0" w:space="0" w:color="auto" w:frame="1"/>
        </w:rPr>
        <w:drawing>
          <wp:inline distT="0" distB="0" distL="0" distR="0">
            <wp:extent cx="6073140" cy="3119045"/>
            <wp:effectExtent l="0" t="0" r="3810" b="5715"/>
            <wp:docPr id="9" name="Picture 9" descr="maritime security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time security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8484" cy="3132061"/>
                    </a:xfrm>
                    <a:prstGeom prst="rect">
                      <a:avLst/>
                    </a:prstGeom>
                    <a:noFill/>
                    <a:ln>
                      <a:noFill/>
                    </a:ln>
                  </pic:spPr>
                </pic:pic>
              </a:graphicData>
            </a:graphic>
          </wp:inline>
        </w:drawing>
      </w:r>
    </w:p>
    <w:p w:rsidR="00F4420B" w:rsidRPr="00D3351E" w:rsidRDefault="00D3351E" w:rsidP="00F4420B">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Tai nạn</w:t>
      </w:r>
      <w:r w:rsidR="00F4420B" w:rsidRPr="00D3351E">
        <w:rPr>
          <w:rFonts w:ascii="Times New Roman" w:eastAsia="Times New Roman" w:hAnsi="Times New Roman" w:cs="Times New Roman"/>
          <w:b/>
          <w:color w:val="FF0000"/>
          <w:sz w:val="26"/>
          <w:szCs w:val="26"/>
        </w:rPr>
        <w:t xml:space="preserve"> hàng hải (MI)</w:t>
      </w:r>
    </w:p>
    <w:p w:rsidR="00F4420B" w:rsidRP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F4420B">
        <w:rPr>
          <w:rFonts w:ascii="Times New Roman" w:eastAsia="Times New Roman" w:hAnsi="Times New Roman" w:cs="Times New Roman"/>
          <w:sz w:val="26"/>
          <w:szCs w:val="26"/>
        </w:rPr>
        <w:t>Số vụ việc được báo cáo trong năm 2025: 359 (</w:t>
      </w:r>
      <w:r w:rsidR="00D3351E">
        <w:rPr>
          <w:rFonts w:ascii="Times New Roman" w:eastAsia="Times New Roman" w:hAnsi="Times New Roman" w:cs="Times New Roman"/>
          <w:sz w:val="26"/>
          <w:szCs w:val="26"/>
        </w:rPr>
        <w:t xml:space="preserve">so với </w:t>
      </w:r>
      <w:r w:rsidRPr="00F4420B">
        <w:rPr>
          <w:rFonts w:ascii="Times New Roman" w:eastAsia="Times New Roman" w:hAnsi="Times New Roman" w:cs="Times New Roman"/>
          <w:sz w:val="26"/>
          <w:szCs w:val="26"/>
        </w:rPr>
        <w:t xml:space="preserve">478 vụ </w:t>
      </w:r>
      <w:r w:rsidR="00D3351E">
        <w:rPr>
          <w:rFonts w:ascii="Times New Roman" w:eastAsia="Times New Roman" w:hAnsi="Times New Roman" w:cs="Times New Roman"/>
          <w:sz w:val="26"/>
          <w:szCs w:val="26"/>
        </w:rPr>
        <w:t xml:space="preserve">cùng kỳ năm 2024) giảm </w:t>
      </w:r>
      <w:r w:rsidRPr="00F4420B">
        <w:rPr>
          <w:rFonts w:ascii="Times New Roman" w:eastAsia="Times New Roman" w:hAnsi="Times New Roman" w:cs="Times New Roman"/>
          <w:sz w:val="26"/>
          <w:szCs w:val="26"/>
        </w:rPr>
        <w:t>25%</w:t>
      </w:r>
    </w:p>
    <w:p w:rsidR="00F4420B" w:rsidRDefault="00F4420B" w:rsidP="00F4420B">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F4420B">
        <w:rPr>
          <w:rFonts w:ascii="Times New Roman" w:eastAsia="Times New Roman" w:hAnsi="Times New Roman" w:cs="Times New Roman"/>
          <w:sz w:val="26"/>
          <w:szCs w:val="26"/>
        </w:rPr>
        <w:t xml:space="preserve">So với năm 2024, số người chết/mất tích trong năm 2025 đã tăng hơn gấp đôi, chủ yếu là do hai vụ xảy ra vào tháng 5 liên quan đến tàu nhỏ bị chìm khi chở tổng cộng 487 người. Số vụ đã giảm đáng kể so với cùng kỳ năm 2024, chủ yếu là do số vụ giảm ở Indonesia, nơi đã phải đối mặt với điều kiện thời tiết khắc nghiệt vào năm ngoái. Thời tiết xấu và sự cố </w:t>
      </w:r>
      <w:r w:rsidR="00D3351E">
        <w:rPr>
          <w:rFonts w:ascii="Times New Roman" w:eastAsia="Times New Roman" w:hAnsi="Times New Roman" w:cs="Times New Roman"/>
          <w:sz w:val="26"/>
          <w:szCs w:val="26"/>
        </w:rPr>
        <w:t>máy móc</w:t>
      </w:r>
      <w:r w:rsidRPr="00F4420B">
        <w:rPr>
          <w:rFonts w:ascii="Times New Roman" w:eastAsia="Times New Roman" w:hAnsi="Times New Roman" w:cs="Times New Roman"/>
          <w:sz w:val="26"/>
          <w:szCs w:val="26"/>
        </w:rPr>
        <w:t xml:space="preserve"> vẫn là nguyên nhân chính gây ra các </w:t>
      </w:r>
      <w:r w:rsidR="00D3351E">
        <w:rPr>
          <w:rFonts w:ascii="Times New Roman" w:eastAsia="Times New Roman" w:hAnsi="Times New Roman" w:cs="Times New Roman"/>
          <w:sz w:val="26"/>
          <w:szCs w:val="26"/>
        </w:rPr>
        <w:t>sự cố</w:t>
      </w:r>
      <w:r w:rsidRPr="00F4420B">
        <w:rPr>
          <w:rFonts w:ascii="Times New Roman" w:eastAsia="Times New Roman" w:hAnsi="Times New Roman" w:cs="Times New Roman"/>
          <w:sz w:val="26"/>
          <w:szCs w:val="26"/>
        </w:rPr>
        <w:t>.</w:t>
      </w:r>
    </w:p>
    <w:p w:rsidR="00F4420B" w:rsidRPr="00F4420B" w:rsidRDefault="00F4420B" w:rsidP="00F4420B">
      <w:pPr>
        <w:shd w:val="clear" w:color="auto" w:fill="FFFFFF"/>
        <w:spacing w:after="0" w:line="390" w:lineRule="atLeast"/>
        <w:textAlignment w:val="baseline"/>
        <w:rPr>
          <w:rFonts w:ascii="inherit" w:eastAsia="Times New Roman" w:hAnsi="inherit" w:cs="Helvetica"/>
          <w:color w:val="333333"/>
          <w:sz w:val="24"/>
          <w:szCs w:val="24"/>
        </w:rPr>
      </w:pPr>
      <w:r w:rsidRPr="00F4420B">
        <w:rPr>
          <w:rFonts w:ascii="inherit" w:eastAsia="Times New Roman" w:hAnsi="inherit" w:cs="Helvetica"/>
          <w:noProof/>
          <w:color w:val="A0A0A0"/>
          <w:sz w:val="24"/>
          <w:szCs w:val="24"/>
          <w:bdr w:val="none" w:sz="0" w:space="0" w:color="auto" w:frame="1"/>
        </w:rPr>
        <w:drawing>
          <wp:inline distT="0" distB="0" distL="0" distR="0">
            <wp:extent cx="6035040" cy="2845561"/>
            <wp:effectExtent l="0" t="0" r="3810" b="0"/>
            <wp:docPr id="8" name="Picture 8" descr="maritime security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time security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699" cy="2859546"/>
                    </a:xfrm>
                    <a:prstGeom prst="rect">
                      <a:avLst/>
                    </a:prstGeom>
                    <a:noFill/>
                    <a:ln>
                      <a:noFill/>
                    </a:ln>
                  </pic:spPr>
                </pic:pic>
              </a:graphicData>
            </a:graphic>
          </wp:inline>
        </w:drawing>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 xml:space="preserve">Dựa trên các xu hướng trước đây, IFC dự kiến số vụ trong nửa cuối năm 2025 sẽ tăng lên, có thể là do sự xuất hiện của gió mùa Tây Nam (tháng 7-9) và mùa bão </w:t>
      </w:r>
      <w:r>
        <w:rPr>
          <w:rFonts w:ascii="Times New Roman" w:eastAsia="Times New Roman" w:hAnsi="Times New Roman" w:cs="Times New Roman"/>
          <w:sz w:val="26"/>
          <w:szCs w:val="26"/>
        </w:rPr>
        <w:t xml:space="preserve">ở </w:t>
      </w:r>
      <w:r w:rsidRPr="00D3351E">
        <w:rPr>
          <w:rFonts w:ascii="Times New Roman" w:eastAsia="Times New Roman" w:hAnsi="Times New Roman" w:cs="Times New Roman"/>
          <w:sz w:val="26"/>
          <w:szCs w:val="26"/>
        </w:rPr>
        <w:t xml:space="preserve">Thái Bình Dương </w:t>
      </w:r>
      <w:r w:rsidRPr="00D3351E">
        <w:rPr>
          <w:rFonts w:ascii="Times New Roman" w:eastAsia="Times New Roman" w:hAnsi="Times New Roman" w:cs="Times New Roman"/>
          <w:sz w:val="26"/>
          <w:szCs w:val="26"/>
        </w:rPr>
        <w:lastRenderedPageBreak/>
        <w:t>(tháng 7-10), dẫn đến biển động mạnh hơn và điều kiện thời tiết khắc nghiệt hơn, có thể ảnh hưởng đến các hoạt động hàng hải.</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rPr>
      </w:pPr>
      <w:r w:rsidRPr="00D3351E">
        <w:rPr>
          <w:rFonts w:ascii="Times New Roman" w:eastAsia="Times New Roman" w:hAnsi="Times New Roman" w:cs="Times New Roman"/>
          <w:b/>
          <w:color w:val="FF0000"/>
          <w:sz w:val="26"/>
          <w:szCs w:val="26"/>
        </w:rPr>
        <w:t>Buôn lậu hàng cấm (CS)</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việc được báo cáo trong năm 2025: 321 (</w:t>
      </w:r>
      <w:r>
        <w:rPr>
          <w:rFonts w:ascii="Times New Roman" w:eastAsia="Times New Roman" w:hAnsi="Times New Roman" w:cs="Times New Roman"/>
          <w:sz w:val="26"/>
          <w:szCs w:val="26"/>
        </w:rPr>
        <w:t xml:space="preserve">so với </w:t>
      </w:r>
      <w:r w:rsidRPr="00D3351E">
        <w:rPr>
          <w:rFonts w:ascii="Times New Roman" w:eastAsia="Times New Roman" w:hAnsi="Times New Roman" w:cs="Times New Roman"/>
          <w:sz w:val="26"/>
          <w:szCs w:val="26"/>
        </w:rPr>
        <w:t xml:space="preserve">460 </w:t>
      </w:r>
      <w:r>
        <w:rPr>
          <w:rFonts w:ascii="Times New Roman" w:eastAsia="Times New Roman" w:hAnsi="Times New Roman" w:cs="Times New Roman"/>
          <w:sz w:val="26"/>
          <w:szCs w:val="26"/>
        </w:rPr>
        <w:t xml:space="preserve">của cùng kỳ năm 2024) giảm </w:t>
      </w:r>
      <w:r w:rsidRPr="00D3351E">
        <w:rPr>
          <w:rFonts w:ascii="Times New Roman" w:eastAsia="Times New Roman" w:hAnsi="Times New Roman" w:cs="Times New Roman"/>
          <w:sz w:val="26"/>
          <w:szCs w:val="26"/>
        </w:rPr>
        <w:t>30%</w:t>
      </w:r>
    </w:p>
    <w:p w:rsid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đã giảm so với cùng kỳ năm 2024, có thể là do các nỗ lực thực thi pháp luật được tăng cường và sự hợp tác xuyên biên giới của các cơ quan thực thi pháp luật, khiến các hoạt động CS gặp khó khăn.</w:t>
      </w:r>
    </w:p>
    <w:p w:rsidR="00F4420B" w:rsidRPr="00F4420B" w:rsidRDefault="00F4420B" w:rsidP="00F4420B">
      <w:pPr>
        <w:shd w:val="clear" w:color="auto" w:fill="FFFFFF"/>
        <w:spacing w:after="0" w:line="390" w:lineRule="atLeast"/>
        <w:textAlignment w:val="baseline"/>
        <w:rPr>
          <w:rFonts w:ascii="inherit" w:eastAsia="Times New Roman" w:hAnsi="inherit" w:cs="Helvetica"/>
          <w:color w:val="333333"/>
          <w:sz w:val="24"/>
          <w:szCs w:val="24"/>
        </w:rPr>
      </w:pPr>
      <w:r w:rsidRPr="00F4420B">
        <w:rPr>
          <w:rFonts w:ascii="inherit" w:eastAsia="Times New Roman" w:hAnsi="inherit" w:cs="Helvetica"/>
          <w:noProof/>
          <w:color w:val="A0A0A0"/>
          <w:sz w:val="24"/>
          <w:szCs w:val="24"/>
          <w:bdr w:val="none" w:sz="0" w:space="0" w:color="auto" w:frame="1"/>
        </w:rPr>
        <w:drawing>
          <wp:inline distT="0" distB="0" distL="0" distR="0">
            <wp:extent cx="6065520" cy="3462778"/>
            <wp:effectExtent l="0" t="0" r="0" b="4445"/>
            <wp:docPr id="7" name="Picture 7" descr="maritime security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time security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813" cy="3472079"/>
                    </a:xfrm>
                    <a:prstGeom prst="rect">
                      <a:avLst/>
                    </a:prstGeom>
                    <a:noFill/>
                    <a:ln>
                      <a:noFill/>
                    </a:ln>
                  </pic:spPr>
                </pic:pic>
              </a:graphicData>
            </a:graphic>
          </wp:inline>
        </w:drawing>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IFC dự kiến CS sẽ vẫn là một lĩnh vực đáng quan ngại trong nửa cuối năm 2025, có thể do tình hình kinh tế và chính trị toàn cầu ngày càng bất ổn, điều này có thể ảnh hưởng đến các nỗ lực thực thi pháp luật.</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rPr>
      </w:pPr>
      <w:r w:rsidRPr="00D3351E">
        <w:rPr>
          <w:rFonts w:ascii="Times New Roman" w:eastAsia="Times New Roman" w:hAnsi="Times New Roman" w:cs="Times New Roman"/>
          <w:b/>
          <w:color w:val="FF0000"/>
          <w:sz w:val="26"/>
          <w:szCs w:val="26"/>
        </w:rPr>
        <w:t>Đánh bắt cá bất hợp pháp, không được quản lý và không báo cáo (IUUF)</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 xml:space="preserve">Số vụ việc được báo cáo trong năm 2025: 335 (so với 433 vụ </w:t>
      </w:r>
      <w:r>
        <w:rPr>
          <w:rFonts w:ascii="Times New Roman" w:eastAsia="Times New Roman" w:hAnsi="Times New Roman" w:cs="Times New Roman"/>
          <w:sz w:val="26"/>
          <w:szCs w:val="26"/>
        </w:rPr>
        <w:t xml:space="preserve">của </w:t>
      </w:r>
      <w:r w:rsidRPr="00D3351E">
        <w:rPr>
          <w:rFonts w:ascii="Times New Roman" w:eastAsia="Times New Roman" w:hAnsi="Times New Roman" w:cs="Times New Roman"/>
          <w:sz w:val="26"/>
          <w:szCs w:val="26"/>
        </w:rPr>
        <w:t>cùng kỳ</w:t>
      </w:r>
      <w:r w:rsidRPr="00D3351E">
        <w:rPr>
          <w:rFonts w:ascii="Times New Roman" w:eastAsia="Times New Roman" w:hAnsi="Times New Roman" w:cs="Times New Roman"/>
          <w:sz w:val="26"/>
          <w:szCs w:val="26"/>
        </w:rPr>
        <w:t xml:space="preserve"> </w:t>
      </w:r>
      <w:r w:rsidRPr="00D3351E">
        <w:rPr>
          <w:rFonts w:ascii="Times New Roman" w:eastAsia="Times New Roman" w:hAnsi="Times New Roman" w:cs="Times New Roman"/>
          <w:sz w:val="26"/>
          <w:szCs w:val="26"/>
        </w:rPr>
        <w:t xml:space="preserve">năm 2024) </w:t>
      </w:r>
      <w:r>
        <w:rPr>
          <w:rFonts w:ascii="Times New Roman" w:eastAsia="Times New Roman" w:hAnsi="Times New Roman" w:cs="Times New Roman"/>
          <w:sz w:val="26"/>
          <w:szCs w:val="26"/>
        </w:rPr>
        <w:t xml:space="preserve">giảm </w:t>
      </w:r>
      <w:r w:rsidRPr="00D3351E">
        <w:rPr>
          <w:rFonts w:ascii="Times New Roman" w:eastAsia="Times New Roman" w:hAnsi="Times New Roman" w:cs="Times New Roman"/>
          <w:sz w:val="26"/>
          <w:szCs w:val="26"/>
        </w:rPr>
        <w:t>23%</w:t>
      </w:r>
    </w:p>
    <w:p w:rsid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việc đã giảm so với cùng kỳ năm 2024, với phần lớn xảy ra chủ yếu ở vùng biển ngoài khơi Úc, Malaysia và Hàn Quốc.</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IFC dự kiến số vụ việc trong nửa cuối năm 2025 sẽ tương đương với năm ngoái, có thể do xu hướng tương tự đã quan sát thấy trong năm 2024, và sự thay đổi mô hình di cư của cá do biến đổi khí hậu, tiếp tục đẩy ngư dân ra khỏi môi trường sống truyền thống.</w:t>
      </w:r>
    </w:p>
    <w:p w:rsidR="00F4420B" w:rsidRPr="00F4420B" w:rsidRDefault="00F4420B" w:rsidP="00F4420B">
      <w:pPr>
        <w:shd w:val="clear" w:color="auto" w:fill="FFFFFF"/>
        <w:spacing w:after="0" w:line="390" w:lineRule="atLeast"/>
        <w:textAlignment w:val="baseline"/>
        <w:rPr>
          <w:rFonts w:ascii="inherit" w:eastAsia="Times New Roman" w:hAnsi="inherit" w:cs="Helvetica"/>
          <w:color w:val="333333"/>
          <w:sz w:val="24"/>
          <w:szCs w:val="24"/>
        </w:rPr>
      </w:pPr>
      <w:r w:rsidRPr="00F4420B">
        <w:rPr>
          <w:rFonts w:ascii="inherit" w:eastAsia="Times New Roman" w:hAnsi="inherit" w:cs="Helvetica"/>
          <w:noProof/>
          <w:color w:val="A0A0A0"/>
          <w:sz w:val="24"/>
          <w:szCs w:val="24"/>
          <w:bdr w:val="none" w:sz="0" w:space="0" w:color="auto" w:frame="1"/>
        </w:rPr>
        <w:lastRenderedPageBreak/>
        <w:drawing>
          <wp:inline distT="0" distB="0" distL="0" distR="0">
            <wp:extent cx="6019800" cy="2185988"/>
            <wp:effectExtent l="0" t="0" r="0" b="5080"/>
            <wp:docPr id="6" name="Picture 6" descr="maritime security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time security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9368" cy="2203988"/>
                    </a:xfrm>
                    <a:prstGeom prst="rect">
                      <a:avLst/>
                    </a:prstGeom>
                    <a:noFill/>
                    <a:ln>
                      <a:noFill/>
                    </a:ln>
                  </pic:spPr>
                </pic:pic>
              </a:graphicData>
            </a:graphic>
          </wp:inline>
        </w:drawing>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rPr>
      </w:pPr>
      <w:r w:rsidRPr="00D3351E">
        <w:rPr>
          <w:rFonts w:ascii="Times New Roman" w:eastAsia="Times New Roman" w:hAnsi="Times New Roman" w:cs="Times New Roman"/>
          <w:b/>
          <w:color w:val="FF0000"/>
          <w:sz w:val="26"/>
          <w:szCs w:val="26"/>
        </w:rPr>
        <w:t>Di cư bất thường của con người (IHM)</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việc được báo cáo trong năm 2025: 44 (</w:t>
      </w:r>
      <w:r>
        <w:rPr>
          <w:rFonts w:ascii="Times New Roman" w:eastAsia="Times New Roman" w:hAnsi="Times New Roman" w:cs="Times New Roman"/>
          <w:sz w:val="26"/>
          <w:szCs w:val="26"/>
        </w:rPr>
        <w:t xml:space="preserve">so với </w:t>
      </w:r>
      <w:r w:rsidRPr="00D3351E">
        <w:rPr>
          <w:rFonts w:ascii="Times New Roman" w:eastAsia="Times New Roman" w:hAnsi="Times New Roman" w:cs="Times New Roman"/>
          <w:sz w:val="26"/>
          <w:szCs w:val="26"/>
        </w:rPr>
        <w:t xml:space="preserve">70 vụ </w:t>
      </w:r>
      <w:r>
        <w:rPr>
          <w:rFonts w:ascii="Times New Roman" w:eastAsia="Times New Roman" w:hAnsi="Times New Roman" w:cs="Times New Roman"/>
          <w:sz w:val="26"/>
          <w:szCs w:val="26"/>
        </w:rPr>
        <w:t xml:space="preserve">cùng kỳ năm 2024) giảm </w:t>
      </w:r>
      <w:r w:rsidRPr="00D3351E">
        <w:rPr>
          <w:rFonts w:ascii="Times New Roman" w:eastAsia="Times New Roman" w:hAnsi="Times New Roman" w:cs="Times New Roman"/>
          <w:sz w:val="26"/>
          <w:szCs w:val="26"/>
        </w:rPr>
        <w:t>37%</w:t>
      </w:r>
    </w:p>
    <w:p w:rsid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việc đã giảm so với cùng kỳ năm 2024, có thể là do điều kiện biển xấu kéo dài do gió mùa Đông Bắc kéo dài, và các nỗ lực thực thi pháp luật được tăng cường của chính quyền khu vực, khiến các hoạt động IHM gặp khó khăn. Tuy nhiên, số lượng người di cư về phía nam từ Bangladesh và Myanmar đã tăng đáng kể, có thể là do điều kiện sống trong các trại tị nạn của Liên Hợp Quốc tại Bangladesh ngày càng tồi tệ.</w:t>
      </w:r>
    </w:p>
    <w:p w:rsidR="00F4420B" w:rsidRDefault="00F4420B" w:rsidP="00F4420B">
      <w:pPr>
        <w:shd w:val="clear" w:color="auto" w:fill="FFFFFF"/>
        <w:spacing w:after="0" w:line="390" w:lineRule="atLeast"/>
        <w:textAlignment w:val="baseline"/>
        <w:rPr>
          <w:rFonts w:ascii="inherit" w:eastAsia="Times New Roman" w:hAnsi="inherit" w:cs="Helvetica"/>
          <w:color w:val="333333"/>
          <w:sz w:val="24"/>
          <w:szCs w:val="24"/>
        </w:rPr>
      </w:pPr>
      <w:r w:rsidRPr="00F4420B">
        <w:rPr>
          <w:rFonts w:ascii="inherit" w:eastAsia="Times New Roman" w:hAnsi="inherit" w:cs="Helvetica"/>
          <w:noProof/>
          <w:color w:val="A0A0A0"/>
          <w:sz w:val="24"/>
          <w:szCs w:val="24"/>
          <w:bdr w:val="none" w:sz="0" w:space="0" w:color="auto" w:frame="1"/>
        </w:rPr>
        <w:drawing>
          <wp:inline distT="0" distB="0" distL="0" distR="0">
            <wp:extent cx="6072364" cy="2522220"/>
            <wp:effectExtent l="0" t="0" r="5080" b="0"/>
            <wp:docPr id="5" name="Picture 5" descr="maritime security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time security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087" cy="2526674"/>
                    </a:xfrm>
                    <a:prstGeom prst="rect">
                      <a:avLst/>
                    </a:prstGeom>
                    <a:noFill/>
                    <a:ln>
                      <a:noFill/>
                    </a:ln>
                  </pic:spPr>
                </pic:pic>
              </a:graphicData>
            </a:graphic>
          </wp:inline>
        </w:drawing>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IFC dự kiến IHM sẽ vẫn là một vấn đề đáng quan ngại trong nửa cuối năm 2025, do bất ổn kinh tế hoặc chính trị, xung đột và sự di dời của các nhóm thiểu số tiếp tục là những tác nhân chính gây ra IHM.</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rPr>
      </w:pPr>
      <w:r w:rsidRPr="00D3351E">
        <w:rPr>
          <w:rFonts w:ascii="Times New Roman" w:eastAsia="Times New Roman" w:hAnsi="Times New Roman" w:cs="Times New Roman"/>
          <w:b/>
          <w:color w:val="FF0000"/>
          <w:sz w:val="26"/>
          <w:szCs w:val="26"/>
        </w:rPr>
        <w:t>An ninh môi trường (ENVSEC)</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được báo cáo trong năm 2025: 19 (</w:t>
      </w:r>
      <w:r>
        <w:rPr>
          <w:rFonts w:ascii="Times New Roman" w:eastAsia="Times New Roman" w:hAnsi="Times New Roman" w:cs="Times New Roman"/>
          <w:sz w:val="26"/>
          <w:szCs w:val="26"/>
        </w:rPr>
        <w:t xml:space="preserve">so với </w:t>
      </w:r>
      <w:r w:rsidRPr="00D3351E">
        <w:rPr>
          <w:rFonts w:ascii="Times New Roman" w:eastAsia="Times New Roman" w:hAnsi="Times New Roman" w:cs="Times New Roman"/>
          <w:sz w:val="26"/>
          <w:szCs w:val="26"/>
        </w:rPr>
        <w:t xml:space="preserve">18 vụ </w:t>
      </w:r>
      <w:r>
        <w:rPr>
          <w:rFonts w:ascii="Times New Roman" w:eastAsia="Times New Roman" w:hAnsi="Times New Roman" w:cs="Times New Roman"/>
          <w:sz w:val="26"/>
          <w:szCs w:val="26"/>
        </w:rPr>
        <w:t xml:space="preserve">của cùng kỳ năm 2024) tăng </w:t>
      </w:r>
      <w:r w:rsidRPr="00D3351E">
        <w:rPr>
          <w:rFonts w:ascii="Times New Roman" w:eastAsia="Times New Roman" w:hAnsi="Times New Roman" w:cs="Times New Roman"/>
          <w:sz w:val="26"/>
          <w:szCs w:val="26"/>
        </w:rPr>
        <w:t>6%</w:t>
      </w:r>
    </w:p>
    <w:p w:rsid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 xml:space="preserve">Số vụ việc vẫn tương đương với cùng kỳ năm 2024. Phần lớn các vụ là do </w:t>
      </w:r>
      <w:r>
        <w:rPr>
          <w:rFonts w:ascii="Times New Roman" w:eastAsia="Times New Roman" w:hAnsi="Times New Roman" w:cs="Times New Roman"/>
          <w:sz w:val="26"/>
          <w:szCs w:val="26"/>
        </w:rPr>
        <w:t xml:space="preserve">vi phạm </w:t>
      </w:r>
      <w:r w:rsidRPr="00D3351E">
        <w:rPr>
          <w:rFonts w:ascii="Times New Roman" w:eastAsia="Times New Roman" w:hAnsi="Times New Roman" w:cs="Times New Roman"/>
          <w:sz w:val="26"/>
          <w:szCs w:val="26"/>
        </w:rPr>
        <w:t>MARPOL gây ra, chủ yếu ở vùng biển ngoài khơi Hàn Quốc, Indonesia và Thái Lan.</w:t>
      </w:r>
    </w:p>
    <w:p w:rsidR="00F4420B" w:rsidRDefault="00F4420B" w:rsidP="00F4420B">
      <w:pPr>
        <w:shd w:val="clear" w:color="auto" w:fill="FFFFFF"/>
        <w:spacing w:after="0" w:line="390" w:lineRule="atLeast"/>
        <w:textAlignment w:val="baseline"/>
        <w:rPr>
          <w:rFonts w:ascii="inherit" w:eastAsia="Times New Roman" w:hAnsi="inherit" w:cs="Helvetica"/>
          <w:color w:val="333333"/>
          <w:sz w:val="24"/>
          <w:szCs w:val="24"/>
        </w:rPr>
      </w:pPr>
      <w:r w:rsidRPr="00F4420B">
        <w:rPr>
          <w:rFonts w:ascii="inherit" w:eastAsia="Times New Roman" w:hAnsi="inherit" w:cs="Helvetica"/>
          <w:noProof/>
          <w:color w:val="A0A0A0"/>
          <w:sz w:val="24"/>
          <w:szCs w:val="24"/>
          <w:bdr w:val="none" w:sz="0" w:space="0" w:color="auto" w:frame="1"/>
        </w:rPr>
        <w:lastRenderedPageBreak/>
        <w:drawing>
          <wp:inline distT="0" distB="0" distL="0" distR="0">
            <wp:extent cx="6006301" cy="1844040"/>
            <wp:effectExtent l="0" t="0" r="0" b="3810"/>
            <wp:docPr id="4" name="Picture 4" descr="maritime security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itime security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792" cy="1854629"/>
                    </a:xfrm>
                    <a:prstGeom prst="rect">
                      <a:avLst/>
                    </a:prstGeom>
                    <a:noFill/>
                    <a:ln>
                      <a:noFill/>
                    </a:ln>
                  </pic:spPr>
                </pic:pic>
              </a:graphicData>
            </a:graphic>
          </wp:inline>
        </w:drawing>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IFC dự kiến ENVSEC sẽ vẫn là một lĩnh vực đáng quan ngại trong nửa cuối năm 2025, có thể do hoạt động hàng hải vẫn tiếp tục ở mức cao, góp phần làm tăng khả năng xả thải bừa bãi từ tàu thuyền, đồng thời làm tăng nguy cơ tràn dầu và tai nạn.</w:t>
      </w:r>
    </w:p>
    <w:p w:rsidR="00D3351E" w:rsidRPr="00A40D87"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color w:val="FF0000"/>
          <w:sz w:val="26"/>
          <w:szCs w:val="26"/>
        </w:rPr>
      </w:pPr>
      <w:r w:rsidRPr="00A40D87">
        <w:rPr>
          <w:rFonts w:ascii="Times New Roman" w:eastAsia="Times New Roman" w:hAnsi="Times New Roman" w:cs="Times New Roman"/>
          <w:color w:val="FF0000"/>
          <w:sz w:val="26"/>
          <w:szCs w:val="26"/>
        </w:rPr>
        <w:t>An ninh mạng (CYBSEC)</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Số vụ việc được báo cáo trong năm 2025: 6 (</w:t>
      </w:r>
      <w:r w:rsidR="00A40D87">
        <w:rPr>
          <w:rFonts w:ascii="Times New Roman" w:eastAsia="Times New Roman" w:hAnsi="Times New Roman" w:cs="Times New Roman"/>
          <w:sz w:val="26"/>
          <w:szCs w:val="26"/>
        </w:rPr>
        <w:t xml:space="preserve">so với 4 </w:t>
      </w:r>
      <w:r w:rsidRPr="00D3351E">
        <w:rPr>
          <w:rFonts w:ascii="Times New Roman" w:eastAsia="Times New Roman" w:hAnsi="Times New Roman" w:cs="Times New Roman"/>
          <w:sz w:val="26"/>
          <w:szCs w:val="26"/>
        </w:rPr>
        <w:t xml:space="preserve">vụ </w:t>
      </w:r>
      <w:r w:rsidR="00A40D87">
        <w:rPr>
          <w:rFonts w:ascii="Times New Roman" w:eastAsia="Times New Roman" w:hAnsi="Times New Roman" w:cs="Times New Roman"/>
          <w:sz w:val="26"/>
          <w:szCs w:val="26"/>
        </w:rPr>
        <w:t xml:space="preserve">của cùng kỳ năm 2024) giảm </w:t>
      </w:r>
      <w:r w:rsidRPr="00D3351E">
        <w:rPr>
          <w:rFonts w:ascii="Times New Roman" w:eastAsia="Times New Roman" w:hAnsi="Times New Roman" w:cs="Times New Roman"/>
          <w:sz w:val="26"/>
          <w:szCs w:val="26"/>
        </w:rPr>
        <w:t>50%</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Mặc dù tổng số vụ việc vẫn ở mức thấp, nhưng nhiều khả năng vẫn còn nhiều vụ chưa được báo cáo. IFC dự kiến các mối đe dọa an ninh mạng trong ngành sẽ vẫn ở mức đáng kể trong nửa cuối năm 2025, thể hiện qua các vụ tấn công mạng và sự cố cáp ngầm tiếp tục xảy ra trên toàn cầu.</w:t>
      </w:r>
    </w:p>
    <w:p w:rsidR="00D3351E" w:rsidRPr="00A40D87"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b/>
          <w:color w:val="FF0000"/>
          <w:sz w:val="26"/>
          <w:szCs w:val="26"/>
        </w:rPr>
      </w:pPr>
      <w:r w:rsidRPr="00A40D87">
        <w:rPr>
          <w:rFonts w:ascii="Times New Roman" w:eastAsia="Times New Roman" w:hAnsi="Times New Roman" w:cs="Times New Roman"/>
          <w:b/>
          <w:color w:val="FF0000"/>
          <w:sz w:val="26"/>
          <w:szCs w:val="26"/>
        </w:rPr>
        <w:t>Khủng bố hàng hải (MT)</w:t>
      </w:r>
    </w:p>
    <w:p w:rsidR="00D3351E" w:rsidRPr="00D3351E"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 xml:space="preserve">Số vụ việc được báo cáo trong năm 2025: 0 (0 vụ </w:t>
      </w:r>
      <w:r w:rsidR="00A40D87" w:rsidRPr="00D3351E">
        <w:rPr>
          <w:rFonts w:ascii="Times New Roman" w:eastAsia="Times New Roman" w:hAnsi="Times New Roman" w:cs="Times New Roman"/>
          <w:sz w:val="26"/>
          <w:szCs w:val="26"/>
        </w:rPr>
        <w:t>cùng kỳ</w:t>
      </w:r>
      <w:r w:rsidR="00A40D87" w:rsidRPr="00D3351E">
        <w:rPr>
          <w:rFonts w:ascii="Times New Roman" w:eastAsia="Times New Roman" w:hAnsi="Times New Roman" w:cs="Times New Roman"/>
          <w:sz w:val="26"/>
          <w:szCs w:val="26"/>
        </w:rPr>
        <w:t xml:space="preserve"> </w:t>
      </w:r>
      <w:r w:rsidR="00A40D87">
        <w:rPr>
          <w:rFonts w:ascii="Times New Roman" w:eastAsia="Times New Roman" w:hAnsi="Times New Roman" w:cs="Times New Roman"/>
          <w:sz w:val="26"/>
          <w:szCs w:val="26"/>
        </w:rPr>
        <w:t>của</w:t>
      </w:r>
      <w:r w:rsidRPr="00D3351E">
        <w:rPr>
          <w:rFonts w:ascii="Times New Roman" w:eastAsia="Times New Roman" w:hAnsi="Times New Roman" w:cs="Times New Roman"/>
          <w:sz w:val="26"/>
          <w:szCs w:val="26"/>
        </w:rPr>
        <w:t xml:space="preserve"> năm 2024)</w:t>
      </w:r>
    </w:p>
    <w:p w:rsidR="00D3351E" w:rsidRPr="00F4420B" w:rsidRDefault="00D3351E" w:rsidP="00D3351E">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D3351E">
        <w:rPr>
          <w:rFonts w:ascii="Times New Roman" w:eastAsia="Times New Roman" w:hAnsi="Times New Roman" w:cs="Times New Roman"/>
          <w:sz w:val="26"/>
          <w:szCs w:val="26"/>
        </w:rPr>
        <w:t>Không có vụ việc nào xảy ra kể từ năm 2021, có thể là do các nỗ lực thực thi pháp luật đang diễn ra của các cơ quan chức năng.</w:t>
      </w:r>
    </w:p>
    <w:p w:rsidR="00F4420B" w:rsidRPr="00F4420B" w:rsidRDefault="00A40D87" w:rsidP="00F4420B">
      <w:pPr>
        <w:shd w:val="clear" w:color="auto" w:fill="FFFFFF"/>
        <w:spacing w:after="150" w:line="240" w:lineRule="auto"/>
        <w:jc w:val="center"/>
        <w:textAlignment w:val="baseline"/>
        <w:rPr>
          <w:rFonts w:ascii="inherit" w:eastAsia="Times New Roman" w:hAnsi="inherit" w:cs="Helvetica"/>
          <w:sz w:val="24"/>
          <w:szCs w:val="24"/>
        </w:rPr>
      </w:pPr>
      <w:r w:rsidRPr="00A40D87">
        <w:rPr>
          <w:rFonts w:ascii="inherit" w:eastAsia="Times New Roman" w:hAnsi="inherit" w:cs="Helvetica"/>
          <w:b/>
          <w:bCs/>
          <w:sz w:val="15"/>
          <w:szCs w:val="15"/>
          <w:bdr w:val="none" w:sz="0" w:space="0" w:color="auto" w:frame="1"/>
        </w:rPr>
        <w:t>----------------------------------------------------------------------</w:t>
      </w:r>
      <w:r w:rsidR="00F4420B" w:rsidRPr="00A40D87">
        <w:rPr>
          <w:rFonts w:ascii="inherit" w:eastAsia="Times New Roman" w:hAnsi="inherit" w:cs="Helvetica"/>
          <w:noProof/>
          <w:sz w:val="24"/>
          <w:szCs w:val="24"/>
        </w:rPr>
        <mc:AlternateContent>
          <mc:Choice Requires="wps">
            <w:drawing>
              <wp:inline distT="0" distB="0" distL="0" distR="0" wp14:anchorId="6E65014A" wp14:editId="33EF70F0">
                <wp:extent cx="304800" cy="304800"/>
                <wp:effectExtent l="0" t="0" r="0" b="0"/>
                <wp:docPr id="2" name="Rectangle 2" descr="IFC: Key maritime security trends in the first six months of 2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033BB" id="Rectangle 2" o:spid="_x0000_s1026" alt="IFC: Key maritime security trends in the first six months of 20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n3eXW5QIAAAE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F4420B" w:rsidRPr="00F4420B" w:rsidRDefault="00F4420B" w:rsidP="00F4420B">
      <w:pPr>
        <w:shd w:val="clear" w:color="auto" w:fill="FFFFFF"/>
        <w:spacing w:line="240" w:lineRule="auto"/>
        <w:jc w:val="center"/>
        <w:textAlignment w:val="baseline"/>
        <w:rPr>
          <w:rFonts w:ascii="inherit" w:eastAsia="Times New Roman" w:hAnsi="inherit" w:cs="Helvetica"/>
          <w:color w:val="333333"/>
          <w:sz w:val="24"/>
          <w:szCs w:val="24"/>
        </w:rPr>
      </w:pPr>
    </w:p>
    <w:p w:rsidR="004179EE" w:rsidRDefault="004179EE"/>
    <w:sectPr w:rsidR="004179EE" w:rsidSect="00F4420B">
      <w:pgSz w:w="12240" w:h="15840"/>
      <w:pgMar w:top="990" w:right="126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0B"/>
    <w:rsid w:val="004179EE"/>
    <w:rsid w:val="00A40D87"/>
    <w:rsid w:val="00D3351E"/>
    <w:rsid w:val="00F44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CE289"/>
  <w15:chartTrackingRefBased/>
  <w15:docId w15:val="{DC48A1AD-890E-4F1F-838B-F94378C1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442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442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F4420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20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4420B"/>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F4420B"/>
    <w:rPr>
      <w:rFonts w:ascii="Times New Roman" w:eastAsia="Times New Roman" w:hAnsi="Times New Roman" w:cs="Times New Roman"/>
      <w:b/>
      <w:bCs/>
      <w:sz w:val="15"/>
      <w:szCs w:val="15"/>
    </w:rPr>
  </w:style>
  <w:style w:type="character" w:customStyle="1" w:styleId="metatext">
    <w:name w:val="meta_text"/>
    <w:basedOn w:val="DefaultParagraphFont"/>
    <w:rsid w:val="00F4420B"/>
  </w:style>
  <w:style w:type="character" w:styleId="Hyperlink">
    <w:name w:val="Hyperlink"/>
    <w:basedOn w:val="DefaultParagraphFont"/>
    <w:uiPriority w:val="99"/>
    <w:semiHidden/>
    <w:unhideWhenUsed/>
    <w:rsid w:val="00F4420B"/>
    <w:rPr>
      <w:color w:val="0000FF"/>
      <w:u w:val="single"/>
    </w:rPr>
  </w:style>
  <w:style w:type="paragraph" w:customStyle="1" w:styleId="wp-caption-text">
    <w:name w:val="wp-caption-text"/>
    <w:basedOn w:val="Normal"/>
    <w:rsid w:val="00F442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44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F4420B"/>
  </w:style>
  <w:style w:type="character" w:styleId="Strong">
    <w:name w:val="Strong"/>
    <w:basedOn w:val="DefaultParagraphFont"/>
    <w:uiPriority w:val="22"/>
    <w:qFormat/>
    <w:rsid w:val="00F442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47978">
      <w:bodyDiv w:val="1"/>
      <w:marLeft w:val="0"/>
      <w:marRight w:val="0"/>
      <w:marTop w:val="0"/>
      <w:marBottom w:val="0"/>
      <w:divBdr>
        <w:top w:val="none" w:sz="0" w:space="0" w:color="auto"/>
        <w:left w:val="none" w:sz="0" w:space="0" w:color="auto"/>
        <w:bottom w:val="none" w:sz="0" w:space="0" w:color="auto"/>
        <w:right w:val="none" w:sz="0" w:space="0" w:color="auto"/>
      </w:divBdr>
      <w:divsChild>
        <w:div w:id="1271012401">
          <w:marLeft w:val="0"/>
          <w:marRight w:val="0"/>
          <w:marTop w:val="0"/>
          <w:marBottom w:val="450"/>
          <w:divBdr>
            <w:top w:val="none" w:sz="0" w:space="0" w:color="auto"/>
            <w:left w:val="none" w:sz="0" w:space="0" w:color="auto"/>
            <w:bottom w:val="single" w:sz="12" w:space="11" w:color="111111"/>
            <w:right w:val="none" w:sz="0" w:space="0" w:color="auto"/>
          </w:divBdr>
          <w:divsChild>
            <w:div w:id="1093819007">
              <w:marLeft w:val="0"/>
              <w:marRight w:val="0"/>
              <w:marTop w:val="0"/>
              <w:marBottom w:val="0"/>
              <w:divBdr>
                <w:top w:val="none" w:sz="0" w:space="0" w:color="auto"/>
                <w:left w:val="none" w:sz="0" w:space="0" w:color="auto"/>
                <w:bottom w:val="none" w:sz="0" w:space="0" w:color="auto"/>
                <w:right w:val="none" w:sz="0" w:space="0" w:color="auto"/>
              </w:divBdr>
              <w:divsChild>
                <w:div w:id="1999992085">
                  <w:marLeft w:val="0"/>
                  <w:marRight w:val="0"/>
                  <w:marTop w:val="0"/>
                  <w:marBottom w:val="0"/>
                  <w:divBdr>
                    <w:top w:val="none" w:sz="0" w:space="0" w:color="auto"/>
                    <w:left w:val="none" w:sz="0" w:space="0" w:color="auto"/>
                    <w:bottom w:val="none" w:sz="0" w:space="0" w:color="auto"/>
                    <w:right w:val="none" w:sz="0" w:space="0" w:color="auto"/>
                  </w:divBdr>
                  <w:divsChild>
                    <w:div w:id="1402289192">
                      <w:marLeft w:val="0"/>
                      <w:marRight w:val="240"/>
                      <w:marTop w:val="0"/>
                      <w:marBottom w:val="0"/>
                      <w:divBdr>
                        <w:top w:val="none" w:sz="0" w:space="0" w:color="auto"/>
                        <w:left w:val="none" w:sz="0" w:space="0" w:color="auto"/>
                        <w:bottom w:val="none" w:sz="0" w:space="0" w:color="auto"/>
                        <w:right w:val="none" w:sz="0" w:space="0" w:color="auto"/>
                      </w:divBdr>
                      <w:divsChild>
                        <w:div w:id="1713769326">
                          <w:marLeft w:val="0"/>
                          <w:marRight w:val="90"/>
                          <w:marTop w:val="0"/>
                          <w:marBottom w:val="0"/>
                          <w:divBdr>
                            <w:top w:val="none" w:sz="0" w:space="0" w:color="auto"/>
                            <w:left w:val="none" w:sz="0" w:space="0" w:color="auto"/>
                            <w:bottom w:val="none" w:sz="0" w:space="0" w:color="auto"/>
                            <w:right w:val="none" w:sz="0" w:space="0" w:color="auto"/>
                          </w:divBdr>
                        </w:div>
                        <w:div w:id="368605405">
                          <w:marLeft w:val="0"/>
                          <w:marRight w:val="90"/>
                          <w:marTop w:val="0"/>
                          <w:marBottom w:val="0"/>
                          <w:divBdr>
                            <w:top w:val="none" w:sz="0" w:space="0" w:color="auto"/>
                            <w:left w:val="none" w:sz="0" w:space="0" w:color="auto"/>
                            <w:bottom w:val="none" w:sz="0" w:space="0" w:color="auto"/>
                            <w:right w:val="none" w:sz="0" w:space="0" w:color="auto"/>
                          </w:divBdr>
                        </w:div>
                        <w:div w:id="16905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8402">
          <w:marLeft w:val="-225"/>
          <w:marRight w:val="-225"/>
          <w:marTop w:val="0"/>
          <w:marBottom w:val="0"/>
          <w:divBdr>
            <w:top w:val="none" w:sz="0" w:space="0" w:color="auto"/>
            <w:left w:val="none" w:sz="0" w:space="0" w:color="auto"/>
            <w:bottom w:val="none" w:sz="0" w:space="0" w:color="auto"/>
            <w:right w:val="none" w:sz="0" w:space="0" w:color="auto"/>
          </w:divBdr>
          <w:divsChild>
            <w:div w:id="1521623266">
              <w:marLeft w:val="0"/>
              <w:marRight w:val="0"/>
              <w:marTop w:val="0"/>
              <w:marBottom w:val="0"/>
              <w:divBdr>
                <w:top w:val="none" w:sz="0" w:space="0" w:color="auto"/>
                <w:left w:val="none" w:sz="0" w:space="0" w:color="auto"/>
                <w:bottom w:val="none" w:sz="0" w:space="0" w:color="auto"/>
                <w:right w:val="none" w:sz="0" w:space="0" w:color="auto"/>
              </w:divBdr>
              <w:divsChild>
                <w:div w:id="924264256">
                  <w:marLeft w:val="0"/>
                  <w:marRight w:val="0"/>
                  <w:marTop w:val="0"/>
                  <w:marBottom w:val="0"/>
                  <w:divBdr>
                    <w:top w:val="none" w:sz="0" w:space="0" w:color="auto"/>
                    <w:left w:val="none" w:sz="0" w:space="0" w:color="auto"/>
                    <w:bottom w:val="none" w:sz="0" w:space="0" w:color="auto"/>
                    <w:right w:val="none" w:sz="0" w:space="0" w:color="auto"/>
                  </w:divBdr>
                  <w:divsChild>
                    <w:div w:id="1979067041">
                      <w:marLeft w:val="0"/>
                      <w:marRight w:val="0"/>
                      <w:marTop w:val="0"/>
                      <w:marBottom w:val="450"/>
                      <w:divBdr>
                        <w:top w:val="none" w:sz="0" w:space="0" w:color="auto"/>
                        <w:left w:val="none" w:sz="0" w:space="0" w:color="auto"/>
                        <w:bottom w:val="none" w:sz="0" w:space="0" w:color="auto"/>
                        <w:right w:val="none" w:sz="0" w:space="0" w:color="auto"/>
                      </w:divBdr>
                      <w:divsChild>
                        <w:div w:id="1871260495">
                          <w:marLeft w:val="0"/>
                          <w:marRight w:val="0"/>
                          <w:marTop w:val="0"/>
                          <w:marBottom w:val="0"/>
                          <w:divBdr>
                            <w:top w:val="none" w:sz="0" w:space="0" w:color="auto"/>
                            <w:left w:val="none" w:sz="0" w:space="0" w:color="auto"/>
                            <w:bottom w:val="none" w:sz="0" w:space="0" w:color="auto"/>
                            <w:right w:val="none" w:sz="0" w:space="0" w:color="auto"/>
                          </w:divBdr>
                          <w:divsChild>
                            <w:div w:id="8150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7418">
                      <w:marLeft w:val="0"/>
                      <w:marRight w:val="0"/>
                      <w:marTop w:val="0"/>
                      <w:marBottom w:val="450"/>
                      <w:divBdr>
                        <w:top w:val="none" w:sz="0" w:space="0" w:color="auto"/>
                        <w:left w:val="none" w:sz="0" w:space="0" w:color="auto"/>
                        <w:bottom w:val="none" w:sz="0" w:space="0" w:color="auto"/>
                        <w:right w:val="none" w:sz="0" w:space="0" w:color="auto"/>
                      </w:divBdr>
                      <w:divsChild>
                        <w:div w:id="158037665">
                          <w:marLeft w:val="1350"/>
                          <w:marRight w:val="0"/>
                          <w:marTop w:val="0"/>
                          <w:marBottom w:val="0"/>
                          <w:divBdr>
                            <w:top w:val="none" w:sz="0" w:space="0" w:color="auto"/>
                            <w:left w:val="none" w:sz="0" w:space="0" w:color="auto"/>
                            <w:bottom w:val="none" w:sz="0" w:space="0" w:color="auto"/>
                            <w:right w:val="none" w:sz="0" w:space="0" w:color="auto"/>
                          </w:divBdr>
                          <w:divsChild>
                            <w:div w:id="1732576663">
                              <w:marLeft w:val="0"/>
                              <w:marRight w:val="0"/>
                              <w:marTop w:val="0"/>
                              <w:marBottom w:val="0"/>
                              <w:divBdr>
                                <w:top w:val="none" w:sz="0" w:space="0" w:color="auto"/>
                                <w:left w:val="none" w:sz="0" w:space="0" w:color="auto"/>
                                <w:bottom w:val="none" w:sz="0" w:space="0" w:color="auto"/>
                                <w:right w:val="none" w:sz="0" w:space="0" w:color="auto"/>
                              </w:divBdr>
                              <w:divsChild>
                                <w:div w:id="1912734560">
                                  <w:marLeft w:val="0"/>
                                  <w:marRight w:val="0"/>
                                  <w:marTop w:val="0"/>
                                  <w:marBottom w:val="0"/>
                                  <w:divBdr>
                                    <w:top w:val="none" w:sz="0" w:space="0" w:color="auto"/>
                                    <w:left w:val="none" w:sz="0" w:space="0" w:color="auto"/>
                                    <w:bottom w:val="none" w:sz="0" w:space="0" w:color="auto"/>
                                    <w:right w:val="none" w:sz="0" w:space="0" w:color="auto"/>
                                  </w:divBdr>
                                </w:div>
                                <w:div w:id="1489201571">
                                  <w:marLeft w:val="0"/>
                                  <w:marRight w:val="0"/>
                                  <w:marTop w:val="0"/>
                                  <w:marBottom w:val="0"/>
                                  <w:divBdr>
                                    <w:top w:val="none" w:sz="0" w:space="0" w:color="auto"/>
                                    <w:left w:val="none" w:sz="0" w:space="0" w:color="auto"/>
                                    <w:bottom w:val="none" w:sz="0" w:space="0" w:color="auto"/>
                                    <w:right w:val="none" w:sz="0" w:space="0" w:color="auto"/>
                                  </w:divBdr>
                                  <w:divsChild>
                                    <w:div w:id="1680426818">
                                      <w:marLeft w:val="0"/>
                                      <w:marRight w:val="0"/>
                                      <w:marTop w:val="0"/>
                                      <w:marBottom w:val="0"/>
                                      <w:divBdr>
                                        <w:top w:val="none" w:sz="0" w:space="0" w:color="auto"/>
                                        <w:left w:val="none" w:sz="0" w:space="0" w:color="auto"/>
                                        <w:bottom w:val="none" w:sz="0" w:space="0" w:color="auto"/>
                                        <w:right w:val="none" w:sz="0" w:space="0" w:color="auto"/>
                                      </w:divBdr>
                                      <w:divsChild>
                                        <w:div w:id="1771924964">
                                          <w:marLeft w:val="0"/>
                                          <w:marRight w:val="0"/>
                                          <w:marTop w:val="0"/>
                                          <w:marBottom w:val="300"/>
                                          <w:divBdr>
                                            <w:top w:val="none" w:sz="0" w:space="0" w:color="auto"/>
                                            <w:left w:val="none" w:sz="0" w:space="0" w:color="auto"/>
                                            <w:bottom w:val="none" w:sz="0" w:space="0" w:color="auto"/>
                                            <w:right w:val="none" w:sz="0" w:space="0" w:color="auto"/>
                                          </w:divBdr>
                                          <w:divsChild>
                                            <w:div w:id="2028480681">
                                              <w:marLeft w:val="0"/>
                                              <w:marRight w:val="0"/>
                                              <w:marTop w:val="0"/>
                                              <w:marBottom w:val="225"/>
                                              <w:divBdr>
                                                <w:top w:val="none" w:sz="0" w:space="0" w:color="auto"/>
                                                <w:left w:val="none" w:sz="0" w:space="0" w:color="auto"/>
                                                <w:bottom w:val="none" w:sz="0" w:space="0" w:color="auto"/>
                                                <w:right w:val="none" w:sz="0" w:space="0" w:color="auto"/>
                                              </w:divBdr>
                                            </w:div>
                                            <w:div w:id="1529368868">
                                              <w:marLeft w:val="0"/>
                                              <w:marRight w:val="0"/>
                                              <w:marTop w:val="0"/>
                                              <w:marBottom w:val="0"/>
                                              <w:divBdr>
                                                <w:top w:val="none" w:sz="0" w:space="0" w:color="auto"/>
                                                <w:left w:val="none" w:sz="0" w:space="0" w:color="auto"/>
                                                <w:bottom w:val="none" w:sz="0" w:space="0" w:color="auto"/>
                                                <w:right w:val="none" w:sz="0" w:space="0" w:color="auto"/>
                                              </w:divBdr>
                                              <w:divsChild>
                                                <w:div w:id="219053631">
                                                  <w:marLeft w:val="0"/>
                                                  <w:marRight w:val="0"/>
                                                  <w:marTop w:val="0"/>
                                                  <w:marBottom w:val="0"/>
                                                  <w:divBdr>
                                                    <w:top w:val="none" w:sz="0" w:space="0" w:color="auto"/>
                                                    <w:left w:val="none" w:sz="0" w:space="0" w:color="auto"/>
                                                    <w:bottom w:val="none" w:sz="0" w:space="0" w:color="auto"/>
                                                    <w:right w:val="none" w:sz="0" w:space="0" w:color="auto"/>
                                                  </w:divBdr>
                                                  <w:divsChild>
                                                    <w:div w:id="1049707">
                                                      <w:marLeft w:val="0"/>
                                                      <w:marRight w:val="0"/>
                                                      <w:marTop w:val="0"/>
                                                      <w:marBottom w:val="0"/>
                                                      <w:divBdr>
                                                        <w:top w:val="none" w:sz="0" w:space="0" w:color="auto"/>
                                                        <w:left w:val="none" w:sz="0" w:space="0" w:color="auto"/>
                                                        <w:bottom w:val="none" w:sz="0" w:space="0" w:color="auto"/>
                                                        <w:right w:val="none" w:sz="0" w:space="0" w:color="auto"/>
                                                      </w:divBdr>
                                                      <w:divsChild>
                                                        <w:div w:id="1638366617">
                                                          <w:marLeft w:val="0"/>
                                                          <w:marRight w:val="0"/>
                                                          <w:marTop w:val="0"/>
                                                          <w:marBottom w:val="0"/>
                                                          <w:divBdr>
                                                            <w:top w:val="none" w:sz="0" w:space="0" w:color="auto"/>
                                                            <w:left w:val="none" w:sz="0" w:space="0" w:color="auto"/>
                                                            <w:bottom w:val="none" w:sz="0" w:space="0" w:color="auto"/>
                                                            <w:right w:val="none" w:sz="0" w:space="0" w:color="auto"/>
                                                          </w:divBdr>
                                                        </w:div>
                                                        <w:div w:id="2072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462435">
                                  <w:marLeft w:val="0"/>
                                  <w:marRight w:val="0"/>
                                  <w:marTop w:val="0"/>
                                  <w:marBottom w:val="300"/>
                                  <w:divBdr>
                                    <w:top w:val="none" w:sz="0" w:space="0" w:color="auto"/>
                                    <w:left w:val="none" w:sz="0" w:space="0" w:color="auto"/>
                                    <w:bottom w:val="none" w:sz="0" w:space="0" w:color="auto"/>
                                    <w:right w:val="none" w:sz="0" w:space="0" w:color="auto"/>
                                  </w:divBdr>
                                  <w:divsChild>
                                    <w:div w:id="724179100">
                                      <w:marLeft w:val="0"/>
                                      <w:marRight w:val="450"/>
                                      <w:marTop w:val="750"/>
                                      <w:marBottom w:val="150"/>
                                      <w:divBdr>
                                        <w:top w:val="none" w:sz="0" w:space="0" w:color="auto"/>
                                        <w:left w:val="none" w:sz="0" w:space="0" w:color="auto"/>
                                        <w:bottom w:val="none" w:sz="0" w:space="0" w:color="auto"/>
                                        <w:right w:val="none" w:sz="0" w:space="0" w:color="auto"/>
                                      </w:divBdr>
                                    </w:div>
                                    <w:div w:id="356126060">
                                      <w:marLeft w:val="0"/>
                                      <w:marRight w:val="0"/>
                                      <w:marTop w:val="7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fety4sea.com/wp-content/uploads/2025/08/ifc-fishing.png" TargetMode="External"/><Relationship Id="rId18"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safety4sea.com/wp-content/uploads/2025/08/ifc-theft.png" TargetMode="External"/><Relationship Id="rId12" Type="http://schemas.openxmlformats.org/officeDocument/2006/relationships/image" Target="media/image4.png"/><Relationship Id="rId17" Type="http://schemas.openxmlformats.org/officeDocument/2006/relationships/hyperlink" Target="https://safety4sea.com/wp-content/uploads/2025/08/icf-env-sec.pn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afety4sea.com/wp-content/uploads/2025/08/ifc-contraband.png" TargetMode="External"/><Relationship Id="rId5" Type="http://schemas.openxmlformats.org/officeDocument/2006/relationships/hyperlink" Target="https://safety4sea.com/wp-content/uploads/2018/04/somalia-piracy-e1522933229720.png" TargetMode="External"/><Relationship Id="rId15" Type="http://schemas.openxmlformats.org/officeDocument/2006/relationships/hyperlink" Target="https://safety4sea.com/wp-content/uploads/2025/08/ifc-iregular-migration.pn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hyperlink" Target="https://safety4sea.com/category/safety-parent/security/" TargetMode="External"/><Relationship Id="rId9" Type="http://schemas.openxmlformats.org/officeDocument/2006/relationships/hyperlink" Target="https://safety4sea.com/wp-content/uploads/2025/08/ifc-mi.p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2025-08-14T07:18:00Z</dcterms:created>
  <dcterms:modified xsi:type="dcterms:W3CDTF">2025-08-14T07:40:00Z</dcterms:modified>
</cp:coreProperties>
</file>