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6A" w:rsidRDefault="00437A4F" w:rsidP="00437A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437A4F">
        <w:rPr>
          <w:rFonts w:ascii="Times New Roman" w:hAnsi="Times New Roman" w:cs="Times New Roman"/>
          <w:b/>
          <w:sz w:val="40"/>
          <w:szCs w:val="40"/>
        </w:rPr>
        <w:t xml:space="preserve">Những đặc điểm </w:t>
      </w:r>
      <w:r w:rsidR="00507D5F" w:rsidRPr="00437A4F">
        <w:rPr>
          <w:rFonts w:ascii="Times New Roman" w:hAnsi="Times New Roman" w:cs="Times New Roman"/>
          <w:b/>
          <w:sz w:val="40"/>
          <w:szCs w:val="40"/>
        </w:rPr>
        <w:t>của ngành hàng hải</w:t>
      </w:r>
      <w:r w:rsidR="00507D5F" w:rsidRPr="00437A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37A4F">
        <w:rPr>
          <w:rFonts w:ascii="Times New Roman" w:hAnsi="Times New Roman" w:cs="Times New Roman"/>
          <w:b/>
          <w:sz w:val="40"/>
          <w:szCs w:val="40"/>
        </w:rPr>
        <w:t xml:space="preserve">ảnh hưởng đến khả năng dễ bị tổn thương trước các sự cố mạng </w:t>
      </w:r>
    </w:p>
    <w:bookmarkEnd w:id="0"/>
    <w:p w:rsidR="00437A4F" w:rsidRPr="00437A4F" w:rsidRDefault="00437A4F" w:rsidP="00437A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43600" cy="3344266"/>
            <wp:effectExtent l="0" t="0" r="0" b="8890"/>
            <wp:docPr id="2" name="Picture 2" descr="The importance of cybersecurity in the maritime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he importance of cybersecurity in the maritime indust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4F" w:rsidRPr="00437A4F" w:rsidRDefault="00437A4F" w:rsidP="00437A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Ngành hàng hải có nhiều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đặc điểm đặc thù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khiến khả năng dễ bị tổn thương trước các sự cố an ninh mạng cao hơn nhiều so với các lĩnh vự</w:t>
      </w:r>
      <w:r>
        <w:rPr>
          <w:rFonts w:ascii="Times New Roman" w:eastAsia="Times New Roman" w:hAnsi="Times New Roman" w:cs="Times New Roman"/>
          <w:sz w:val="26"/>
          <w:szCs w:val="26"/>
        </w:rPr>
        <w:t>c khác. Các nghiên cứu gần đây của DNV, BIMCO, IMO, ENISA… đã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chỉ ra một số </w:t>
      </w:r>
      <w:r w:rsidRPr="00437A4F">
        <w:rPr>
          <w:rFonts w:ascii="Times New Roman" w:eastAsia="Times New Roman" w:hAnsi="Times New Roman" w:cs="Times New Roman"/>
          <w:bCs/>
          <w:sz w:val="26"/>
          <w:szCs w:val="26"/>
        </w:rPr>
        <w:t>yếu tố chính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như sau:</w:t>
      </w:r>
    </w:p>
    <w:p w:rsidR="00437A4F" w:rsidRPr="00437A4F" w:rsidRDefault="00437A4F" w:rsidP="00437A4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Đặc điểm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của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kỹ thuật – công nghệ</w:t>
      </w:r>
    </w:p>
    <w:p w:rsidR="00437A4F" w:rsidRPr="00437A4F" w:rsidRDefault="00437A4F" w:rsidP="00437A4F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Hệ thống OT (Operational Technology)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cũ kỹ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Nhiều tàu vẫn dùng hệ thống điều khiển, ECDIS, AIS</w:t>
      </w:r>
      <w:r>
        <w:rPr>
          <w:rFonts w:ascii="Times New Roman" w:eastAsia="Times New Roman" w:hAnsi="Times New Roman" w:cs="Times New Roman"/>
          <w:sz w:val="26"/>
          <w:szCs w:val="26"/>
        </w:rPr>
        <w:t>, radar… từ hơn 10–15 năm trước mà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không có bản vá bảo mật định kỳ.</w:t>
      </w:r>
    </w:p>
    <w:p w:rsidR="00437A4F" w:rsidRPr="00437A4F" w:rsidRDefault="00437A4F" w:rsidP="00437A4F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Kết nối ngày càng cao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Việc số hóa logistics, IoT, cảm biến, vệ tinh (VSAT), dịch vụ điện toán đám mây cho tàu </w:t>
      </w:r>
      <w:r>
        <w:rPr>
          <w:rFonts w:ascii="Times New Roman" w:eastAsia="Times New Roman" w:hAnsi="Times New Roman" w:cs="Times New Roman"/>
          <w:sz w:val="26"/>
          <w:szCs w:val="26"/>
        </w:rPr>
        <w:t>làm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tăng diện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tấn công.</w:t>
      </w:r>
    </w:p>
    <w:p w:rsidR="00437A4F" w:rsidRPr="00437A4F" w:rsidRDefault="00437A4F" w:rsidP="00437A4F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Thiếu tách biệt giữa IT và OT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Trên nhiều tàu, mạng điều hành (hệ thống điều khiển máy móc, định vị) vẫn kết nối chung hoặc gián tiếp với mạng văn phòng, email, Internet.</w:t>
      </w:r>
    </w:p>
    <w:p w:rsidR="00437A4F" w:rsidRPr="00437A4F" w:rsidRDefault="00437A4F" w:rsidP="00437A4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Đặc điểm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về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vận hành</w:t>
      </w:r>
    </w:p>
    <w:p w:rsidR="00437A4F" w:rsidRPr="00437A4F" w:rsidRDefault="00437A4F" w:rsidP="00437A4F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Độ phân tán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trên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toàn cầu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Tàu biển hoạt động khắp nơi, cập nhiều cảng thuộc nhiều quốc gia </w:t>
      </w:r>
      <w:r>
        <w:rPr>
          <w:rFonts w:ascii="Times New Roman" w:eastAsia="Times New Roman" w:hAnsi="Times New Roman" w:cs="Times New Roman"/>
          <w:sz w:val="26"/>
          <w:szCs w:val="26"/>
        </w:rPr>
        <w:t>nên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khó kiểm soát thống nhất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về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an ninh mạng.</w:t>
      </w:r>
    </w:p>
    <w:p w:rsidR="00437A4F" w:rsidRPr="00437A4F" w:rsidRDefault="00437A4F" w:rsidP="00437A4F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Chuỗi cung ứng phức tạp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Một con tàu liên quan đến nhiều bên: chủ tàu, hãng vận hành, nhà thầu dịch vụ, cảng, hệ thống logistics… </w:t>
      </w:r>
      <w:r>
        <w:rPr>
          <w:rFonts w:ascii="Times New Roman" w:eastAsia="Times New Roman" w:hAnsi="Times New Roman" w:cs="Times New Roman"/>
          <w:sz w:val="26"/>
          <w:szCs w:val="26"/>
        </w:rPr>
        <w:t>dẫn đến có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nhiều điểm truy cập dữ liệu, gia tăng nguy cơ.</w:t>
      </w:r>
    </w:p>
    <w:p w:rsidR="00437A4F" w:rsidRPr="00437A4F" w:rsidRDefault="00437A4F" w:rsidP="00437A4F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Vận hành liên tục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Hầu hết hệ thống phải chạy 24/7, rất khó dừng để cập nhật phần mềm hoặc kiểm tra bảo mật.</w:t>
      </w:r>
    </w:p>
    <w:p w:rsidR="00437A4F" w:rsidRPr="00437A4F" w:rsidRDefault="00437A4F" w:rsidP="00437A4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Đặc điểm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về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con người</w:t>
      </w:r>
    </w:p>
    <w:p w:rsidR="00437A4F" w:rsidRPr="00437A4F" w:rsidRDefault="00437A4F" w:rsidP="00437A4F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Trình độ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của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thuyền viên về CNTT hạn chế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Thuyền viên được đào tạo về hàng hải, nhưng ít được huấn luyện chuyên sâu về an ninh mạng </w:t>
      </w:r>
      <w:r>
        <w:rPr>
          <w:rFonts w:ascii="Times New Roman" w:eastAsia="Times New Roman" w:hAnsi="Times New Roman" w:cs="Times New Roman"/>
          <w:sz w:val="26"/>
          <w:szCs w:val="26"/>
        </w:rPr>
        <w:t>nên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dễ bị phishing, thao tác sai.</w:t>
      </w:r>
    </w:p>
    <w:p w:rsidR="00437A4F" w:rsidRDefault="00437A4F" w:rsidP="00437A4F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Luân chuyển thuyền viên thường xuyên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37A4F" w:rsidRPr="00437A4F" w:rsidRDefault="00437A4F" w:rsidP="00437A4F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Việc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thường xuyên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thay đổi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khiến khó duy trì kiến thức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về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an ninh mạng đồng đều.</w:t>
      </w:r>
    </w:p>
    <w:p w:rsidR="00437A4F" w:rsidRPr="00437A4F" w:rsidRDefault="00437A4F" w:rsidP="00437A4F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Thiếu quy trình ứng phó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với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sự cố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Nhiều tàu chưa có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quy trình chuẩn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SOP (Standard Operating Procedure) khi gặp sự cố mạng </w:t>
      </w:r>
      <w:r>
        <w:rPr>
          <w:rFonts w:ascii="Times New Roman" w:eastAsia="Times New Roman" w:hAnsi="Times New Roman" w:cs="Times New Roman"/>
          <w:sz w:val="26"/>
          <w:szCs w:val="26"/>
        </w:rPr>
        <w:t>nên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phản ứng chậm, xử lý kém.</w:t>
      </w:r>
    </w:p>
    <w:p w:rsidR="00437A4F" w:rsidRPr="00437A4F" w:rsidRDefault="00437A4F" w:rsidP="00437A4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Đặc điểm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về </w:t>
      </w: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tổ chức &amp; chính sách</w:t>
      </w:r>
    </w:p>
    <w:p w:rsidR="00437A4F" w:rsidRPr="00437A4F" w:rsidRDefault="00437A4F" w:rsidP="00437A4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Thiếu chuẩn hóa toàn cầu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 xml:space="preserve">Dù IMO đã ban hành </w:t>
      </w:r>
      <w:r w:rsidRPr="00437A4F">
        <w:rPr>
          <w:rFonts w:ascii="Times New Roman" w:eastAsia="Times New Roman" w:hAnsi="Times New Roman" w:cs="Times New Roman"/>
          <w:i/>
          <w:iCs/>
          <w:sz w:val="26"/>
          <w:szCs w:val="26"/>
        </w:rPr>
        <w:t>Maritime Cyber Risk Management (MSC-FAL.1/Circ.3)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, nhưng mức độ tuân thủ giữa các công ty rất khác nhau.</w:t>
      </w:r>
    </w:p>
    <w:p w:rsidR="00437A4F" w:rsidRDefault="00437A4F" w:rsidP="00437A4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Báo cáo sự cố chưa minh bạch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37A4F" w:rsidRPr="00437A4F" w:rsidRDefault="00437A4F" w:rsidP="00437A4F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Nhiều công ty che giấu hoặc không công bố sự cố mạng </w:t>
      </w:r>
      <w:r>
        <w:rPr>
          <w:rFonts w:ascii="Times New Roman" w:eastAsia="Times New Roman" w:hAnsi="Times New Roman" w:cs="Times New Roman"/>
          <w:sz w:val="26"/>
          <w:szCs w:val="26"/>
        </w:rPr>
        <w:t>dẫn đến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 khó học hỏi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lẫn nhau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 xml:space="preserve">, khó nâng cao cảnh giác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toàn ngành.</w:t>
      </w:r>
    </w:p>
    <w:p w:rsidR="00437A4F" w:rsidRPr="00437A4F" w:rsidRDefault="00437A4F" w:rsidP="00437A4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Chi phí bảo mật bị xem nhẹ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Một số chủ tàu coi an ninh mạng là “chi phí thêm” thay vì “đầu tư bắt buộc”, nên chưa ưu tiên.</w:t>
      </w:r>
    </w:p>
    <w:p w:rsidR="00437A4F" w:rsidRPr="00437A4F" w:rsidRDefault="00437A4F" w:rsidP="00437A4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5. Yếu tố môi trường địa chính trị</w:t>
      </w:r>
    </w:p>
    <w:p w:rsidR="00437A4F" w:rsidRPr="00437A4F" w:rsidRDefault="00437A4F" w:rsidP="00437A4F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Tăng cường tấn công có chủ đích (state-sponsored)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Các sự cố phá hoại cáp ngầm, gây nhiễu GPS, spoofing AIS… thường gắn liền với cạnh tranh chiến lược giữa các quốc gia.</w:t>
      </w:r>
    </w:p>
    <w:p w:rsidR="00437A4F" w:rsidRDefault="00437A4F" w:rsidP="00437A4F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7A4F">
        <w:rPr>
          <w:rFonts w:ascii="Times New Roman" w:eastAsia="Times New Roman" w:hAnsi="Times New Roman" w:cs="Times New Roman"/>
          <w:b/>
          <w:bCs/>
          <w:sz w:val="26"/>
          <w:szCs w:val="26"/>
        </w:rPr>
        <w:t>Hoạt động cướp biển/cyber piracy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37A4F">
        <w:rPr>
          <w:rFonts w:ascii="Times New Roman" w:eastAsia="Times New Roman" w:hAnsi="Times New Roman" w:cs="Times New Roman"/>
          <w:sz w:val="26"/>
          <w:szCs w:val="26"/>
        </w:rPr>
        <w:br/>
        <w:t>Hacker tìm cách lấy dữ liệu định tuyến, vị trí tàu để phục vụ mục đích cướp biển hoặc tống tiền.</w:t>
      </w:r>
    </w:p>
    <w:p w:rsidR="00437A4F" w:rsidRPr="00437A4F" w:rsidRDefault="00437A4F" w:rsidP="00437A4F">
      <w:pPr>
        <w:pStyle w:val="Heading2"/>
        <w:spacing w:before="120" w:beforeAutospacing="0" w:after="120" w:afterAutospacing="0"/>
        <w:rPr>
          <w:sz w:val="26"/>
          <w:szCs w:val="26"/>
        </w:rPr>
      </w:pPr>
      <w:r w:rsidRPr="00437A4F">
        <w:rPr>
          <w:sz w:val="26"/>
          <w:szCs w:val="26"/>
        </w:rPr>
        <w:t>T</w:t>
      </w:r>
      <w:r w:rsidRPr="00437A4F">
        <w:rPr>
          <w:sz w:val="26"/>
          <w:szCs w:val="26"/>
        </w:rPr>
        <w:t>óm lại</w:t>
      </w:r>
    </w:p>
    <w:p w:rsidR="00437A4F" w:rsidRPr="00437A4F" w:rsidRDefault="00437A4F" w:rsidP="00437A4F">
      <w:pPr>
        <w:pStyle w:val="NormalWeb"/>
        <w:spacing w:before="120" w:beforeAutospacing="0" w:after="120" w:afterAutospacing="0"/>
        <w:rPr>
          <w:sz w:val="26"/>
          <w:szCs w:val="26"/>
        </w:rPr>
      </w:pPr>
      <w:r w:rsidRPr="00437A4F">
        <w:rPr>
          <w:sz w:val="26"/>
          <w:szCs w:val="26"/>
        </w:rPr>
        <w:t>Ngành hàng hải dễ bị tổn thương trước sự cố mạng vì:</w:t>
      </w:r>
    </w:p>
    <w:p w:rsidR="00437A4F" w:rsidRPr="00437A4F" w:rsidRDefault="00437A4F" w:rsidP="00437A4F">
      <w:pPr>
        <w:pStyle w:val="NormalWeb"/>
        <w:numPr>
          <w:ilvl w:val="0"/>
          <w:numId w:val="7"/>
        </w:numPr>
        <w:spacing w:before="120" w:beforeAutospacing="0" w:after="120" w:afterAutospacing="0"/>
        <w:rPr>
          <w:sz w:val="26"/>
          <w:szCs w:val="26"/>
        </w:rPr>
      </w:pPr>
      <w:r w:rsidRPr="00437A4F">
        <w:rPr>
          <w:rStyle w:val="Strong"/>
          <w:sz w:val="26"/>
          <w:szCs w:val="26"/>
        </w:rPr>
        <w:t>Công nghệ cũ + kết nối mới</w:t>
      </w:r>
      <w:r w:rsidRPr="00437A4F">
        <w:rPr>
          <w:sz w:val="26"/>
          <w:szCs w:val="26"/>
        </w:rPr>
        <w:t xml:space="preserve"> → “vá chằng vá đụp”, khó bảo mật.</w:t>
      </w:r>
    </w:p>
    <w:p w:rsidR="00437A4F" w:rsidRPr="00437A4F" w:rsidRDefault="00437A4F" w:rsidP="00437A4F">
      <w:pPr>
        <w:pStyle w:val="NormalWeb"/>
        <w:numPr>
          <w:ilvl w:val="0"/>
          <w:numId w:val="7"/>
        </w:numPr>
        <w:spacing w:before="120" w:beforeAutospacing="0" w:after="120" w:afterAutospacing="0"/>
        <w:rPr>
          <w:sz w:val="26"/>
          <w:szCs w:val="26"/>
        </w:rPr>
      </w:pPr>
      <w:r w:rsidRPr="00437A4F">
        <w:rPr>
          <w:rStyle w:val="Strong"/>
          <w:sz w:val="26"/>
          <w:szCs w:val="26"/>
        </w:rPr>
        <w:t>Hoạt động toàn cầu + chuỗi cung ứng phức tạp</w:t>
      </w:r>
      <w:r w:rsidRPr="00437A4F">
        <w:rPr>
          <w:sz w:val="26"/>
          <w:szCs w:val="26"/>
        </w:rPr>
        <w:t xml:space="preserve"> → nhiều điểm yếu.</w:t>
      </w:r>
    </w:p>
    <w:p w:rsidR="00437A4F" w:rsidRPr="00437A4F" w:rsidRDefault="00437A4F" w:rsidP="00437A4F">
      <w:pPr>
        <w:pStyle w:val="NormalWeb"/>
        <w:numPr>
          <w:ilvl w:val="0"/>
          <w:numId w:val="7"/>
        </w:numPr>
        <w:spacing w:before="120" w:beforeAutospacing="0" w:after="120" w:afterAutospacing="0"/>
        <w:rPr>
          <w:sz w:val="26"/>
          <w:szCs w:val="26"/>
        </w:rPr>
      </w:pPr>
      <w:r w:rsidRPr="00437A4F">
        <w:rPr>
          <w:rStyle w:val="Strong"/>
          <w:sz w:val="26"/>
          <w:szCs w:val="26"/>
        </w:rPr>
        <w:t>Nhân lực chưa sẵn sàng</w:t>
      </w:r>
      <w:r w:rsidRPr="00437A4F">
        <w:rPr>
          <w:sz w:val="26"/>
          <w:szCs w:val="26"/>
        </w:rPr>
        <w:t xml:space="preserve"> → lỗ hổng con người.</w:t>
      </w:r>
    </w:p>
    <w:p w:rsidR="00437A4F" w:rsidRPr="00437A4F" w:rsidRDefault="00437A4F" w:rsidP="00437A4F">
      <w:pPr>
        <w:pStyle w:val="NormalWeb"/>
        <w:numPr>
          <w:ilvl w:val="0"/>
          <w:numId w:val="7"/>
        </w:numPr>
        <w:spacing w:before="120" w:beforeAutospacing="0" w:after="120" w:afterAutospacing="0"/>
        <w:rPr>
          <w:sz w:val="26"/>
          <w:szCs w:val="26"/>
        </w:rPr>
      </w:pPr>
      <w:r w:rsidRPr="00437A4F">
        <w:rPr>
          <w:rStyle w:val="Strong"/>
          <w:sz w:val="26"/>
          <w:szCs w:val="26"/>
        </w:rPr>
        <w:t>Chính sách chưa đồng bộ</w:t>
      </w:r>
      <w:r w:rsidRPr="00437A4F">
        <w:rPr>
          <w:sz w:val="26"/>
          <w:szCs w:val="26"/>
        </w:rPr>
        <w:t xml:space="preserve"> → thiếu tiêu chuẩn bắt buộc chung</w:t>
      </w:r>
    </w:p>
    <w:p w:rsidR="00437A4F" w:rsidRPr="00437A4F" w:rsidRDefault="00507D5F" w:rsidP="00507D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------------------------------------</w:t>
      </w:r>
    </w:p>
    <w:p w:rsidR="00437A4F" w:rsidRPr="00437A4F" w:rsidRDefault="00437A4F" w:rsidP="00437A4F">
      <w:pPr>
        <w:spacing w:before="120" w:after="120"/>
        <w:rPr>
          <w:sz w:val="26"/>
          <w:szCs w:val="26"/>
        </w:rPr>
      </w:pPr>
    </w:p>
    <w:sectPr w:rsidR="00437A4F" w:rsidRPr="00437A4F" w:rsidSect="00437A4F">
      <w:pgSz w:w="12240" w:h="15840"/>
      <w:pgMar w:top="72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75A"/>
    <w:multiLevelType w:val="multilevel"/>
    <w:tmpl w:val="7B0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55FC2"/>
    <w:multiLevelType w:val="multilevel"/>
    <w:tmpl w:val="C9D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5419A"/>
    <w:multiLevelType w:val="multilevel"/>
    <w:tmpl w:val="CC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80530"/>
    <w:multiLevelType w:val="multilevel"/>
    <w:tmpl w:val="6E0E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625D"/>
    <w:multiLevelType w:val="multilevel"/>
    <w:tmpl w:val="CD6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60CFE"/>
    <w:multiLevelType w:val="multilevel"/>
    <w:tmpl w:val="1E6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816D3"/>
    <w:multiLevelType w:val="multilevel"/>
    <w:tmpl w:val="C3E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4F"/>
    <w:rsid w:val="00437A4F"/>
    <w:rsid w:val="00507D5F"/>
    <w:rsid w:val="00C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8663"/>
  <w15:chartTrackingRefBased/>
  <w15:docId w15:val="{1967DC5E-8A94-495A-B041-B53DCA5F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A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A4F"/>
    <w:rPr>
      <w:b/>
      <w:bCs/>
    </w:rPr>
  </w:style>
  <w:style w:type="character" w:styleId="Emphasis">
    <w:name w:val="Emphasis"/>
    <w:basedOn w:val="DefaultParagraphFont"/>
    <w:uiPriority w:val="20"/>
    <w:qFormat/>
    <w:rsid w:val="00437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2025-08-27T03:03:00Z</dcterms:created>
  <dcterms:modified xsi:type="dcterms:W3CDTF">2025-08-27T03:18:00Z</dcterms:modified>
</cp:coreProperties>
</file>