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7C31" w:rsidRPr="004B7C31" w:rsidRDefault="002E485D" w:rsidP="002E485D">
      <w:pPr>
        <w:spacing w:after="120" w:line="240" w:lineRule="auto"/>
        <w:jc w:val="center"/>
        <w:outlineLvl w:val="0"/>
        <w:rPr>
          <w:rFonts w:ascii="Times New Roman" w:eastAsia="Times New Roman" w:hAnsi="Times New Roman" w:cs="Times New Roman"/>
          <w:b/>
          <w:color w:val="111111"/>
          <w:kern w:val="36"/>
          <w:sz w:val="40"/>
          <w:szCs w:val="40"/>
        </w:rPr>
      </w:pPr>
      <w:bookmarkStart w:id="0" w:name="_GoBack"/>
      <w:r w:rsidRPr="002E485D">
        <w:rPr>
          <w:rFonts w:ascii="Times New Roman" w:eastAsia="Times New Roman" w:hAnsi="Times New Roman" w:cs="Times New Roman"/>
          <w:b/>
          <w:color w:val="111111"/>
          <w:kern w:val="36"/>
          <w:sz w:val="40"/>
          <w:szCs w:val="40"/>
        </w:rPr>
        <w:t xml:space="preserve">Phòng ngừa tổn thất hàng hải: Hướng dẫn </w:t>
      </w:r>
      <w:r>
        <w:rPr>
          <w:rFonts w:ascii="Times New Roman" w:eastAsia="Times New Roman" w:hAnsi="Times New Roman" w:cs="Times New Roman"/>
          <w:b/>
          <w:color w:val="111111"/>
          <w:kern w:val="36"/>
          <w:sz w:val="40"/>
          <w:szCs w:val="40"/>
        </w:rPr>
        <w:t xml:space="preserve">cách </w:t>
      </w:r>
      <w:r w:rsidRPr="002E485D">
        <w:rPr>
          <w:rFonts w:ascii="Times New Roman" w:eastAsia="Times New Roman" w:hAnsi="Times New Roman" w:cs="Times New Roman"/>
          <w:b/>
          <w:color w:val="111111"/>
          <w:kern w:val="36"/>
          <w:sz w:val="40"/>
          <w:szCs w:val="40"/>
        </w:rPr>
        <w:t>vận chuyển</w:t>
      </w:r>
      <w:r>
        <w:rPr>
          <w:rFonts w:ascii="Times New Roman" w:eastAsia="Times New Roman" w:hAnsi="Times New Roman" w:cs="Times New Roman"/>
          <w:b/>
          <w:color w:val="111111"/>
          <w:kern w:val="36"/>
          <w:sz w:val="40"/>
          <w:szCs w:val="40"/>
        </w:rPr>
        <w:t xml:space="preserve"> các cell</w:t>
      </w:r>
      <w:r w:rsidRPr="002E485D">
        <w:rPr>
          <w:rFonts w:ascii="Times New Roman" w:eastAsia="Times New Roman" w:hAnsi="Times New Roman" w:cs="Times New Roman"/>
          <w:b/>
          <w:color w:val="111111"/>
          <w:kern w:val="36"/>
          <w:sz w:val="40"/>
          <w:szCs w:val="40"/>
        </w:rPr>
        <w:t xml:space="preserve"> pin lithium-ion trong container</w:t>
      </w:r>
    </w:p>
    <w:bookmarkEnd w:id="0"/>
    <w:p w:rsidR="004B7C31" w:rsidRPr="004B7C31" w:rsidRDefault="004B7C31" w:rsidP="002E485D">
      <w:pPr>
        <w:spacing w:after="120" w:line="240" w:lineRule="auto"/>
        <w:jc w:val="right"/>
        <w:rPr>
          <w:rFonts w:ascii="Arial" w:eastAsia="Times New Roman" w:hAnsi="Arial" w:cs="Arial"/>
          <w:color w:val="444444"/>
          <w:sz w:val="24"/>
          <w:szCs w:val="24"/>
        </w:rPr>
      </w:pPr>
      <w:r w:rsidRPr="004B7C31">
        <w:rPr>
          <w:rFonts w:ascii="Arial" w:eastAsia="Times New Roman" w:hAnsi="Arial" w:cs="Arial"/>
          <w:color w:val="444444"/>
          <w:sz w:val="24"/>
          <w:szCs w:val="24"/>
        </w:rPr>
        <w:fldChar w:fldCharType="begin"/>
      </w:r>
      <w:r w:rsidRPr="004B7C31">
        <w:rPr>
          <w:rFonts w:ascii="Arial" w:eastAsia="Times New Roman" w:hAnsi="Arial" w:cs="Arial"/>
          <w:color w:val="444444"/>
          <w:sz w:val="24"/>
          <w:szCs w:val="24"/>
        </w:rPr>
        <w:instrText xml:space="preserve"> HYPERLINK "https://maritimecyprus.com/author/maritimecyprus/" </w:instrText>
      </w:r>
      <w:r w:rsidRPr="004B7C31">
        <w:rPr>
          <w:rFonts w:ascii="Arial" w:eastAsia="Times New Roman" w:hAnsi="Arial" w:cs="Arial"/>
          <w:color w:val="444444"/>
          <w:sz w:val="24"/>
          <w:szCs w:val="24"/>
        </w:rPr>
        <w:fldChar w:fldCharType="separate"/>
      </w:r>
      <w:r w:rsidRPr="002E485D">
        <w:rPr>
          <w:rFonts w:ascii="Arial" w:eastAsia="Times New Roman" w:hAnsi="Arial" w:cs="Arial"/>
          <w:b/>
          <w:bCs/>
          <w:color w:val="005689"/>
          <w:sz w:val="24"/>
          <w:szCs w:val="24"/>
          <w:u w:val="single"/>
        </w:rPr>
        <w:t>maritimecyprus</w:t>
      </w:r>
      <w:r w:rsidRPr="004B7C31">
        <w:rPr>
          <w:rFonts w:ascii="Arial" w:eastAsia="Times New Roman" w:hAnsi="Arial" w:cs="Arial"/>
          <w:color w:val="444444"/>
          <w:sz w:val="24"/>
          <w:szCs w:val="24"/>
        </w:rPr>
        <w:fldChar w:fldCharType="end"/>
      </w:r>
    </w:p>
    <w:p w:rsidR="004B7C31" w:rsidRPr="004B7C31" w:rsidRDefault="004B7C31" w:rsidP="004B7C31">
      <w:pPr>
        <w:spacing w:after="0" w:line="240" w:lineRule="auto"/>
        <w:rPr>
          <w:rFonts w:ascii="Merriweather Sans" w:eastAsia="Times New Roman" w:hAnsi="Merriweather Sans" w:cs="Times New Roman"/>
          <w:color w:val="222222"/>
          <w:sz w:val="23"/>
          <w:szCs w:val="23"/>
        </w:rPr>
      </w:pPr>
      <w:r w:rsidRPr="004B7C31">
        <w:rPr>
          <w:rFonts w:ascii="Merriweather Sans" w:eastAsia="Times New Roman" w:hAnsi="Merriweather Sans" w:cs="Times New Roman"/>
          <w:noProof/>
          <w:color w:val="222222"/>
          <w:sz w:val="23"/>
          <w:szCs w:val="23"/>
        </w:rPr>
        <w:drawing>
          <wp:inline distT="0" distB="0" distL="0" distR="0">
            <wp:extent cx="5797342" cy="2872740"/>
            <wp:effectExtent l="0" t="0" r="0" b="3810"/>
            <wp:docPr id="2" name="Picture 2" descr="https://maritimecyprus.com/wp-content/uploads/2025/07/Lithium-battery-GUIDE-696x3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aritimecyprus.com/wp-content/uploads/2025/07/Lithium-battery-GUIDE-696x392.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818662" cy="2883304"/>
                    </a:xfrm>
                    <a:prstGeom prst="rect">
                      <a:avLst/>
                    </a:prstGeom>
                    <a:noFill/>
                    <a:ln>
                      <a:noFill/>
                    </a:ln>
                  </pic:spPr>
                </pic:pic>
              </a:graphicData>
            </a:graphic>
          </wp:inline>
        </w:drawing>
      </w:r>
    </w:p>
    <w:p w:rsidR="002E485D" w:rsidRPr="002E485D" w:rsidRDefault="002E485D" w:rsidP="002E485D">
      <w:pPr>
        <w:spacing w:before="120" w:after="120" w:line="240" w:lineRule="auto"/>
        <w:jc w:val="both"/>
        <w:rPr>
          <w:rFonts w:ascii="Merriweather Sans" w:eastAsia="Times New Roman" w:hAnsi="Merriweather Sans" w:cs="Times New Roman"/>
          <w:sz w:val="26"/>
          <w:szCs w:val="26"/>
        </w:rPr>
      </w:pPr>
      <w:r w:rsidRPr="002E485D">
        <w:rPr>
          <w:rFonts w:ascii="Merriweather Sans" w:eastAsia="Times New Roman" w:hAnsi="Merriweather Sans" w:cs="Times New Roman"/>
          <w:sz w:val="26"/>
          <w:szCs w:val="26"/>
        </w:rPr>
        <w:t xml:space="preserve">Tài liệu này cung cấp cho các công ty vận </w:t>
      </w:r>
      <w:r>
        <w:rPr>
          <w:rFonts w:ascii="Merriweather Sans" w:eastAsia="Times New Roman" w:hAnsi="Merriweather Sans" w:cs="Times New Roman"/>
          <w:sz w:val="26"/>
          <w:szCs w:val="26"/>
        </w:rPr>
        <w:t>tải biển</w:t>
      </w:r>
      <w:r w:rsidRPr="002E485D">
        <w:rPr>
          <w:rFonts w:ascii="Merriweather Sans" w:eastAsia="Times New Roman" w:hAnsi="Merriweather Sans" w:cs="Times New Roman"/>
          <w:sz w:val="26"/>
          <w:szCs w:val="26"/>
        </w:rPr>
        <w:t xml:space="preserve">, nhà khai thác </w:t>
      </w:r>
      <w:r>
        <w:rPr>
          <w:rFonts w:ascii="Merriweather Sans" w:eastAsia="Times New Roman" w:hAnsi="Merriweather Sans" w:cs="Times New Roman"/>
          <w:sz w:val="26"/>
          <w:szCs w:val="26"/>
        </w:rPr>
        <w:t xml:space="preserve">tàu </w:t>
      </w:r>
      <w:r w:rsidRPr="002E485D">
        <w:rPr>
          <w:rFonts w:ascii="Merriweather Sans" w:eastAsia="Times New Roman" w:hAnsi="Merriweather Sans" w:cs="Times New Roman"/>
          <w:sz w:val="26"/>
          <w:szCs w:val="26"/>
        </w:rPr>
        <w:t xml:space="preserve">và hãng vận tải hướng dẫn tiêu chuẩn an toàn cho việc vận chuyển </w:t>
      </w:r>
      <w:r>
        <w:rPr>
          <w:rFonts w:ascii="Merriweather Sans" w:eastAsia="Times New Roman" w:hAnsi="Merriweather Sans" w:cs="Times New Roman"/>
          <w:sz w:val="26"/>
          <w:szCs w:val="26"/>
        </w:rPr>
        <w:t>các cell pin</w:t>
      </w:r>
      <w:r w:rsidRPr="002E485D">
        <w:rPr>
          <w:rFonts w:ascii="Merriweather Sans" w:eastAsia="Times New Roman" w:hAnsi="Merriweather Sans" w:cs="Times New Roman"/>
          <w:sz w:val="26"/>
          <w:szCs w:val="26"/>
        </w:rPr>
        <w:t xml:space="preserve"> lithium-ion, được phân loại theo </w:t>
      </w:r>
      <w:r>
        <w:rPr>
          <w:rFonts w:ascii="Merriweather Sans" w:eastAsia="Times New Roman" w:hAnsi="Merriweather Sans" w:cs="Times New Roman"/>
          <w:sz w:val="26"/>
          <w:szCs w:val="26"/>
        </w:rPr>
        <w:t xml:space="preserve">số </w:t>
      </w:r>
      <w:r w:rsidRPr="002E485D">
        <w:rPr>
          <w:rFonts w:ascii="Merriweather Sans" w:eastAsia="Times New Roman" w:hAnsi="Merriweather Sans" w:cs="Times New Roman"/>
          <w:sz w:val="26"/>
          <w:szCs w:val="26"/>
        </w:rPr>
        <w:t xml:space="preserve">UN 3480 và 3481, trong </w:t>
      </w:r>
      <w:r>
        <w:rPr>
          <w:rFonts w:ascii="Merriweather Sans" w:eastAsia="Times New Roman" w:hAnsi="Merriweather Sans" w:cs="Times New Roman"/>
          <w:sz w:val="26"/>
          <w:szCs w:val="26"/>
        </w:rPr>
        <w:t xml:space="preserve">các </w:t>
      </w:r>
      <w:r w:rsidRPr="002E485D">
        <w:rPr>
          <w:rFonts w:ascii="Merriweather Sans" w:eastAsia="Times New Roman" w:hAnsi="Merriweather Sans" w:cs="Times New Roman"/>
          <w:sz w:val="26"/>
          <w:szCs w:val="26"/>
        </w:rPr>
        <w:t xml:space="preserve">Đơn vị vận chuyển hàng hóa (CTU). Tài liệu </w:t>
      </w:r>
      <w:r>
        <w:rPr>
          <w:rFonts w:ascii="Merriweather Sans" w:eastAsia="Times New Roman" w:hAnsi="Merriweather Sans" w:cs="Times New Roman"/>
          <w:sz w:val="26"/>
          <w:szCs w:val="26"/>
        </w:rPr>
        <w:t xml:space="preserve">này </w:t>
      </w:r>
      <w:r w:rsidRPr="002E485D">
        <w:rPr>
          <w:rFonts w:ascii="Merriweather Sans" w:eastAsia="Times New Roman" w:hAnsi="Merriweather Sans" w:cs="Times New Roman"/>
          <w:sz w:val="26"/>
          <w:szCs w:val="26"/>
        </w:rPr>
        <w:t xml:space="preserve">tập trung vào các rủi ro cụ thể liên quan đến việc vận chuyển </w:t>
      </w:r>
      <w:r>
        <w:rPr>
          <w:rFonts w:ascii="Merriweather Sans" w:eastAsia="Times New Roman" w:hAnsi="Merriweather Sans" w:cs="Times New Roman"/>
          <w:sz w:val="26"/>
          <w:szCs w:val="26"/>
        </w:rPr>
        <w:t>các cell pin</w:t>
      </w:r>
      <w:r w:rsidRPr="002E485D">
        <w:rPr>
          <w:rFonts w:ascii="Merriweather Sans" w:eastAsia="Times New Roman" w:hAnsi="Merriweather Sans" w:cs="Times New Roman"/>
          <w:sz w:val="26"/>
          <w:szCs w:val="26"/>
        </w:rPr>
        <w:t xml:space="preserve"> lithium-ion, </w:t>
      </w:r>
      <w:r>
        <w:rPr>
          <w:rFonts w:ascii="Merriweather Sans" w:eastAsia="Times New Roman" w:hAnsi="Merriweather Sans" w:cs="Times New Roman"/>
          <w:sz w:val="26"/>
          <w:szCs w:val="26"/>
        </w:rPr>
        <w:t xml:space="preserve">vốn </w:t>
      </w:r>
      <w:r w:rsidRPr="002E485D">
        <w:rPr>
          <w:rFonts w:ascii="Merriweather Sans" w:eastAsia="Times New Roman" w:hAnsi="Merriweather Sans" w:cs="Times New Roman"/>
          <w:sz w:val="26"/>
          <w:szCs w:val="26"/>
        </w:rPr>
        <w:t xml:space="preserve">khác với pin lithium-ion do sự khác biệt về cấu trúc và </w:t>
      </w:r>
      <w:r>
        <w:rPr>
          <w:rFonts w:ascii="Merriweather Sans" w:eastAsia="Times New Roman" w:hAnsi="Merriweather Sans" w:cs="Times New Roman"/>
          <w:sz w:val="26"/>
          <w:szCs w:val="26"/>
        </w:rPr>
        <w:t xml:space="preserve">cách </w:t>
      </w:r>
      <w:r w:rsidRPr="002E485D">
        <w:rPr>
          <w:rFonts w:ascii="Merriweather Sans" w:eastAsia="Times New Roman" w:hAnsi="Merriweather Sans" w:cs="Times New Roman"/>
          <w:sz w:val="26"/>
          <w:szCs w:val="26"/>
        </w:rPr>
        <w:t>cấu hình.</w:t>
      </w:r>
    </w:p>
    <w:p w:rsidR="002E485D" w:rsidRPr="004B7C31" w:rsidRDefault="002E485D" w:rsidP="002E485D">
      <w:pPr>
        <w:spacing w:before="120" w:after="120" w:line="240" w:lineRule="auto"/>
        <w:jc w:val="both"/>
        <w:rPr>
          <w:rFonts w:ascii="Merriweather Sans" w:eastAsia="Times New Roman" w:hAnsi="Merriweather Sans" w:cs="Times New Roman"/>
          <w:sz w:val="26"/>
          <w:szCs w:val="26"/>
        </w:rPr>
      </w:pPr>
      <w:r w:rsidRPr="002E485D">
        <w:rPr>
          <w:rFonts w:ascii="Merriweather Sans" w:eastAsia="Times New Roman" w:hAnsi="Merriweather Sans" w:cs="Times New Roman"/>
          <w:sz w:val="26"/>
          <w:szCs w:val="26"/>
        </w:rPr>
        <w:t xml:space="preserve">Là thành phần của pin, </w:t>
      </w:r>
      <w:r>
        <w:rPr>
          <w:rFonts w:ascii="Merriweather Sans" w:eastAsia="Times New Roman" w:hAnsi="Merriweather Sans" w:cs="Times New Roman"/>
          <w:sz w:val="26"/>
          <w:szCs w:val="26"/>
        </w:rPr>
        <w:t>các cell pin</w:t>
      </w:r>
      <w:r w:rsidRPr="002E485D">
        <w:rPr>
          <w:rFonts w:ascii="Merriweather Sans" w:eastAsia="Times New Roman" w:hAnsi="Merriweather Sans" w:cs="Times New Roman"/>
          <w:sz w:val="26"/>
          <w:szCs w:val="26"/>
        </w:rPr>
        <w:t xml:space="preserve"> lithium-ion </w:t>
      </w:r>
      <w:r>
        <w:rPr>
          <w:rFonts w:ascii="Merriweather Sans" w:eastAsia="Times New Roman" w:hAnsi="Merriweather Sans" w:cs="Times New Roman"/>
          <w:sz w:val="26"/>
          <w:szCs w:val="26"/>
        </w:rPr>
        <w:t>tiềm ẩn nguy cơ</w:t>
      </w:r>
      <w:r w:rsidRPr="002E485D">
        <w:rPr>
          <w:rFonts w:ascii="Merriweather Sans" w:eastAsia="Times New Roman" w:hAnsi="Merriweather Sans" w:cs="Times New Roman"/>
          <w:sz w:val="26"/>
          <w:szCs w:val="26"/>
        </w:rPr>
        <w:t xml:space="preserve"> cao hơn trong quá trình vận chuyển so với pin lithium-ion mới, không phải là chất thải. Các quy trình kiểm soát chất lượng trong quá trình sản xuất là </w:t>
      </w:r>
      <w:r>
        <w:rPr>
          <w:rFonts w:ascii="Merriweather Sans" w:eastAsia="Times New Roman" w:hAnsi="Merriweather Sans" w:cs="Times New Roman"/>
          <w:sz w:val="26"/>
          <w:szCs w:val="26"/>
        </w:rPr>
        <w:t>rất quan trọng</w:t>
      </w:r>
      <w:r w:rsidRPr="002E485D">
        <w:rPr>
          <w:rFonts w:ascii="Merriweather Sans" w:eastAsia="Times New Roman" w:hAnsi="Merriweather Sans" w:cs="Times New Roman"/>
          <w:sz w:val="26"/>
          <w:szCs w:val="26"/>
        </w:rPr>
        <w:t xml:space="preserve"> để </w:t>
      </w:r>
      <w:r>
        <w:rPr>
          <w:rFonts w:ascii="Merriweather Sans" w:eastAsia="Times New Roman" w:hAnsi="Merriweather Sans" w:cs="Times New Roman"/>
          <w:sz w:val="26"/>
          <w:szCs w:val="26"/>
        </w:rPr>
        <w:t>phát hiện</w:t>
      </w:r>
      <w:r w:rsidRPr="002E485D">
        <w:rPr>
          <w:rFonts w:ascii="Merriweather Sans" w:eastAsia="Times New Roman" w:hAnsi="Merriweather Sans" w:cs="Times New Roman"/>
          <w:sz w:val="26"/>
          <w:szCs w:val="26"/>
        </w:rPr>
        <w:t xml:space="preserve"> và loại bỏ các </w:t>
      </w:r>
      <w:r>
        <w:rPr>
          <w:rFonts w:ascii="Merriweather Sans" w:eastAsia="Times New Roman" w:hAnsi="Merriweather Sans" w:cs="Times New Roman"/>
          <w:sz w:val="26"/>
          <w:szCs w:val="26"/>
        </w:rPr>
        <w:t>cell ở</w:t>
      </w:r>
      <w:r w:rsidRPr="002E485D">
        <w:rPr>
          <w:rFonts w:ascii="Merriweather Sans" w:eastAsia="Times New Roman" w:hAnsi="Merriweather Sans" w:cs="Times New Roman"/>
          <w:sz w:val="26"/>
          <w:szCs w:val="26"/>
        </w:rPr>
        <w:t xml:space="preserve"> tình trạng kém, </w:t>
      </w:r>
      <w:r>
        <w:rPr>
          <w:rFonts w:ascii="Merriweather Sans" w:eastAsia="Times New Roman" w:hAnsi="Merriweather Sans" w:cs="Times New Roman"/>
          <w:sz w:val="26"/>
          <w:szCs w:val="26"/>
        </w:rPr>
        <w:t>qua</w:t>
      </w:r>
      <w:r w:rsidRPr="002E485D">
        <w:rPr>
          <w:rFonts w:ascii="Merriweather Sans" w:eastAsia="Times New Roman" w:hAnsi="Merriweather Sans" w:cs="Times New Roman"/>
          <w:sz w:val="26"/>
          <w:szCs w:val="26"/>
        </w:rPr>
        <w:t xml:space="preserve"> đó giảm thiểu rủi ro do </w:t>
      </w:r>
      <w:r>
        <w:rPr>
          <w:rFonts w:ascii="Merriweather Sans" w:eastAsia="Times New Roman" w:hAnsi="Merriweather Sans" w:cs="Times New Roman"/>
          <w:sz w:val="26"/>
          <w:szCs w:val="26"/>
        </w:rPr>
        <w:t>cell</w:t>
      </w:r>
      <w:r w:rsidRPr="002E485D">
        <w:rPr>
          <w:rFonts w:ascii="Merriweather Sans" w:eastAsia="Times New Roman" w:hAnsi="Merriweather Sans" w:cs="Times New Roman"/>
          <w:sz w:val="26"/>
          <w:szCs w:val="26"/>
        </w:rPr>
        <w:t xml:space="preserve"> bị lỗi hoặc không đạt tiêu chuẩn gây ra.</w:t>
      </w:r>
    </w:p>
    <w:p w:rsidR="004B7C31" w:rsidRPr="004B7C31" w:rsidRDefault="004B7C31" w:rsidP="002E485D">
      <w:pPr>
        <w:spacing w:after="390" w:line="240" w:lineRule="auto"/>
        <w:jc w:val="center"/>
        <w:rPr>
          <w:rFonts w:ascii="Merriweather Sans" w:eastAsia="Times New Roman" w:hAnsi="Merriweather Sans" w:cs="Times New Roman"/>
          <w:color w:val="222222"/>
          <w:sz w:val="23"/>
          <w:szCs w:val="23"/>
        </w:rPr>
      </w:pPr>
      <w:r w:rsidRPr="004B7C31">
        <w:rPr>
          <w:rFonts w:ascii="Merriweather Sans" w:eastAsia="Times New Roman" w:hAnsi="Merriweather Sans" w:cs="Times New Roman"/>
          <w:noProof/>
          <w:color w:val="222222"/>
          <w:sz w:val="23"/>
          <w:szCs w:val="23"/>
        </w:rPr>
        <w:drawing>
          <wp:inline distT="0" distB="0" distL="0" distR="0">
            <wp:extent cx="4846320" cy="3291840"/>
            <wp:effectExtent l="0" t="0" r="0" b="3810"/>
            <wp:docPr id="1" name="Picture 1" descr="https://maritimecyprus.com/wp-content/uploads/2025/07/Lithium-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aritimecyprus.com/wp-content/uploads/2025/07/Lithium-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46320" cy="3291840"/>
                    </a:xfrm>
                    <a:prstGeom prst="rect">
                      <a:avLst/>
                    </a:prstGeom>
                    <a:noFill/>
                    <a:ln>
                      <a:noFill/>
                    </a:ln>
                  </pic:spPr>
                </pic:pic>
              </a:graphicData>
            </a:graphic>
          </wp:inline>
        </w:drawing>
      </w:r>
    </w:p>
    <w:p w:rsidR="002E485D" w:rsidRPr="002E485D" w:rsidRDefault="002E485D" w:rsidP="002E485D">
      <w:pPr>
        <w:pStyle w:val="NormalWeb"/>
        <w:spacing w:before="120" w:beforeAutospacing="0" w:after="120" w:afterAutospacing="0"/>
        <w:jc w:val="both"/>
        <w:rPr>
          <w:sz w:val="26"/>
          <w:szCs w:val="26"/>
        </w:rPr>
      </w:pPr>
      <w:r w:rsidRPr="002E485D">
        <w:rPr>
          <w:sz w:val="26"/>
          <w:szCs w:val="26"/>
        </w:rPr>
        <w:lastRenderedPageBreak/>
        <w:t>Có một nhu cầu cấp thiết trong việc phát triển các nguồn năng lượng mới và các phương pháp lưu trữ năng lượng nhằm giảm thiểu tác động đến môi trường và sự phụ thuộc vào nhiên liệu hóa thạch. Trong bối cảnh này, việc phát triển và sử dụng pin Lithium-Ion đóng vai trò then chốt. Tuy nhiên, nếu không được xử lý, đóng gói, phân loại và khai báo đúng cách, những loại pin này có thể gây ra rủi ro đáng kể đối với con người, tài sản và môi trường. Do đó, một trong những rào cản chính hạn chế việc ứng dụng rộng rãi pin Lithium-Ion chính là vấn đề an toàn.</w:t>
      </w:r>
    </w:p>
    <w:p w:rsidR="002E485D" w:rsidRPr="002E485D" w:rsidRDefault="002E485D" w:rsidP="002E485D">
      <w:pPr>
        <w:pStyle w:val="NormalWeb"/>
        <w:spacing w:before="120" w:beforeAutospacing="0" w:after="120" w:afterAutospacing="0"/>
        <w:jc w:val="both"/>
        <w:rPr>
          <w:sz w:val="26"/>
          <w:szCs w:val="26"/>
        </w:rPr>
      </w:pPr>
      <w:r w:rsidRPr="002E485D">
        <w:rPr>
          <w:sz w:val="26"/>
          <w:szCs w:val="26"/>
        </w:rPr>
        <w:t xml:space="preserve">Để biết thêm thông tin, bạn có thể tải về tài liệu hướng dẫn </w:t>
      </w:r>
      <w:r w:rsidR="00DB7B6D">
        <w:rPr>
          <w:sz w:val="26"/>
          <w:szCs w:val="26"/>
        </w:rPr>
        <w:t>ở</w:t>
      </w:r>
      <w:r w:rsidRPr="002E485D">
        <w:rPr>
          <w:sz w:val="26"/>
          <w:szCs w:val="26"/>
        </w:rPr>
        <w:t xml:space="preserve"> liên kết dưới đây:</w:t>
      </w:r>
    </w:p>
    <w:p w:rsidR="006E0BB6" w:rsidRDefault="004B7C31" w:rsidP="00DB7B6D">
      <w:pPr>
        <w:jc w:val="center"/>
      </w:pPr>
      <w:r w:rsidRPr="004B7C31">
        <w:drawing>
          <wp:inline distT="0" distB="0" distL="0" distR="0" wp14:anchorId="3789441A" wp14:editId="479C7197">
            <wp:extent cx="3476585" cy="48583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487906" cy="4874206"/>
                    </a:xfrm>
                    <a:prstGeom prst="rect">
                      <a:avLst/>
                    </a:prstGeom>
                  </pic:spPr>
                </pic:pic>
              </a:graphicData>
            </a:graphic>
          </wp:inline>
        </w:drawing>
      </w:r>
    </w:p>
    <w:p w:rsidR="004B7C31" w:rsidRDefault="004B7C31">
      <w:pPr>
        <w:rPr>
          <w:sz w:val="26"/>
          <w:szCs w:val="26"/>
        </w:rPr>
      </w:pPr>
      <w:hyperlink r:id="rId7" w:history="1">
        <w:r w:rsidRPr="00DB7B6D">
          <w:rPr>
            <w:rStyle w:val="Hyperlink"/>
            <w:sz w:val="26"/>
            <w:szCs w:val="26"/>
          </w:rPr>
          <w:t>https://maritimecyprus.com/wp-content/uploads/2025/07/CINS-lithium-ion-cells-guidelines-june-2025_c.pdf</w:t>
        </w:r>
      </w:hyperlink>
    </w:p>
    <w:p w:rsidR="00DB7B6D" w:rsidRPr="00DB7B6D" w:rsidRDefault="00DB7B6D" w:rsidP="00DB7B6D">
      <w:pPr>
        <w:jc w:val="center"/>
        <w:rPr>
          <w:sz w:val="26"/>
          <w:szCs w:val="26"/>
        </w:rPr>
      </w:pPr>
      <w:r>
        <w:rPr>
          <w:sz w:val="26"/>
          <w:szCs w:val="26"/>
        </w:rPr>
        <w:t>-------------------------------------------------</w:t>
      </w:r>
    </w:p>
    <w:p w:rsidR="004B7C31" w:rsidRDefault="004B7C31"/>
    <w:sectPr w:rsidR="004B7C31" w:rsidSect="002E485D">
      <w:pgSz w:w="12240" w:h="15840"/>
      <w:pgMar w:top="900" w:right="99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erriweather Sans">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C31"/>
    <w:rsid w:val="002E485D"/>
    <w:rsid w:val="004B7C31"/>
    <w:rsid w:val="006E0BB6"/>
    <w:rsid w:val="00DB7B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E78A2"/>
  <w15:chartTrackingRefBased/>
  <w15:docId w15:val="{74CC60A2-F48A-483B-A58F-6557DACA1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4B7C3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4B7C3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7C31"/>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4B7C31"/>
    <w:rPr>
      <w:color w:val="0000FF"/>
      <w:u w:val="single"/>
    </w:rPr>
  </w:style>
  <w:style w:type="character" w:customStyle="1" w:styleId="td-post-date">
    <w:name w:val="td-post-date"/>
    <w:basedOn w:val="DefaultParagraphFont"/>
    <w:rsid w:val="004B7C31"/>
  </w:style>
  <w:style w:type="character" w:customStyle="1" w:styleId="td-nr-views-40884">
    <w:name w:val="td-nr-views-40884"/>
    <w:basedOn w:val="DefaultParagraphFont"/>
    <w:rsid w:val="004B7C31"/>
  </w:style>
  <w:style w:type="paragraph" w:styleId="NormalWeb">
    <w:name w:val="Normal (Web)"/>
    <w:basedOn w:val="Normal"/>
    <w:uiPriority w:val="99"/>
    <w:semiHidden/>
    <w:unhideWhenUsed/>
    <w:rsid w:val="004B7C3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4B7C31"/>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383430">
      <w:bodyDiv w:val="1"/>
      <w:marLeft w:val="0"/>
      <w:marRight w:val="0"/>
      <w:marTop w:val="0"/>
      <w:marBottom w:val="0"/>
      <w:divBdr>
        <w:top w:val="none" w:sz="0" w:space="0" w:color="auto"/>
        <w:left w:val="none" w:sz="0" w:space="0" w:color="auto"/>
        <w:bottom w:val="none" w:sz="0" w:space="0" w:color="auto"/>
        <w:right w:val="none" w:sz="0" w:space="0" w:color="auto"/>
      </w:divBdr>
      <w:divsChild>
        <w:div w:id="827285225">
          <w:marLeft w:val="0"/>
          <w:marRight w:val="0"/>
          <w:marTop w:val="0"/>
          <w:marBottom w:val="0"/>
          <w:divBdr>
            <w:top w:val="none" w:sz="0" w:space="0" w:color="auto"/>
            <w:left w:val="none" w:sz="0" w:space="0" w:color="auto"/>
            <w:bottom w:val="none" w:sz="0" w:space="0" w:color="auto"/>
            <w:right w:val="none" w:sz="0" w:space="0" w:color="auto"/>
          </w:divBdr>
          <w:divsChild>
            <w:div w:id="1102267168">
              <w:marLeft w:val="0"/>
              <w:marRight w:val="0"/>
              <w:marTop w:val="0"/>
              <w:marBottom w:val="240"/>
              <w:divBdr>
                <w:top w:val="none" w:sz="0" w:space="0" w:color="auto"/>
                <w:left w:val="none" w:sz="0" w:space="0" w:color="auto"/>
                <w:bottom w:val="none" w:sz="0" w:space="0" w:color="auto"/>
                <w:right w:val="none" w:sz="0" w:space="0" w:color="auto"/>
              </w:divBdr>
              <w:divsChild>
                <w:div w:id="1019628228">
                  <w:marLeft w:val="0"/>
                  <w:marRight w:val="0"/>
                  <w:marTop w:val="0"/>
                  <w:marBottom w:val="0"/>
                  <w:divBdr>
                    <w:top w:val="none" w:sz="0" w:space="0" w:color="auto"/>
                    <w:left w:val="none" w:sz="0" w:space="0" w:color="auto"/>
                    <w:bottom w:val="none" w:sz="0" w:space="0" w:color="auto"/>
                    <w:right w:val="none" w:sz="0" w:space="0" w:color="auto"/>
                  </w:divBdr>
                  <w:divsChild>
                    <w:div w:id="1252740520">
                      <w:marLeft w:val="0"/>
                      <w:marRight w:val="30"/>
                      <w:marTop w:val="0"/>
                      <w:marBottom w:val="0"/>
                      <w:divBdr>
                        <w:top w:val="none" w:sz="0" w:space="0" w:color="auto"/>
                        <w:left w:val="none" w:sz="0" w:space="0" w:color="auto"/>
                        <w:bottom w:val="none" w:sz="0" w:space="0" w:color="auto"/>
                        <w:right w:val="none" w:sz="0" w:space="0" w:color="auto"/>
                      </w:divBdr>
                    </w:div>
                    <w:div w:id="939871836">
                      <w:marLeft w:val="0"/>
                      <w:marRight w:val="30"/>
                      <w:marTop w:val="0"/>
                      <w:marBottom w:val="0"/>
                      <w:divBdr>
                        <w:top w:val="none" w:sz="0" w:space="0" w:color="auto"/>
                        <w:left w:val="none" w:sz="0" w:space="0" w:color="auto"/>
                        <w:bottom w:val="none" w:sz="0" w:space="0" w:color="auto"/>
                        <w:right w:val="none" w:sz="0" w:space="0" w:color="auto"/>
                      </w:divBdr>
                    </w:div>
                  </w:divsChild>
                </w:div>
                <w:div w:id="1301115412">
                  <w:marLeft w:val="330"/>
                  <w:marRight w:val="0"/>
                  <w:marTop w:val="0"/>
                  <w:marBottom w:val="0"/>
                  <w:divBdr>
                    <w:top w:val="none" w:sz="0" w:space="0" w:color="auto"/>
                    <w:left w:val="none" w:sz="0" w:space="0" w:color="auto"/>
                    <w:bottom w:val="none" w:sz="0" w:space="0" w:color="auto"/>
                    <w:right w:val="none" w:sz="0" w:space="0" w:color="auto"/>
                  </w:divBdr>
                </w:div>
                <w:div w:id="32887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529998">
          <w:marLeft w:val="0"/>
          <w:marRight w:val="0"/>
          <w:marTop w:val="315"/>
          <w:marBottom w:val="0"/>
          <w:divBdr>
            <w:top w:val="none" w:sz="0" w:space="0" w:color="auto"/>
            <w:left w:val="none" w:sz="0" w:space="0" w:color="auto"/>
            <w:bottom w:val="none" w:sz="0" w:space="0" w:color="auto"/>
            <w:right w:val="none" w:sz="0" w:space="0" w:color="auto"/>
          </w:divBdr>
          <w:divsChild>
            <w:div w:id="1081945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521112">
      <w:bodyDiv w:val="1"/>
      <w:marLeft w:val="0"/>
      <w:marRight w:val="0"/>
      <w:marTop w:val="0"/>
      <w:marBottom w:val="0"/>
      <w:divBdr>
        <w:top w:val="none" w:sz="0" w:space="0" w:color="auto"/>
        <w:left w:val="none" w:sz="0" w:space="0" w:color="auto"/>
        <w:bottom w:val="none" w:sz="0" w:space="0" w:color="auto"/>
        <w:right w:val="none" w:sz="0" w:space="0" w:color="auto"/>
      </w:divBdr>
    </w:div>
    <w:div w:id="1536700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maritimecyprus.com/wp-content/uploads/2025/07/CINS-lithium-ion-cells-guidelines-june-2025_c.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111</TotalTime>
  <Pages>2</Pages>
  <Words>279</Words>
  <Characters>1592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1</cp:revision>
  <dcterms:created xsi:type="dcterms:W3CDTF">2025-07-10T04:29:00Z</dcterms:created>
  <dcterms:modified xsi:type="dcterms:W3CDTF">2025-07-10T06:20:00Z</dcterms:modified>
</cp:coreProperties>
</file>