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C47" w:rsidRPr="00D76C47" w:rsidRDefault="00D76C47" w:rsidP="00D76C47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</w:pPr>
      <w:r w:rsidRPr="00D76C47"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  <w:t xml:space="preserve">ReCAAP ISC: Báo cáo </w:t>
      </w:r>
      <w:r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  <w:t>6 tháng đầu năm</w:t>
      </w:r>
      <w:r w:rsidRPr="00D76C47"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  <w:t xml:space="preserve"> năm 2025, Cướp biển và </w:t>
      </w:r>
      <w:r w:rsidR="00214730"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  <w:t>Trộm cắp</w:t>
      </w:r>
      <w:r w:rsidRPr="00D76C47"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  <w:t xml:space="preserve"> có vũ trang chống lại tàu </w:t>
      </w:r>
      <w:bookmarkStart w:id="0" w:name="_GoBack"/>
      <w:bookmarkEnd w:id="0"/>
      <w:r w:rsidRPr="00D76C47"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  <w:t>ở Châu Á</w:t>
      </w:r>
    </w:p>
    <w:p w:rsidR="00D76C47" w:rsidRPr="00D76C47" w:rsidRDefault="00D76C47" w:rsidP="00D76C47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0070C0"/>
          <w:sz w:val="24"/>
          <w:szCs w:val="24"/>
        </w:rPr>
      </w:pPr>
      <w:hyperlink r:id="rId5" w:history="1">
        <w:r w:rsidRPr="00D76C47">
          <w:rPr>
            <w:rFonts w:ascii="inherit" w:eastAsia="Times New Roman" w:hAnsi="inherit" w:cs="Times New Roman"/>
            <w:color w:val="0070C0"/>
            <w:sz w:val="24"/>
            <w:szCs w:val="24"/>
            <w:u w:val="single"/>
            <w:bdr w:val="none" w:sz="0" w:space="0" w:color="auto" w:frame="1"/>
          </w:rPr>
          <w:t>Security</w:t>
        </w:r>
      </w:hyperlink>
    </w:p>
    <w:p w:rsidR="00D76C47" w:rsidRPr="00D76C47" w:rsidRDefault="00D76C47" w:rsidP="00D76C47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Times New Roman"/>
          <w:color w:val="0087CD"/>
          <w:sz w:val="21"/>
          <w:szCs w:val="21"/>
          <w:bdr w:val="none" w:sz="0" w:space="0" w:color="auto" w:frame="1"/>
        </w:rPr>
      </w:pPr>
      <w:r w:rsidRPr="00D76C47">
        <w:rPr>
          <w:rFonts w:ascii="inherit" w:eastAsia="Times New Roman" w:hAnsi="inherit" w:cs="Times New Roman"/>
          <w:color w:val="808080"/>
          <w:sz w:val="20"/>
          <w:szCs w:val="20"/>
        </w:rPr>
        <w:t> </w:t>
      </w:r>
      <w:r w:rsidRPr="00D76C47">
        <w:rPr>
          <w:rFonts w:ascii="Helvetica" w:eastAsia="Times New Roman" w:hAnsi="Helvetica" w:cs="Times New Roman"/>
          <w:color w:val="333333"/>
          <w:sz w:val="21"/>
          <w:szCs w:val="21"/>
        </w:rPr>
        <w:fldChar w:fldCharType="begin"/>
      </w:r>
      <w:r w:rsidRPr="00D76C47">
        <w:rPr>
          <w:rFonts w:ascii="Helvetica" w:eastAsia="Times New Roman" w:hAnsi="Helvetica" w:cs="Times New Roman"/>
          <w:color w:val="333333"/>
          <w:sz w:val="21"/>
          <w:szCs w:val="21"/>
        </w:rPr>
        <w:instrText xml:space="preserve"> HYPERLINK "https://safety4sea.com/wp-content/uploads/2018/04/somalia-piracy-e1522933229720.png" </w:instrText>
      </w:r>
      <w:r w:rsidRPr="00D76C47">
        <w:rPr>
          <w:rFonts w:ascii="Helvetica" w:eastAsia="Times New Roman" w:hAnsi="Helvetica" w:cs="Times New Roman"/>
          <w:color w:val="333333"/>
          <w:sz w:val="21"/>
          <w:szCs w:val="21"/>
        </w:rPr>
        <w:fldChar w:fldCharType="separate"/>
      </w:r>
    </w:p>
    <w:p w:rsidR="00D76C47" w:rsidRPr="00D76C47" w:rsidRDefault="00D76C47" w:rsidP="00D76C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6C47">
        <w:rPr>
          <w:rFonts w:ascii="Helvetica" w:eastAsia="Times New Roman" w:hAnsi="Helvetica" w:cs="Times New Roman"/>
          <w:noProof/>
          <w:color w:val="0087CD"/>
          <w:sz w:val="21"/>
          <w:szCs w:val="21"/>
          <w:bdr w:val="none" w:sz="0" w:space="0" w:color="auto" w:frame="1"/>
        </w:rPr>
        <w:drawing>
          <wp:inline distT="0" distB="0" distL="0" distR="0">
            <wp:extent cx="6088380" cy="2945616"/>
            <wp:effectExtent l="0" t="0" r="7620" b="7620"/>
            <wp:docPr id="5" name="Picture 5" descr="ReCAAP ISC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CAAP ISC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8" cy="295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C47" w:rsidRPr="00D76C47" w:rsidRDefault="00D76C47" w:rsidP="00D76C47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D76C47">
        <w:rPr>
          <w:rFonts w:ascii="Helvetica" w:eastAsia="Times New Roman" w:hAnsi="Helvetica" w:cs="Times New Roman"/>
          <w:color w:val="333333"/>
          <w:sz w:val="21"/>
          <w:szCs w:val="21"/>
        </w:rPr>
        <w:fldChar w:fldCharType="end"/>
      </w:r>
    </w:p>
    <w:p w:rsidR="00D76C47" w:rsidRPr="00D76C47" w:rsidRDefault="00D76C47" w:rsidP="00D76C47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D76C47">
        <w:rPr>
          <w:rFonts w:ascii="Times New Roman" w:eastAsia="Times New Roman" w:hAnsi="Times New Roman" w:cs="Times New Roman"/>
          <w:sz w:val="26"/>
          <w:szCs w:val="26"/>
        </w:rPr>
        <w:t xml:space="preserve">Trung tâm Chia sẻ Thông tin ReCAAP (ISC) đã công bố Báo cáo </w:t>
      </w:r>
      <w:r>
        <w:rPr>
          <w:rFonts w:ascii="Times New Roman" w:eastAsia="Times New Roman" w:hAnsi="Times New Roman" w:cs="Times New Roman"/>
          <w:sz w:val="26"/>
          <w:szCs w:val="26"/>
        </w:rPr>
        <w:t>nửa năm</w:t>
      </w:r>
      <w:r w:rsidRPr="00D76C47">
        <w:rPr>
          <w:rFonts w:ascii="Times New Roman" w:eastAsia="Times New Roman" w:hAnsi="Times New Roman" w:cs="Times New Roman"/>
          <w:sz w:val="26"/>
          <w:szCs w:val="26"/>
        </w:rPr>
        <w:t xml:space="preserve"> 2025 cho giai đoạn từ tháng 1 đến tháng 6.</w:t>
      </w:r>
    </w:p>
    <w:p w:rsidR="00D76C47" w:rsidRPr="00D76C47" w:rsidRDefault="00D76C47" w:rsidP="00D76C47">
      <w:pPr>
        <w:shd w:val="clear" w:color="auto" w:fill="FFFFFF"/>
        <w:spacing w:before="120" w:after="120" w:line="39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D76C47">
        <w:rPr>
          <w:rFonts w:ascii="Times New Roman" w:eastAsia="Times New Roman" w:hAnsi="Times New Roman" w:cs="Times New Roman"/>
          <w:sz w:val="26"/>
          <w:szCs w:val="26"/>
        </w:rPr>
        <w:t>Từ tháng 1 đến tháng 6 năm 2025,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có</w:t>
      </w:r>
      <w:r w:rsidRPr="00D76C47">
        <w:rPr>
          <w:rFonts w:ascii="Times New Roman" w:eastAsia="Times New Roman" w:hAnsi="Times New Roman" w:cs="Times New Roman"/>
          <w:sz w:val="26"/>
          <w:szCs w:val="26"/>
        </w:rPr>
        <w:t xml:space="preserve"> tổng cộng 95 vụ cướp biển và </w:t>
      </w:r>
      <w:r>
        <w:rPr>
          <w:rFonts w:ascii="Times New Roman" w:eastAsia="Times New Roman" w:hAnsi="Times New Roman" w:cs="Times New Roman"/>
          <w:sz w:val="26"/>
          <w:szCs w:val="26"/>
        </w:rPr>
        <w:t>trộm</w:t>
      </w:r>
      <w:r w:rsidRPr="00D76C47">
        <w:rPr>
          <w:rFonts w:ascii="Times New Roman" w:eastAsia="Times New Roman" w:hAnsi="Times New Roman" w:cs="Times New Roman"/>
          <w:sz w:val="26"/>
          <w:szCs w:val="26"/>
        </w:rPr>
        <w:t xml:space="preserve"> có vũ trang chống lại tàu thuyền ở châu Á đã được báo cáo cho ReCAAP ISC. Con số này tăng 83% so với 52 vụ được báo cáo trong cùng kỳ năm ngoái.</w:t>
      </w:r>
    </w:p>
    <w:p w:rsidR="00D76C47" w:rsidRDefault="00D76C47" w:rsidP="00D76C47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D76C47">
        <w:rPr>
          <w:rFonts w:ascii="Times New Roman" w:eastAsia="Times New Roman" w:hAnsi="Times New Roman" w:cs="Times New Roman"/>
          <w:sz w:val="26"/>
          <w:szCs w:val="26"/>
        </w:rPr>
        <w:t xml:space="preserve">Trong số 95 vụ, có hai vụ cướp biển xảy ra trên biển cả, 93 vụ là </w:t>
      </w:r>
      <w:r>
        <w:rPr>
          <w:rFonts w:ascii="Times New Roman" w:eastAsia="Times New Roman" w:hAnsi="Times New Roman" w:cs="Times New Roman"/>
          <w:sz w:val="26"/>
          <w:szCs w:val="26"/>
        </w:rPr>
        <w:t>trộm</w:t>
      </w:r>
      <w:r w:rsidRPr="00D76C47">
        <w:rPr>
          <w:rFonts w:ascii="Times New Roman" w:eastAsia="Times New Roman" w:hAnsi="Times New Roman" w:cs="Times New Roman"/>
          <w:sz w:val="26"/>
          <w:szCs w:val="26"/>
        </w:rPr>
        <w:t xml:space="preserve"> có vũ trang chống lại tàu thuyền (trong vùng nội thủy, lãnh hải và vùng biển quần đảo thuộc quyền tài phán của các quốc gia ven biển). </w:t>
      </w:r>
      <w:r>
        <w:rPr>
          <w:rFonts w:ascii="Times New Roman" w:eastAsia="Times New Roman" w:hAnsi="Times New Roman" w:cs="Times New Roman"/>
          <w:sz w:val="26"/>
          <w:szCs w:val="26"/>
        </w:rPr>
        <w:t>92</w:t>
      </w:r>
      <w:r w:rsidRPr="00D76C47">
        <w:rPr>
          <w:rFonts w:ascii="Times New Roman" w:eastAsia="Times New Roman" w:hAnsi="Times New Roman" w:cs="Times New Roman"/>
          <w:sz w:val="26"/>
          <w:szCs w:val="26"/>
        </w:rPr>
        <w:t xml:space="preserve"> trong số 95 vụ là các vụ việc thực tế, </w:t>
      </w:r>
      <w:r>
        <w:rPr>
          <w:rFonts w:ascii="Times New Roman" w:eastAsia="Times New Roman" w:hAnsi="Times New Roman" w:cs="Times New Roman"/>
          <w:sz w:val="26"/>
          <w:szCs w:val="26"/>
        </w:rPr>
        <w:t>còn</w:t>
      </w:r>
      <w:r w:rsidRPr="00D76C47">
        <w:rPr>
          <w:rFonts w:ascii="Times New Roman" w:eastAsia="Times New Roman" w:hAnsi="Times New Roman" w:cs="Times New Roman"/>
          <w:sz w:val="26"/>
          <w:szCs w:val="26"/>
        </w:rPr>
        <w:t xml:space="preserve"> ba vụ việc là các vụ bất thành.</w:t>
      </w:r>
    </w:p>
    <w:p w:rsidR="00D76C47" w:rsidRPr="00D76C47" w:rsidRDefault="00D76C47" w:rsidP="00D76C47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D76C47">
        <w:rPr>
          <w:rFonts w:ascii="Times New Roman" w:eastAsia="Times New Roman" w:hAnsi="Times New Roman" w:cs="Times New Roman"/>
          <w:sz w:val="26"/>
          <w:szCs w:val="26"/>
        </w:rPr>
        <w:t xml:space="preserve">Hơn nữa, hầu hết các vụ việc đều là hành vi trộm cắp cơ hội do những kẻ phạm tội thực hiện, không có thái độ đối đầu và </w:t>
      </w:r>
      <w:r>
        <w:rPr>
          <w:rFonts w:ascii="Times New Roman" w:eastAsia="Times New Roman" w:hAnsi="Times New Roman" w:cs="Times New Roman"/>
          <w:sz w:val="26"/>
          <w:szCs w:val="26"/>
        </w:rPr>
        <w:t>thường dùng</w:t>
      </w:r>
      <w:r w:rsidRPr="00D76C47">
        <w:rPr>
          <w:rFonts w:ascii="Times New Roman" w:eastAsia="Times New Roman" w:hAnsi="Times New Roman" w:cs="Times New Roman"/>
          <w:sz w:val="26"/>
          <w:szCs w:val="26"/>
        </w:rPr>
        <w:t xml:space="preserve"> phương thức "đánh rồi bỏ chạy". Trong hầu hết các vụ việc, bọn tội phạm thường lên những con tàu không được </w:t>
      </w:r>
      <w:r>
        <w:rPr>
          <w:rFonts w:ascii="Times New Roman" w:eastAsia="Times New Roman" w:hAnsi="Times New Roman" w:cs="Times New Roman"/>
          <w:sz w:val="26"/>
          <w:szCs w:val="26"/>
        </w:rPr>
        <w:t>bảo vệ</w:t>
      </w:r>
      <w:r w:rsidRPr="00D76C47">
        <w:rPr>
          <w:rFonts w:ascii="Times New Roman" w:eastAsia="Times New Roman" w:hAnsi="Times New Roman" w:cs="Times New Roman"/>
          <w:sz w:val="26"/>
          <w:szCs w:val="26"/>
        </w:rPr>
        <w:t xml:space="preserve"> kỹ lưỡng, có mạn khô thấp và di chuyển với tốc độ chậm trong các khu vực hạn chế của Eo biển Malacca và Singapore (SOMS).</w:t>
      </w:r>
    </w:p>
    <w:p w:rsidR="00D76C47" w:rsidRPr="00D76C47" w:rsidRDefault="00D76C47" w:rsidP="00D76C47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D76C47">
        <w:rPr>
          <w:rFonts w:ascii="Times New Roman" w:eastAsia="Times New Roman" w:hAnsi="Times New Roman" w:cs="Times New Roman"/>
          <w:sz w:val="26"/>
          <w:szCs w:val="26"/>
        </w:rPr>
        <w:t xml:space="preserve">So sánh Quý 1 và Quý 2 năm 2025, số vụ trong Quý 2 (51 vụ) đã tăng so với quý trước (44 vụ). Đáng chú ý, số vụ trong nửa đầu năm 2025 (Quý 1 và Quý 2) đã vượt quá số vụ được báo cáo hằng năm trong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các </w:t>
      </w:r>
      <w:r w:rsidRPr="00D76C47">
        <w:rPr>
          <w:rFonts w:ascii="Times New Roman" w:eastAsia="Times New Roman" w:hAnsi="Times New Roman" w:cs="Times New Roman"/>
          <w:sz w:val="26"/>
          <w:szCs w:val="26"/>
        </w:rPr>
        <w:t>năm 2021 và 2022.</w:t>
      </w:r>
    </w:p>
    <w:p w:rsidR="00D76C47" w:rsidRDefault="00D76C47" w:rsidP="00D76C47">
      <w:pPr>
        <w:shd w:val="clear" w:color="auto" w:fill="FFFFFF"/>
        <w:spacing w:after="0" w:line="39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</w:rPr>
      </w:pPr>
      <w:r w:rsidRPr="00D76C47">
        <w:rPr>
          <w:rFonts w:ascii="inherit" w:eastAsia="Times New Roman" w:hAnsi="inherit" w:cs="Times New Roman"/>
          <w:noProof/>
          <w:color w:val="A0A0A0"/>
          <w:sz w:val="24"/>
          <w:szCs w:val="24"/>
          <w:bdr w:val="none" w:sz="0" w:space="0" w:color="auto" w:frame="1"/>
        </w:rPr>
        <w:lastRenderedPageBreak/>
        <w:drawing>
          <wp:inline distT="0" distB="0" distL="0" distR="0">
            <wp:extent cx="5549900" cy="3467100"/>
            <wp:effectExtent l="0" t="0" r="0" b="0"/>
            <wp:docPr id="4" name="Picture 4" descr="ReCAAP ISC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CAAP ISC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C47" w:rsidRDefault="00D76C47" w:rsidP="00DE60A7">
      <w:pPr>
        <w:shd w:val="clear" w:color="auto" w:fill="FFFFFF"/>
        <w:spacing w:before="240" w:after="0" w:line="390" w:lineRule="atLeast"/>
        <w:jc w:val="center"/>
        <w:textAlignment w:val="baseline"/>
        <w:outlineLvl w:val="5"/>
        <w:rPr>
          <w:rFonts w:ascii="inherit" w:eastAsia="Times New Roman" w:hAnsi="inherit" w:cs="Times New Roman"/>
          <w:b/>
          <w:bCs/>
          <w:color w:val="111111"/>
          <w:sz w:val="15"/>
          <w:szCs w:val="15"/>
        </w:rPr>
      </w:pPr>
      <w:r w:rsidRPr="00D76C47">
        <w:rPr>
          <w:rFonts w:ascii="inherit" w:eastAsia="Times New Roman" w:hAnsi="inherit" w:cs="Times New Roman"/>
          <w:b/>
          <w:bCs/>
          <w:noProof/>
          <w:color w:val="0087CD"/>
          <w:sz w:val="15"/>
          <w:szCs w:val="15"/>
          <w:bdr w:val="none" w:sz="0" w:space="0" w:color="auto" w:frame="1"/>
        </w:rPr>
        <w:drawing>
          <wp:inline distT="0" distB="0" distL="0" distR="0">
            <wp:extent cx="3975100" cy="4953000"/>
            <wp:effectExtent l="0" t="0" r="6350" b="0"/>
            <wp:docPr id="3" name="Picture 3" descr="ReCAAP ISC: Half Yearly Report 2025, Piracy and Armed Robbery Against Ships in Asia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CAAP ISC: Half Yearly Report 2025, Piracy and Armed Robbery Against Ships in Asia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0A7" w:rsidRPr="00D76C47" w:rsidRDefault="00DE60A7" w:rsidP="00DE60A7">
      <w:pPr>
        <w:shd w:val="clear" w:color="auto" w:fill="FFFFFF"/>
        <w:spacing w:before="240" w:after="0" w:line="390" w:lineRule="atLeast"/>
        <w:jc w:val="center"/>
        <w:textAlignment w:val="baseline"/>
        <w:outlineLvl w:val="5"/>
        <w:rPr>
          <w:rFonts w:ascii="inherit" w:eastAsia="Times New Roman" w:hAnsi="inherit" w:cs="Times New Roman"/>
          <w:b/>
          <w:bCs/>
          <w:color w:val="111111"/>
          <w:sz w:val="15"/>
          <w:szCs w:val="15"/>
        </w:rPr>
      </w:pPr>
    </w:p>
    <w:p w:rsidR="00DE60A7" w:rsidRDefault="00D76C47" w:rsidP="00DE60A7">
      <w:pPr>
        <w:shd w:val="clear" w:color="auto" w:fill="FFFFFF"/>
        <w:spacing w:after="0" w:line="390" w:lineRule="atLeast"/>
        <w:jc w:val="center"/>
        <w:textAlignment w:val="baseline"/>
        <w:outlineLvl w:val="5"/>
        <w:rPr>
          <w:rFonts w:ascii="inherit" w:eastAsia="Times New Roman" w:hAnsi="inherit" w:cs="Times New Roman"/>
          <w:b/>
          <w:bCs/>
          <w:color w:val="111111"/>
          <w:sz w:val="15"/>
          <w:szCs w:val="15"/>
        </w:rPr>
      </w:pPr>
      <w:r w:rsidRPr="00D76C47">
        <w:rPr>
          <w:rFonts w:ascii="inherit" w:eastAsia="Times New Roman" w:hAnsi="inherit" w:cs="Times New Roman"/>
          <w:b/>
          <w:bCs/>
          <w:noProof/>
          <w:color w:val="0087CD"/>
          <w:sz w:val="15"/>
          <w:szCs w:val="15"/>
          <w:bdr w:val="none" w:sz="0" w:space="0" w:color="auto" w:frame="1"/>
        </w:rPr>
        <w:lastRenderedPageBreak/>
        <w:drawing>
          <wp:inline distT="0" distB="0" distL="0" distR="0">
            <wp:extent cx="4038600" cy="4937760"/>
            <wp:effectExtent l="0" t="0" r="0" b="0"/>
            <wp:docPr id="2" name="Picture 2" descr="ReCAAP ISC: Half Yearly Report 2025, Piracy and Armed Robbery Against Ships in Asia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CAAP ISC: Half Yearly Report 2025, Piracy and Armed Robbery Against Ships in Asia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493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0A7" w:rsidRPr="00D76C47" w:rsidRDefault="00DE60A7" w:rsidP="00DE60A7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76C47">
        <w:rPr>
          <w:rFonts w:ascii="Times New Roman" w:eastAsia="Times New Roman" w:hAnsi="Times New Roman" w:cs="Times New Roman"/>
          <w:b/>
          <w:sz w:val="26"/>
          <w:szCs w:val="26"/>
        </w:rPr>
        <w:t xml:space="preserve">Số vụ trong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từ tháng</w:t>
      </w:r>
      <w:r w:rsidRPr="00D76C47">
        <w:rPr>
          <w:rFonts w:ascii="Times New Roman" w:eastAsia="Times New Roman" w:hAnsi="Times New Roman" w:cs="Times New Roman"/>
          <w:b/>
          <w:sz w:val="26"/>
          <w:szCs w:val="26"/>
        </w:rPr>
        <w:t xml:space="preserve"> 1-6 năm 2025 so với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giai đoạn </w:t>
      </w:r>
      <w:r w:rsidRPr="00D76C47">
        <w:rPr>
          <w:rFonts w:ascii="Times New Roman" w:eastAsia="Times New Roman" w:hAnsi="Times New Roman" w:cs="Times New Roman"/>
          <w:b/>
          <w:sz w:val="26"/>
          <w:szCs w:val="26"/>
        </w:rPr>
        <w:t>tháng 1-6 năm 2024</w:t>
      </w:r>
    </w:p>
    <w:p w:rsidR="00DE60A7" w:rsidRPr="00D76C47" w:rsidRDefault="00DE60A7" w:rsidP="00DE60A7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D76C47">
        <w:rPr>
          <w:rFonts w:ascii="Times New Roman" w:eastAsia="Times New Roman" w:hAnsi="Times New Roman" w:cs="Times New Roman"/>
          <w:sz w:val="26"/>
          <w:szCs w:val="26"/>
        </w:rPr>
        <w:t>Số vụ được báo cáo trong tháng 1-6 năm 2025 đã tăng so với cùng kỳ năm 2024, tại các địa điểm sau:</w:t>
      </w:r>
    </w:p>
    <w:p w:rsidR="00DE60A7" w:rsidRPr="00D76C47" w:rsidRDefault="00DE60A7" w:rsidP="00DE60A7">
      <w:pPr>
        <w:pStyle w:val="ListParagraph"/>
        <w:numPr>
          <w:ilvl w:val="0"/>
          <w:numId w:val="2"/>
        </w:num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D76C47">
        <w:rPr>
          <w:rFonts w:ascii="Times New Roman" w:eastAsia="Times New Roman" w:hAnsi="Times New Roman" w:cs="Times New Roman"/>
          <w:b/>
          <w:sz w:val="26"/>
          <w:szCs w:val="26"/>
        </w:rPr>
        <w:t>Ấn Độ:</w:t>
      </w:r>
      <w:r w:rsidRPr="00D76C47">
        <w:rPr>
          <w:rFonts w:ascii="Times New Roman" w:eastAsia="Times New Roman" w:hAnsi="Times New Roman" w:cs="Times New Roman"/>
          <w:sz w:val="26"/>
          <w:szCs w:val="26"/>
        </w:rPr>
        <w:t xml:space="preserve"> Ba vụ được báo cáo so với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D76C47">
        <w:rPr>
          <w:rFonts w:ascii="Times New Roman" w:eastAsia="Times New Roman" w:hAnsi="Times New Roman" w:cs="Times New Roman"/>
          <w:sz w:val="26"/>
          <w:szCs w:val="26"/>
        </w:rPr>
        <w:t xml:space="preserve"> vụ.</w:t>
      </w:r>
    </w:p>
    <w:p w:rsidR="00DE60A7" w:rsidRPr="00D76C47" w:rsidRDefault="00DE60A7" w:rsidP="00DE60A7">
      <w:pPr>
        <w:pStyle w:val="ListParagraph"/>
        <w:numPr>
          <w:ilvl w:val="0"/>
          <w:numId w:val="2"/>
        </w:num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D76C47">
        <w:rPr>
          <w:rFonts w:ascii="Times New Roman" w:eastAsia="Times New Roman" w:hAnsi="Times New Roman" w:cs="Times New Roman"/>
          <w:b/>
          <w:sz w:val="26"/>
          <w:szCs w:val="26"/>
        </w:rPr>
        <w:t>Biển Đông:</w:t>
      </w:r>
      <w:r w:rsidRPr="00D76C47">
        <w:rPr>
          <w:rFonts w:ascii="Times New Roman" w:eastAsia="Times New Roman" w:hAnsi="Times New Roman" w:cs="Times New Roman"/>
          <w:sz w:val="26"/>
          <w:szCs w:val="26"/>
        </w:rPr>
        <w:t xml:space="preserve"> Hai vụ được báo cáo so với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Pr="00D76C47">
        <w:rPr>
          <w:rFonts w:ascii="Times New Roman" w:eastAsia="Times New Roman" w:hAnsi="Times New Roman" w:cs="Times New Roman"/>
          <w:sz w:val="26"/>
          <w:szCs w:val="26"/>
        </w:rPr>
        <w:t xml:space="preserve"> vụ.</w:t>
      </w:r>
    </w:p>
    <w:p w:rsidR="00DE60A7" w:rsidRPr="00D76C47" w:rsidRDefault="00DE60A7" w:rsidP="00DE60A7">
      <w:pPr>
        <w:pStyle w:val="ListParagraph"/>
        <w:numPr>
          <w:ilvl w:val="0"/>
          <w:numId w:val="2"/>
        </w:num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D76C47">
        <w:rPr>
          <w:rFonts w:ascii="Times New Roman" w:eastAsia="Times New Roman" w:hAnsi="Times New Roman" w:cs="Times New Roman"/>
          <w:b/>
          <w:sz w:val="26"/>
          <w:szCs w:val="26"/>
        </w:rPr>
        <w:t>Eo biển Malacca và Singapore (SOMS):</w:t>
      </w:r>
      <w:r w:rsidRPr="00D76C47">
        <w:rPr>
          <w:rFonts w:ascii="Times New Roman" w:eastAsia="Times New Roman" w:hAnsi="Times New Roman" w:cs="Times New Roman"/>
          <w:sz w:val="26"/>
          <w:szCs w:val="26"/>
        </w:rPr>
        <w:t xml:space="preserve"> 80 vụ được báo cáo so với 21 vụ.</w:t>
      </w:r>
    </w:p>
    <w:p w:rsidR="00DE60A7" w:rsidRDefault="00DE60A7" w:rsidP="00DE60A7">
      <w:pPr>
        <w:pStyle w:val="ListParagraph"/>
        <w:numPr>
          <w:ilvl w:val="0"/>
          <w:numId w:val="2"/>
        </w:num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D76C47">
        <w:rPr>
          <w:rFonts w:ascii="Times New Roman" w:eastAsia="Times New Roman" w:hAnsi="Times New Roman" w:cs="Times New Roman"/>
          <w:b/>
          <w:sz w:val="26"/>
          <w:szCs w:val="26"/>
        </w:rPr>
        <w:t>Việt Nam:</w:t>
      </w:r>
      <w:r w:rsidRPr="00D76C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D76C47">
        <w:rPr>
          <w:rFonts w:ascii="Times New Roman" w:eastAsia="Times New Roman" w:hAnsi="Times New Roman" w:cs="Times New Roman"/>
          <w:sz w:val="26"/>
          <w:szCs w:val="26"/>
        </w:rPr>
        <w:t xml:space="preserve"> vụ việc được báo cáo so với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Pr="00D76C47">
        <w:rPr>
          <w:rFonts w:ascii="Times New Roman" w:eastAsia="Times New Roman" w:hAnsi="Times New Roman" w:cs="Times New Roman"/>
          <w:sz w:val="26"/>
          <w:szCs w:val="26"/>
        </w:rPr>
        <w:t xml:space="preserve"> vụ. </w:t>
      </w:r>
    </w:p>
    <w:p w:rsidR="00DE60A7" w:rsidRPr="00D76C47" w:rsidRDefault="00DE60A7" w:rsidP="00DE60A7">
      <w:pPr>
        <w:shd w:val="clear" w:color="auto" w:fill="FFFFFF"/>
        <w:spacing w:before="120" w:after="120" w:line="39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D76C47">
        <w:rPr>
          <w:rFonts w:ascii="Times New Roman" w:eastAsia="Times New Roman" w:hAnsi="Times New Roman" w:cs="Times New Roman"/>
          <w:sz w:val="26"/>
          <w:szCs w:val="26"/>
        </w:rPr>
        <w:t>Tuy nhiên, số vụ được báo cáo đã giảm tại các địa điểm sau:</w:t>
      </w:r>
    </w:p>
    <w:p w:rsidR="00DE60A7" w:rsidRPr="00D76C47" w:rsidRDefault="00DE60A7" w:rsidP="00DE60A7">
      <w:pPr>
        <w:pStyle w:val="ListParagraph"/>
        <w:numPr>
          <w:ilvl w:val="0"/>
          <w:numId w:val="2"/>
        </w:num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D76C47">
        <w:rPr>
          <w:rFonts w:ascii="Times New Roman" w:eastAsia="Times New Roman" w:hAnsi="Times New Roman" w:cs="Times New Roman"/>
          <w:b/>
          <w:sz w:val="26"/>
          <w:szCs w:val="26"/>
        </w:rPr>
        <w:t>Bangladesh</w:t>
      </w:r>
      <w:r w:rsidRPr="00D76C47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D76C47">
        <w:rPr>
          <w:rFonts w:ascii="Times New Roman" w:eastAsia="Times New Roman" w:hAnsi="Times New Roman" w:cs="Times New Roman"/>
          <w:sz w:val="26"/>
          <w:szCs w:val="26"/>
        </w:rPr>
        <w:t xml:space="preserve"> vụ việc được báo cáo so với 10 vụ.</w:t>
      </w:r>
    </w:p>
    <w:p w:rsidR="00DE60A7" w:rsidRPr="00D76C47" w:rsidRDefault="00DE60A7" w:rsidP="00DE60A7">
      <w:pPr>
        <w:pStyle w:val="ListParagraph"/>
        <w:numPr>
          <w:ilvl w:val="0"/>
          <w:numId w:val="2"/>
        </w:num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D76C47">
        <w:rPr>
          <w:rFonts w:ascii="Times New Roman" w:eastAsia="Times New Roman" w:hAnsi="Times New Roman" w:cs="Times New Roman"/>
          <w:b/>
          <w:sz w:val="26"/>
          <w:szCs w:val="26"/>
        </w:rPr>
        <w:t>Indonesia (không bao gồm SOMS)</w:t>
      </w:r>
      <w:r w:rsidRPr="00D76C47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Pr="00D76C47">
        <w:rPr>
          <w:rFonts w:ascii="Times New Roman" w:eastAsia="Times New Roman" w:hAnsi="Times New Roman" w:cs="Times New Roman"/>
          <w:sz w:val="26"/>
          <w:szCs w:val="26"/>
        </w:rPr>
        <w:t xml:space="preserve"> vụ được báo cáo so với 15 vụ.</w:t>
      </w:r>
    </w:p>
    <w:p w:rsidR="00DE60A7" w:rsidRDefault="00DE60A7" w:rsidP="00DE60A7">
      <w:pPr>
        <w:pStyle w:val="ListParagraph"/>
        <w:numPr>
          <w:ilvl w:val="0"/>
          <w:numId w:val="2"/>
        </w:num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DE60A7">
        <w:rPr>
          <w:rFonts w:ascii="Times New Roman" w:eastAsia="Times New Roman" w:hAnsi="Times New Roman" w:cs="Times New Roman"/>
          <w:b/>
          <w:sz w:val="26"/>
          <w:szCs w:val="26"/>
        </w:rPr>
        <w:t>Philippines:</w:t>
      </w:r>
      <w:r w:rsidRPr="00D76C47">
        <w:rPr>
          <w:rFonts w:ascii="Times New Roman" w:eastAsia="Times New Roman" w:hAnsi="Times New Roman" w:cs="Times New Roman"/>
          <w:sz w:val="26"/>
          <w:szCs w:val="26"/>
        </w:rPr>
        <w:t xml:space="preserve"> Không có sự cố nào được báo cáo so với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D76C47">
        <w:rPr>
          <w:rFonts w:ascii="Times New Roman" w:eastAsia="Times New Roman" w:hAnsi="Times New Roman" w:cs="Times New Roman"/>
          <w:sz w:val="26"/>
          <w:szCs w:val="26"/>
        </w:rPr>
        <w:t xml:space="preserve"> sự cố.</w:t>
      </w:r>
    </w:p>
    <w:p w:rsidR="00DE60A7" w:rsidRPr="00DE60A7" w:rsidRDefault="00DE60A7" w:rsidP="00DE60A7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E60A7">
        <w:rPr>
          <w:rFonts w:ascii="Times New Roman" w:eastAsia="Times New Roman" w:hAnsi="Times New Roman" w:cs="Times New Roman"/>
          <w:b/>
          <w:sz w:val="26"/>
          <w:szCs w:val="26"/>
        </w:rPr>
        <w:t>Khu vực quan ngại</w:t>
      </w:r>
    </w:p>
    <w:p w:rsidR="00DE60A7" w:rsidRPr="00DE60A7" w:rsidRDefault="00DE60A7" w:rsidP="00DE60A7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DE60A7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Tình hình tại khu vực SOMS vẫn là vấn đề đáng lo ngại trong suốt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giai đoạn </w:t>
      </w:r>
      <w:r w:rsidRPr="00DE60A7">
        <w:rPr>
          <w:rFonts w:ascii="Times New Roman" w:eastAsia="Times New Roman" w:hAnsi="Times New Roman" w:cs="Times New Roman"/>
          <w:sz w:val="26"/>
          <w:szCs w:val="26"/>
        </w:rPr>
        <w:t>tháng 1-6 năm 2025. Các vụ việc liên tục xảy ra tại khu vực SOMS chiếm 84% tổng số vụ việc tại Châu Á (80/95 vụ) trong suốt tháng 1-6 năm 2025.</w:t>
      </w:r>
    </w:p>
    <w:p w:rsidR="00DE60A7" w:rsidRPr="00D76C47" w:rsidRDefault="00DE60A7" w:rsidP="00DE60A7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DE60A7">
        <w:rPr>
          <w:rFonts w:ascii="Times New Roman" w:eastAsia="Times New Roman" w:hAnsi="Times New Roman" w:cs="Times New Roman"/>
          <w:sz w:val="26"/>
          <w:szCs w:val="26"/>
        </w:rPr>
        <w:t>So với cùng kỳ năm 2024 (21 vụ), số vụ được báo cáo tại khu vực SOMS đã tăng gấp 4 lần. Phần lớn các vụ việc có mức độ nghiêm trọng t</w:t>
      </w:r>
      <w:r>
        <w:rPr>
          <w:rFonts w:ascii="Times New Roman" w:eastAsia="Times New Roman" w:hAnsi="Times New Roman" w:cs="Times New Roman"/>
          <w:sz w:val="26"/>
          <w:szCs w:val="26"/>
        </w:rPr>
        <w:t>hấp và chủ yếu là trộm cắp vặt.</w:t>
      </w:r>
    </w:p>
    <w:p w:rsidR="00D76C47" w:rsidRPr="00D76C47" w:rsidRDefault="00D76C47" w:rsidP="00D76C47">
      <w:pPr>
        <w:shd w:val="clear" w:color="auto" w:fill="FFFFFF"/>
        <w:spacing w:line="39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</w:rPr>
      </w:pPr>
      <w:r w:rsidRPr="00D76C47">
        <w:rPr>
          <w:rFonts w:ascii="inherit" w:eastAsia="Times New Roman" w:hAnsi="inherit" w:cs="Times New Roman"/>
          <w:noProof/>
          <w:color w:val="A0A0A0"/>
          <w:sz w:val="24"/>
          <w:szCs w:val="24"/>
          <w:bdr w:val="none" w:sz="0" w:space="0" w:color="auto" w:frame="1"/>
        </w:rPr>
        <w:drawing>
          <wp:inline distT="0" distB="0" distL="0" distR="0">
            <wp:extent cx="4724400" cy="2038350"/>
            <wp:effectExtent l="0" t="0" r="0" b="0"/>
            <wp:docPr id="1" name="Picture 1" descr="ReCAAP ISC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CAAP ISC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0A7" w:rsidRPr="00DE60A7" w:rsidRDefault="00DE60A7" w:rsidP="00DE60A7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E60A7">
        <w:rPr>
          <w:rFonts w:ascii="Times New Roman" w:eastAsia="Times New Roman" w:hAnsi="Times New Roman" w:cs="Times New Roman"/>
          <w:b/>
          <w:sz w:val="26"/>
          <w:szCs w:val="26"/>
        </w:rPr>
        <w:t xml:space="preserve">Tình trạng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của các </w:t>
      </w:r>
      <w:r w:rsidRPr="00DE60A7">
        <w:rPr>
          <w:rFonts w:ascii="Times New Roman" w:eastAsia="Times New Roman" w:hAnsi="Times New Roman" w:cs="Times New Roman"/>
          <w:b/>
          <w:sz w:val="26"/>
          <w:szCs w:val="26"/>
        </w:rPr>
        <w:t xml:space="preserve">tàu </w:t>
      </w:r>
    </w:p>
    <w:p w:rsidR="00DE60A7" w:rsidRPr="00DE60A7" w:rsidRDefault="00DE60A7" w:rsidP="00DE60A7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DE60A7">
        <w:rPr>
          <w:rFonts w:ascii="Times New Roman" w:eastAsia="Times New Roman" w:hAnsi="Times New Roman" w:cs="Times New Roman"/>
          <w:sz w:val="26"/>
          <w:szCs w:val="26"/>
        </w:rPr>
        <w:t xml:space="preserve">Trong số 95 vụ được báo cáo trong suốt tháng 1-6 năm 2025,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có </w:t>
      </w:r>
      <w:r w:rsidRPr="00DE60A7">
        <w:rPr>
          <w:rFonts w:ascii="Times New Roman" w:eastAsia="Times New Roman" w:hAnsi="Times New Roman" w:cs="Times New Roman"/>
          <w:sz w:val="26"/>
          <w:szCs w:val="26"/>
        </w:rPr>
        <w:t>12 vụ (13%) xảy ra với tàu khi đang neo /</w:t>
      </w:r>
      <w:r>
        <w:rPr>
          <w:rFonts w:ascii="Times New Roman" w:eastAsia="Times New Roman" w:hAnsi="Times New Roman" w:cs="Times New Roman"/>
          <w:sz w:val="26"/>
          <w:szCs w:val="26"/>
        </w:rPr>
        <w:t>nằm cầu</w:t>
      </w:r>
      <w:r w:rsidRPr="00DE60A7">
        <w:rPr>
          <w:rFonts w:ascii="Times New Roman" w:eastAsia="Times New Roman" w:hAnsi="Times New Roman" w:cs="Times New Roman"/>
          <w:sz w:val="26"/>
          <w:szCs w:val="26"/>
        </w:rPr>
        <w:t xml:space="preserve"> và 83 vụ (87%) xảy ra với tàu khi đang hành trình.</w:t>
      </w:r>
    </w:p>
    <w:p w:rsidR="00132720" w:rsidRDefault="00DE60A7" w:rsidP="00DE60A7">
      <w:pPr>
        <w:jc w:val="center"/>
      </w:pPr>
      <w:r>
        <w:t>------------------------------------</w:t>
      </w:r>
    </w:p>
    <w:sectPr w:rsidR="00132720" w:rsidSect="00DE60A7">
      <w:pgSz w:w="12240" w:h="15840"/>
      <w:pgMar w:top="720" w:right="117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46581"/>
    <w:multiLevelType w:val="hybridMultilevel"/>
    <w:tmpl w:val="C9EC0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82A46"/>
    <w:multiLevelType w:val="multilevel"/>
    <w:tmpl w:val="D0C6F3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C47"/>
    <w:rsid w:val="00132720"/>
    <w:rsid w:val="00214730"/>
    <w:rsid w:val="00D76C47"/>
    <w:rsid w:val="00DE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4181F"/>
  <w15:chartTrackingRefBased/>
  <w15:docId w15:val="{2C2A9CC2-990F-4552-A38B-681F35DB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76C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76C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D76C4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C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76C4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D76C47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metatext">
    <w:name w:val="meta_text"/>
    <w:basedOn w:val="DefaultParagraphFont"/>
    <w:rsid w:val="00D76C47"/>
  </w:style>
  <w:style w:type="character" w:styleId="Hyperlink">
    <w:name w:val="Hyperlink"/>
    <w:basedOn w:val="DefaultParagraphFont"/>
    <w:uiPriority w:val="99"/>
    <w:semiHidden/>
    <w:unhideWhenUsed/>
    <w:rsid w:val="00D76C47"/>
    <w:rPr>
      <w:color w:val="0000FF"/>
      <w:u w:val="single"/>
    </w:rPr>
  </w:style>
  <w:style w:type="paragraph" w:customStyle="1" w:styleId="wp-caption-text">
    <w:name w:val="wp-caption-text"/>
    <w:basedOn w:val="Normal"/>
    <w:rsid w:val="00D76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76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ropcap">
    <w:name w:val="dropcap"/>
    <w:basedOn w:val="DefaultParagraphFont"/>
    <w:rsid w:val="00D76C47"/>
  </w:style>
  <w:style w:type="character" w:styleId="Strong">
    <w:name w:val="Strong"/>
    <w:basedOn w:val="DefaultParagraphFont"/>
    <w:uiPriority w:val="22"/>
    <w:qFormat/>
    <w:rsid w:val="00D76C47"/>
    <w:rPr>
      <w:b/>
      <w:bCs/>
    </w:rPr>
  </w:style>
  <w:style w:type="paragraph" w:styleId="ListParagraph">
    <w:name w:val="List Paragraph"/>
    <w:basedOn w:val="Normal"/>
    <w:uiPriority w:val="34"/>
    <w:qFormat/>
    <w:rsid w:val="00D76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58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11" w:color="111111"/>
            <w:right w:val="none" w:sz="0" w:space="0" w:color="auto"/>
          </w:divBdr>
          <w:divsChild>
            <w:div w:id="3062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4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7869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63724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66310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75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4427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9120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37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24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622452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365684">
                          <w:marLeft w:val="1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8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34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31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806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45619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8511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355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56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177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7460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fety4sea.com/recaap-isc-half-yearly-report-2025-piracy-and-armed-robbery-against-ships-in-asia/recaap-half-yearly/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afety4sea.com/recaap-isc-half-yearly-report-2025-piracy-and-armed-robbery-against-ships-in-asia/recaap-sheet-2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afety4sea.com/wp-content/uploads/2018/04/somalia-piracy-e1522933229720.png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safety4sea.com/category/safety-parent/security/" TargetMode="External"/><Relationship Id="rId15" Type="http://schemas.openxmlformats.org/officeDocument/2006/relationships/image" Target="media/image5.png"/><Relationship Id="rId10" Type="http://schemas.openxmlformats.org/officeDocument/2006/relationships/hyperlink" Target="https://safety4sea.com/recaap-isc-half-yearly-report-2025-piracy-and-armed-robbery-against-ships-in-asia/recaap-half-yearly-shee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safety4sea.com/recaap-isc-half-yearly-report-2025-piracy-and-armed-robbery-against-ships-in-asia/recaap-half-yearly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2</cp:revision>
  <dcterms:created xsi:type="dcterms:W3CDTF">2025-07-11T09:45:00Z</dcterms:created>
  <dcterms:modified xsi:type="dcterms:W3CDTF">2025-07-11T10:01:00Z</dcterms:modified>
</cp:coreProperties>
</file>