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FA2" w:rsidRDefault="00C96FA2" w:rsidP="00C96FA2">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C96FA2">
        <w:rPr>
          <w:rFonts w:ascii="Times New Roman" w:eastAsia="Times New Roman" w:hAnsi="Times New Roman" w:cs="Times New Roman"/>
          <w:b/>
          <w:bCs/>
          <w:color w:val="111111"/>
          <w:spacing w:val="-10"/>
          <w:kern w:val="36"/>
          <w:sz w:val="40"/>
          <w:szCs w:val="40"/>
        </w:rPr>
        <w:t xml:space="preserve">Các kết quả chính </w:t>
      </w:r>
      <w:r>
        <w:rPr>
          <w:rFonts w:ascii="Times New Roman" w:eastAsia="Times New Roman" w:hAnsi="Times New Roman" w:cs="Times New Roman"/>
          <w:b/>
          <w:bCs/>
          <w:color w:val="111111"/>
          <w:spacing w:val="-10"/>
          <w:kern w:val="36"/>
          <w:sz w:val="40"/>
          <w:szCs w:val="40"/>
        </w:rPr>
        <w:t xml:space="preserve">từ kỳ họp thứ 12 của Tiểu ban </w:t>
      </w:r>
      <w:bookmarkEnd w:id="0"/>
      <w:r>
        <w:rPr>
          <w:rFonts w:ascii="Times New Roman" w:eastAsia="Times New Roman" w:hAnsi="Times New Roman" w:cs="Times New Roman"/>
          <w:b/>
          <w:bCs/>
          <w:color w:val="111111"/>
          <w:spacing w:val="-10"/>
          <w:kern w:val="36"/>
          <w:sz w:val="40"/>
          <w:szCs w:val="40"/>
        </w:rPr>
        <w:t xml:space="preserve">Hàng hải, Thông tin liên lạc, Tìm kiếm và cứu nạn (NCSR) của </w:t>
      </w:r>
      <w:r w:rsidRPr="00C96FA2">
        <w:rPr>
          <w:rFonts w:ascii="Times New Roman" w:eastAsia="Times New Roman" w:hAnsi="Times New Roman" w:cs="Times New Roman"/>
          <w:b/>
          <w:bCs/>
          <w:color w:val="111111"/>
          <w:spacing w:val="-10"/>
          <w:kern w:val="36"/>
          <w:sz w:val="40"/>
          <w:szCs w:val="40"/>
        </w:rPr>
        <w:t xml:space="preserve">IMO </w:t>
      </w:r>
    </w:p>
    <w:p w:rsidR="00C96FA2" w:rsidRPr="00C96FA2" w:rsidRDefault="00C96FA2" w:rsidP="00C96FA2">
      <w:pPr>
        <w:shd w:val="clear" w:color="auto" w:fill="FFFFFF"/>
        <w:spacing w:after="96" w:line="240" w:lineRule="auto"/>
        <w:jc w:val="right"/>
        <w:textAlignment w:val="baseline"/>
        <w:outlineLvl w:val="0"/>
        <w:rPr>
          <w:rFonts w:ascii="Times New Roman" w:eastAsia="Times New Roman" w:hAnsi="Times New Roman" w:cs="Times New Roman"/>
          <w:bCs/>
          <w:color w:val="0070C0"/>
          <w:spacing w:val="-10"/>
          <w:kern w:val="36"/>
          <w:sz w:val="24"/>
          <w:szCs w:val="24"/>
        </w:rPr>
      </w:pPr>
      <w:r w:rsidRPr="00C96FA2">
        <w:rPr>
          <w:rFonts w:ascii="Times New Roman" w:eastAsia="Times New Roman" w:hAnsi="Times New Roman" w:cs="Times New Roman"/>
          <w:bCs/>
          <w:color w:val="0070C0"/>
          <w:spacing w:val="-10"/>
          <w:kern w:val="36"/>
          <w:sz w:val="24"/>
          <w:szCs w:val="24"/>
        </w:rPr>
        <w:t>Safety4sea</w:t>
      </w:r>
    </w:p>
    <w:p w:rsidR="00C96FA2" w:rsidRPr="00C96FA2" w:rsidRDefault="00C96FA2" w:rsidP="00C96FA2">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C96FA2">
        <w:rPr>
          <w:rFonts w:ascii="Helvetica" w:eastAsia="Times New Roman" w:hAnsi="Helvetica" w:cs="Helvetica"/>
          <w:color w:val="333333"/>
          <w:sz w:val="21"/>
          <w:szCs w:val="21"/>
        </w:rPr>
        <w:fldChar w:fldCharType="begin"/>
      </w:r>
      <w:r w:rsidRPr="00C96FA2">
        <w:rPr>
          <w:rFonts w:ascii="Helvetica" w:eastAsia="Times New Roman" w:hAnsi="Helvetica" w:cs="Helvetica"/>
          <w:color w:val="333333"/>
          <w:sz w:val="21"/>
          <w:szCs w:val="21"/>
        </w:rPr>
        <w:instrText xml:space="preserve"> HYPERLINK "https://safety4sea.com/wp-content/uploads/2025/05/IMO-NCSR-12-scaled-e1747988977343.jpg" </w:instrText>
      </w:r>
      <w:r w:rsidRPr="00C96FA2">
        <w:rPr>
          <w:rFonts w:ascii="Helvetica" w:eastAsia="Times New Roman" w:hAnsi="Helvetica" w:cs="Helvetica"/>
          <w:color w:val="333333"/>
          <w:sz w:val="21"/>
          <w:szCs w:val="21"/>
        </w:rPr>
        <w:fldChar w:fldCharType="separate"/>
      </w:r>
    </w:p>
    <w:p w:rsidR="00C96FA2" w:rsidRPr="00C96FA2" w:rsidRDefault="00C96FA2" w:rsidP="00C96FA2">
      <w:pPr>
        <w:shd w:val="clear" w:color="auto" w:fill="FFFFFF"/>
        <w:spacing w:after="0" w:line="240" w:lineRule="auto"/>
        <w:textAlignment w:val="baseline"/>
        <w:rPr>
          <w:rFonts w:ascii="Times New Roman" w:eastAsia="Times New Roman" w:hAnsi="Times New Roman" w:cs="Times New Roman"/>
          <w:sz w:val="24"/>
          <w:szCs w:val="24"/>
        </w:rPr>
      </w:pPr>
      <w:r w:rsidRPr="00C96FA2">
        <w:rPr>
          <w:rFonts w:ascii="Helvetica" w:eastAsia="Times New Roman" w:hAnsi="Helvetica" w:cs="Helvetica"/>
          <w:noProof/>
          <w:color w:val="0087CD"/>
          <w:sz w:val="21"/>
          <w:szCs w:val="21"/>
          <w:bdr w:val="none" w:sz="0" w:space="0" w:color="auto" w:frame="1"/>
        </w:rPr>
        <w:drawing>
          <wp:inline distT="0" distB="0" distL="0" distR="0">
            <wp:extent cx="5920740" cy="2963529"/>
            <wp:effectExtent l="0" t="0" r="3810" b="8890"/>
            <wp:docPr id="1" name="Picture 1" descr="NCSR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R 1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3533" cy="2969932"/>
                    </a:xfrm>
                    <a:prstGeom prst="rect">
                      <a:avLst/>
                    </a:prstGeom>
                    <a:noFill/>
                    <a:ln>
                      <a:noFill/>
                    </a:ln>
                  </pic:spPr>
                </pic:pic>
              </a:graphicData>
            </a:graphic>
          </wp:inline>
        </w:drawing>
      </w:r>
    </w:p>
    <w:p w:rsidR="00C96FA2" w:rsidRPr="00C96FA2" w:rsidRDefault="00C96FA2" w:rsidP="00C96FA2">
      <w:pPr>
        <w:shd w:val="clear" w:color="auto" w:fill="FFFFFF"/>
        <w:spacing w:before="45" w:after="0" w:line="240" w:lineRule="auto"/>
        <w:jc w:val="right"/>
        <w:textAlignment w:val="baseline"/>
        <w:rPr>
          <w:rFonts w:ascii="inherit" w:eastAsia="Times New Roman" w:hAnsi="inherit" w:cs="Helvetica"/>
          <w:color w:val="A0A0A0"/>
          <w:sz w:val="17"/>
          <w:szCs w:val="17"/>
          <w:bdr w:val="none" w:sz="0" w:space="0" w:color="auto" w:frame="1"/>
        </w:rPr>
      </w:pPr>
      <w:r w:rsidRPr="00C96FA2">
        <w:rPr>
          <w:rFonts w:ascii="inherit" w:eastAsia="Times New Roman" w:hAnsi="inherit" w:cs="Helvetica"/>
          <w:color w:val="A0A0A0"/>
          <w:sz w:val="17"/>
          <w:szCs w:val="17"/>
          <w:bdr w:val="none" w:sz="0" w:space="0" w:color="auto" w:frame="1"/>
        </w:rPr>
        <w:t>Credit: IMO/Flickr</w:t>
      </w:r>
    </w:p>
    <w:p w:rsidR="00C96FA2" w:rsidRPr="00C96FA2" w:rsidRDefault="00C96FA2" w:rsidP="00C96FA2">
      <w:pPr>
        <w:shd w:val="clear" w:color="auto" w:fill="FFFFFF"/>
        <w:spacing w:line="240" w:lineRule="auto"/>
        <w:textAlignment w:val="baseline"/>
        <w:rPr>
          <w:rFonts w:ascii="Helvetica" w:eastAsia="Times New Roman" w:hAnsi="Helvetica" w:cs="Helvetica"/>
          <w:color w:val="333333"/>
          <w:sz w:val="21"/>
          <w:szCs w:val="21"/>
        </w:rPr>
      </w:pPr>
      <w:r w:rsidRPr="00C96FA2">
        <w:rPr>
          <w:rFonts w:ascii="Helvetica" w:eastAsia="Times New Roman" w:hAnsi="Helvetica" w:cs="Helvetica"/>
          <w:color w:val="333333"/>
          <w:sz w:val="21"/>
          <w:szCs w:val="21"/>
        </w:rPr>
        <w:fldChar w:fldCharType="end"/>
      </w:r>
    </w:p>
    <w:p w:rsidR="00C96FA2" w:rsidRPr="00C96FA2" w:rsidRDefault="00C96FA2" w:rsidP="00C96FA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 xml:space="preserve">Kỳ họp thứ 12 của </w:t>
      </w:r>
      <w:r w:rsidRPr="00C96FA2">
        <w:rPr>
          <w:rFonts w:ascii="Times New Roman" w:eastAsia="Times New Roman" w:hAnsi="Times New Roman" w:cs="Times New Roman"/>
          <w:color w:val="000000"/>
          <w:sz w:val="26"/>
          <w:szCs w:val="26"/>
          <w:bdr w:val="none" w:sz="0" w:space="0" w:color="auto" w:frame="1"/>
          <w:shd w:val="clear" w:color="auto" w:fill="FFFFFF"/>
        </w:rPr>
        <w:t>Tiểu ban NCSR diễn ra từ ngày 13 đến ngày 22 tháng 5 năm 2025 tại IMO ở London.</w:t>
      </w:r>
    </w:p>
    <w:p w:rsidR="00C96FA2" w:rsidRPr="00C96FA2" w:rsidRDefault="00C96FA2" w:rsidP="00C96FA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C96FA2">
        <w:rPr>
          <w:rFonts w:ascii="Times New Roman" w:eastAsia="Times New Roman" w:hAnsi="Times New Roman" w:cs="Times New Roman"/>
          <w:color w:val="000000"/>
          <w:sz w:val="26"/>
          <w:szCs w:val="26"/>
          <w:bdr w:val="none" w:sz="0" w:space="0" w:color="auto" w:frame="1"/>
          <w:shd w:val="clear" w:color="auto" w:fill="FFFFFF"/>
        </w:rPr>
        <w:t xml:space="preserve">Lloyd’s Register đã </w:t>
      </w:r>
      <w:r>
        <w:rPr>
          <w:rFonts w:ascii="Times New Roman" w:eastAsia="Times New Roman" w:hAnsi="Times New Roman" w:cs="Times New Roman"/>
          <w:color w:val="000000"/>
          <w:sz w:val="26"/>
          <w:szCs w:val="26"/>
          <w:bdr w:val="none" w:sz="0" w:space="0" w:color="auto" w:frame="1"/>
          <w:shd w:val="clear" w:color="auto" w:fill="FFFFFF"/>
        </w:rPr>
        <w:t>phát</w:t>
      </w:r>
      <w:r w:rsidRPr="00C96FA2">
        <w:rPr>
          <w:rFonts w:ascii="Times New Roman" w:eastAsia="Times New Roman" w:hAnsi="Times New Roman" w:cs="Times New Roman"/>
          <w:color w:val="000000"/>
          <w:sz w:val="26"/>
          <w:szCs w:val="26"/>
          <w:bdr w:val="none" w:sz="0" w:space="0" w:color="auto" w:frame="1"/>
          <w:shd w:val="clear" w:color="auto" w:fill="FFFFFF"/>
        </w:rPr>
        <w:t xml:space="preserve"> hành một báo cáo nêu tóm tắt các kết quả chính của </w:t>
      </w:r>
      <w:r>
        <w:rPr>
          <w:rFonts w:ascii="Times New Roman" w:eastAsia="Times New Roman" w:hAnsi="Times New Roman" w:cs="Times New Roman"/>
          <w:color w:val="000000"/>
          <w:sz w:val="26"/>
          <w:szCs w:val="26"/>
          <w:bdr w:val="none" w:sz="0" w:space="0" w:color="auto" w:frame="1"/>
          <w:shd w:val="clear" w:color="auto" w:fill="FFFFFF"/>
        </w:rPr>
        <w:t xml:space="preserve">Tiểu </w:t>
      </w:r>
      <w:r w:rsidRPr="00C96FA2">
        <w:rPr>
          <w:rFonts w:ascii="Times New Roman" w:eastAsia="Times New Roman" w:hAnsi="Times New Roman" w:cs="Times New Roman"/>
          <w:color w:val="000000"/>
          <w:sz w:val="26"/>
          <w:szCs w:val="26"/>
          <w:bdr w:val="none" w:sz="0" w:space="0" w:color="auto" w:frame="1"/>
          <w:shd w:val="clear" w:color="auto" w:fill="FFFFFF"/>
        </w:rPr>
        <w:t>ban</w:t>
      </w:r>
      <w:r>
        <w:rPr>
          <w:rFonts w:ascii="Times New Roman" w:eastAsia="Times New Roman" w:hAnsi="Times New Roman" w:cs="Times New Roman"/>
          <w:color w:val="000000"/>
          <w:sz w:val="26"/>
          <w:szCs w:val="26"/>
          <w:bdr w:val="none" w:sz="0" w:space="0" w:color="auto" w:frame="1"/>
          <w:shd w:val="clear" w:color="auto" w:fill="FFFFFF"/>
        </w:rPr>
        <w:t xml:space="preserve"> này</w:t>
      </w:r>
      <w:r w:rsidRPr="00C96FA2">
        <w:rPr>
          <w:rFonts w:ascii="Times New Roman" w:eastAsia="Times New Roman" w:hAnsi="Times New Roman" w:cs="Times New Roman"/>
          <w:color w:val="000000"/>
          <w:sz w:val="26"/>
          <w:szCs w:val="26"/>
          <w:bdr w:val="none" w:sz="0" w:space="0" w:color="auto" w:frame="1"/>
          <w:shd w:val="clear" w:color="auto" w:fill="FFFFFF"/>
        </w:rPr>
        <w:t xml:space="preserve">, trong đó thảo luận về mọi vấn đề liên quan đến </w:t>
      </w:r>
      <w:r>
        <w:rPr>
          <w:rFonts w:ascii="Times New Roman" w:eastAsia="Times New Roman" w:hAnsi="Times New Roman" w:cs="Times New Roman"/>
          <w:color w:val="000000"/>
          <w:sz w:val="26"/>
          <w:szCs w:val="26"/>
          <w:bdr w:val="none" w:sz="0" w:space="0" w:color="auto" w:frame="1"/>
          <w:shd w:val="clear" w:color="auto" w:fill="FFFFFF"/>
        </w:rPr>
        <w:t>hành hải</w:t>
      </w:r>
      <w:r w:rsidRPr="00C96FA2">
        <w:rPr>
          <w:rFonts w:ascii="Times New Roman" w:eastAsia="Times New Roman" w:hAnsi="Times New Roman" w:cs="Times New Roman"/>
          <w:color w:val="000000"/>
          <w:sz w:val="26"/>
          <w:szCs w:val="26"/>
          <w:bdr w:val="none" w:sz="0" w:space="0" w:color="auto" w:frame="1"/>
          <w:shd w:val="clear" w:color="auto" w:fill="FFFFFF"/>
        </w:rPr>
        <w:t xml:space="preserve"> và thông</w:t>
      </w:r>
      <w:r>
        <w:rPr>
          <w:rFonts w:ascii="Times New Roman" w:eastAsia="Times New Roman" w:hAnsi="Times New Roman" w:cs="Times New Roman"/>
          <w:color w:val="000000"/>
          <w:sz w:val="26"/>
          <w:szCs w:val="26"/>
          <w:bdr w:val="none" w:sz="0" w:space="0" w:color="auto" w:frame="1"/>
          <w:shd w:val="clear" w:color="auto" w:fill="FFFFFF"/>
        </w:rPr>
        <w:t xml:space="preserve"> tin liên lạc</w:t>
      </w:r>
      <w:r w:rsidRPr="00C96FA2">
        <w:rPr>
          <w:rFonts w:ascii="Times New Roman" w:eastAsia="Times New Roman" w:hAnsi="Times New Roman" w:cs="Times New Roman"/>
          <w:color w:val="000000"/>
          <w:sz w:val="26"/>
          <w:szCs w:val="26"/>
          <w:bdr w:val="none" w:sz="0" w:space="0" w:color="auto" w:frame="1"/>
          <w:shd w:val="clear" w:color="auto" w:fill="FFFFFF"/>
        </w:rPr>
        <w:t xml:space="preserve">, cũng như tìm kiếm và cứu nạn và Hệ thống </w:t>
      </w:r>
      <w:proofErr w:type="gramStart"/>
      <w:r w:rsidRPr="00C96FA2">
        <w:rPr>
          <w:rFonts w:ascii="Times New Roman" w:eastAsia="Times New Roman" w:hAnsi="Times New Roman" w:cs="Times New Roman"/>
          <w:color w:val="000000"/>
          <w:sz w:val="26"/>
          <w:szCs w:val="26"/>
          <w:bdr w:val="none" w:sz="0" w:space="0" w:color="auto" w:frame="1"/>
          <w:shd w:val="clear" w:color="auto" w:fill="FFFFFF"/>
        </w:rPr>
        <w:t>An</w:t>
      </w:r>
      <w:proofErr w:type="gramEnd"/>
      <w:r w:rsidRPr="00C96FA2">
        <w:rPr>
          <w:rFonts w:ascii="Times New Roman" w:eastAsia="Times New Roman" w:hAnsi="Times New Roman" w:cs="Times New Roman"/>
          <w:color w:val="000000"/>
          <w:sz w:val="26"/>
          <w:szCs w:val="26"/>
          <w:bdr w:val="none" w:sz="0" w:space="0" w:color="auto" w:frame="1"/>
          <w:shd w:val="clear" w:color="auto" w:fill="FFFFFF"/>
        </w:rPr>
        <w:t xml:space="preserve"> toàn và Cấp cứu Hàng hải Toàn cầu.</w:t>
      </w:r>
    </w:p>
    <w:p w:rsidR="00C96FA2" w:rsidRPr="00C96FA2" w:rsidRDefault="00C96FA2" w:rsidP="00C96FA2">
      <w:pPr>
        <w:shd w:val="clear" w:color="auto" w:fill="FCF8E3"/>
        <w:spacing w:before="120" w:after="120" w:line="240" w:lineRule="auto"/>
        <w:jc w:val="both"/>
        <w:textAlignment w:val="baseline"/>
        <w:rPr>
          <w:rFonts w:ascii="Times New Roman" w:eastAsia="Times New Roman" w:hAnsi="Times New Roman" w:cs="Times New Roman"/>
          <w:b/>
          <w:color w:val="000000" w:themeColor="text1"/>
          <w:sz w:val="26"/>
          <w:szCs w:val="26"/>
        </w:rPr>
      </w:pPr>
      <w:r w:rsidRPr="00C96FA2">
        <w:rPr>
          <w:rFonts w:ascii="Times New Roman" w:eastAsia="Times New Roman" w:hAnsi="Times New Roman" w:cs="Times New Roman"/>
          <w:b/>
          <w:color w:val="000000" w:themeColor="text1"/>
          <w:sz w:val="26"/>
          <w:szCs w:val="26"/>
        </w:rPr>
        <w:t xml:space="preserve">Tóm tắt các kết quả quan trọng: </w:t>
      </w:r>
    </w:p>
    <w:p w:rsidR="00C96FA2" w:rsidRPr="00C96FA2" w:rsidRDefault="00C96FA2" w:rsidP="00C96FA2">
      <w:pPr>
        <w:pStyle w:val="ListParagraph"/>
        <w:numPr>
          <w:ilvl w:val="0"/>
          <w:numId w:val="7"/>
        </w:numPr>
        <w:shd w:val="clear" w:color="auto" w:fill="FCF8E3"/>
        <w:spacing w:before="120" w:after="120" w:line="240" w:lineRule="auto"/>
        <w:jc w:val="both"/>
        <w:textAlignment w:val="baseline"/>
        <w:rPr>
          <w:rFonts w:ascii="Times New Roman" w:eastAsia="Times New Roman" w:hAnsi="Times New Roman" w:cs="Times New Roman"/>
          <w:color w:val="000000" w:themeColor="text1"/>
          <w:sz w:val="26"/>
          <w:szCs w:val="26"/>
        </w:rPr>
      </w:pPr>
      <w:r w:rsidRPr="00C96FA2">
        <w:rPr>
          <w:rFonts w:ascii="Times New Roman" w:eastAsia="Times New Roman" w:hAnsi="Times New Roman" w:cs="Times New Roman"/>
          <w:color w:val="000000" w:themeColor="text1"/>
          <w:sz w:val="26"/>
          <w:szCs w:val="26"/>
        </w:rPr>
        <w:t xml:space="preserve">NCSR đã hoàn thiện dự thảo sửa đổi chương V của SOLAS và các văn bản liên quan để hỗ trợ việc triển khai Hệ thống trao đổi dữ liệu </w:t>
      </w:r>
      <w:r>
        <w:rPr>
          <w:rFonts w:ascii="Times New Roman" w:eastAsia="Times New Roman" w:hAnsi="Times New Roman" w:cs="Times New Roman"/>
          <w:color w:val="000000" w:themeColor="text1"/>
          <w:sz w:val="26"/>
          <w:szCs w:val="26"/>
        </w:rPr>
        <w:t xml:space="preserve">trên </w:t>
      </w:r>
      <w:r w:rsidRPr="00C96FA2">
        <w:rPr>
          <w:rFonts w:ascii="Times New Roman" w:eastAsia="Times New Roman" w:hAnsi="Times New Roman" w:cs="Times New Roman"/>
          <w:color w:val="000000" w:themeColor="text1"/>
          <w:sz w:val="26"/>
          <w:szCs w:val="26"/>
        </w:rPr>
        <w:t xml:space="preserve">VHF (VDES) trên cơ sở tự nguyện. Các văn bản này bao gồm các tiêu chuẩn </w:t>
      </w:r>
      <w:r>
        <w:rPr>
          <w:rFonts w:ascii="Times New Roman" w:eastAsia="Times New Roman" w:hAnsi="Times New Roman" w:cs="Times New Roman"/>
          <w:color w:val="000000" w:themeColor="text1"/>
          <w:sz w:val="26"/>
          <w:szCs w:val="26"/>
        </w:rPr>
        <w:t>về hoạt động</w:t>
      </w:r>
      <w:r w:rsidRPr="00C96FA2">
        <w:rPr>
          <w:rFonts w:ascii="Times New Roman" w:eastAsia="Times New Roman" w:hAnsi="Times New Roman" w:cs="Times New Roman"/>
          <w:color w:val="000000" w:themeColor="text1"/>
          <w:sz w:val="26"/>
          <w:szCs w:val="26"/>
        </w:rPr>
        <w:t xml:space="preserve">, hướng dẫn vận hành và các điều khoản cho phép VDES thay thế AIS. Các tài liệu dự thảo sẽ được đệ trình lên MSC 110 để phê duyệt và dự kiến ​​sẽ được thông qua tại MSC 111 vào tháng 5 năm 2026, có hiệu lực vào ngày 1 tháng 1 năm 2028. </w:t>
      </w:r>
    </w:p>
    <w:p w:rsidR="00C96FA2" w:rsidRPr="00C96FA2" w:rsidRDefault="00C96FA2" w:rsidP="00C96FA2">
      <w:pPr>
        <w:pStyle w:val="ListParagraph"/>
        <w:numPr>
          <w:ilvl w:val="0"/>
          <w:numId w:val="7"/>
        </w:numPr>
        <w:shd w:val="clear" w:color="auto" w:fill="FCF8E3"/>
        <w:spacing w:before="120" w:after="120" w:line="240" w:lineRule="auto"/>
        <w:jc w:val="both"/>
        <w:textAlignment w:val="baseline"/>
        <w:rPr>
          <w:rFonts w:ascii="Times New Roman" w:eastAsia="Times New Roman" w:hAnsi="Times New Roman" w:cs="Times New Roman"/>
          <w:color w:val="000000" w:themeColor="text1"/>
          <w:sz w:val="26"/>
          <w:szCs w:val="26"/>
        </w:rPr>
      </w:pPr>
      <w:r w:rsidRPr="00C96FA2">
        <w:rPr>
          <w:rFonts w:ascii="Times New Roman" w:eastAsia="Times New Roman" w:hAnsi="Times New Roman" w:cs="Times New Roman"/>
          <w:color w:val="000000" w:themeColor="text1"/>
          <w:sz w:val="26"/>
          <w:szCs w:val="26"/>
        </w:rPr>
        <w:t xml:space="preserve">NCSR đã hoàn thiện dự thảo hướng dẫn về việc </w:t>
      </w:r>
      <w:r>
        <w:rPr>
          <w:rFonts w:ascii="Times New Roman" w:eastAsia="Times New Roman" w:hAnsi="Times New Roman" w:cs="Times New Roman"/>
          <w:color w:val="000000" w:themeColor="text1"/>
          <w:sz w:val="26"/>
          <w:szCs w:val="26"/>
        </w:rPr>
        <w:t>trang bị</w:t>
      </w:r>
      <w:r w:rsidRPr="00C96FA2">
        <w:rPr>
          <w:rFonts w:ascii="Times New Roman" w:eastAsia="Times New Roman" w:hAnsi="Times New Roman" w:cs="Times New Roman"/>
          <w:color w:val="000000" w:themeColor="text1"/>
          <w:sz w:val="26"/>
          <w:szCs w:val="26"/>
        </w:rPr>
        <w:t xml:space="preserve"> và sử dụng </w:t>
      </w:r>
      <w:r>
        <w:rPr>
          <w:rFonts w:ascii="Times New Roman" w:eastAsia="Times New Roman" w:hAnsi="Times New Roman" w:cs="Times New Roman"/>
          <w:color w:val="000000" w:themeColor="text1"/>
          <w:sz w:val="26"/>
          <w:szCs w:val="26"/>
        </w:rPr>
        <w:t xml:space="preserve">một </w:t>
      </w:r>
      <w:r w:rsidRPr="00C96FA2">
        <w:rPr>
          <w:rFonts w:ascii="Times New Roman" w:eastAsia="Times New Roman" w:hAnsi="Times New Roman" w:cs="Times New Roman"/>
          <w:color w:val="000000" w:themeColor="text1"/>
          <w:sz w:val="26"/>
          <w:szCs w:val="26"/>
        </w:rPr>
        <w:t xml:space="preserve">hệ thống </w:t>
      </w:r>
      <w:r>
        <w:rPr>
          <w:rFonts w:ascii="Times New Roman" w:eastAsia="Times New Roman" w:hAnsi="Times New Roman" w:cs="Times New Roman"/>
          <w:color w:val="000000" w:themeColor="text1"/>
          <w:sz w:val="26"/>
          <w:szCs w:val="26"/>
        </w:rPr>
        <w:t>các ấn phẩm</w:t>
      </w:r>
      <w:r w:rsidRPr="00C96FA2">
        <w:rPr>
          <w:rFonts w:ascii="Times New Roman" w:eastAsia="Times New Roman" w:hAnsi="Times New Roman" w:cs="Times New Roman"/>
          <w:color w:val="000000" w:themeColor="text1"/>
          <w:sz w:val="26"/>
          <w:szCs w:val="26"/>
        </w:rPr>
        <w:t xml:space="preserve"> hàng hải </w:t>
      </w:r>
      <w:r>
        <w:rPr>
          <w:rFonts w:ascii="Times New Roman" w:eastAsia="Times New Roman" w:hAnsi="Times New Roman" w:cs="Times New Roman"/>
          <w:color w:val="000000" w:themeColor="text1"/>
          <w:sz w:val="26"/>
          <w:szCs w:val="26"/>
        </w:rPr>
        <w:t xml:space="preserve">bằng </w:t>
      </w:r>
      <w:r w:rsidRPr="00C96FA2">
        <w:rPr>
          <w:rFonts w:ascii="Times New Roman" w:eastAsia="Times New Roman" w:hAnsi="Times New Roman" w:cs="Times New Roman"/>
          <w:color w:val="000000" w:themeColor="text1"/>
          <w:sz w:val="26"/>
          <w:szCs w:val="26"/>
        </w:rPr>
        <w:t xml:space="preserve">điện tử (ENP) </w:t>
      </w:r>
      <w:r>
        <w:rPr>
          <w:rFonts w:ascii="Times New Roman" w:eastAsia="Times New Roman" w:hAnsi="Times New Roman" w:cs="Times New Roman"/>
          <w:color w:val="000000" w:themeColor="text1"/>
          <w:sz w:val="26"/>
          <w:szCs w:val="26"/>
        </w:rPr>
        <w:t xml:space="preserve">ở </w:t>
      </w:r>
      <w:r w:rsidRPr="00C96FA2">
        <w:rPr>
          <w:rFonts w:ascii="Times New Roman" w:eastAsia="Times New Roman" w:hAnsi="Times New Roman" w:cs="Times New Roman"/>
          <w:color w:val="000000" w:themeColor="text1"/>
          <w:sz w:val="26"/>
          <w:szCs w:val="26"/>
        </w:rPr>
        <w:t>trên tàu để hỗ trợ việc thực hiện thống nhất các quy định SOLAS V/19.2.1.4, V/19.2.1.5 và V/27. Các hướng dẫn sẽ được đệ trình lên MSC 111 để phê duyệt vào tháng 5 năm 2026 và sẽ có hiệu lực ngay sau khi được phê duyệt.</w:t>
      </w:r>
    </w:p>
    <w:p w:rsidR="00C96FA2" w:rsidRPr="00C96FA2" w:rsidRDefault="00C96FA2" w:rsidP="00C96FA2">
      <w:pPr>
        <w:pStyle w:val="ListParagraph"/>
        <w:numPr>
          <w:ilvl w:val="0"/>
          <w:numId w:val="7"/>
        </w:numPr>
        <w:shd w:val="clear" w:color="auto" w:fill="FCF8E3"/>
        <w:spacing w:before="120" w:after="120" w:line="240" w:lineRule="auto"/>
        <w:jc w:val="both"/>
        <w:textAlignment w:val="baseline"/>
        <w:rPr>
          <w:rFonts w:ascii="Times New Roman" w:eastAsia="Times New Roman" w:hAnsi="Times New Roman" w:cs="Times New Roman"/>
          <w:color w:val="000000" w:themeColor="text1"/>
          <w:sz w:val="26"/>
          <w:szCs w:val="26"/>
        </w:rPr>
      </w:pPr>
      <w:r w:rsidRPr="00C96FA2">
        <w:rPr>
          <w:rFonts w:ascii="Times New Roman" w:eastAsia="Times New Roman" w:hAnsi="Times New Roman" w:cs="Times New Roman"/>
          <w:color w:val="000000" w:themeColor="text1"/>
          <w:sz w:val="26"/>
          <w:szCs w:val="26"/>
        </w:rPr>
        <w:lastRenderedPageBreak/>
        <w:t xml:space="preserve">NCSR đã hoàn thiện dự thảo thông tư </w:t>
      </w:r>
      <w:r>
        <w:rPr>
          <w:rFonts w:ascii="Times New Roman" w:eastAsia="Times New Roman" w:hAnsi="Times New Roman" w:cs="Times New Roman"/>
          <w:color w:val="000000" w:themeColor="text1"/>
          <w:sz w:val="26"/>
          <w:szCs w:val="26"/>
        </w:rPr>
        <w:t xml:space="preserve">của </w:t>
      </w:r>
      <w:r w:rsidRPr="00C96FA2">
        <w:rPr>
          <w:rFonts w:ascii="Times New Roman" w:eastAsia="Times New Roman" w:hAnsi="Times New Roman" w:cs="Times New Roman"/>
          <w:color w:val="000000" w:themeColor="text1"/>
          <w:sz w:val="26"/>
          <w:szCs w:val="26"/>
        </w:rPr>
        <w:t xml:space="preserve">MSC về hướng dẫn bảo trì phần mềm </w:t>
      </w:r>
      <w:r>
        <w:rPr>
          <w:rFonts w:ascii="Times New Roman" w:eastAsia="Times New Roman" w:hAnsi="Times New Roman" w:cs="Times New Roman"/>
          <w:color w:val="000000" w:themeColor="text1"/>
          <w:sz w:val="26"/>
          <w:szCs w:val="26"/>
        </w:rPr>
        <w:t xml:space="preserve">của các </w:t>
      </w:r>
      <w:r w:rsidRPr="00C96FA2">
        <w:rPr>
          <w:rFonts w:ascii="Times New Roman" w:eastAsia="Times New Roman" w:hAnsi="Times New Roman" w:cs="Times New Roman"/>
          <w:color w:val="000000" w:themeColor="text1"/>
          <w:sz w:val="26"/>
          <w:szCs w:val="26"/>
        </w:rPr>
        <w:t xml:space="preserve">hệ thống liên lạc và </w:t>
      </w:r>
      <w:r>
        <w:rPr>
          <w:rFonts w:ascii="Times New Roman" w:eastAsia="Times New Roman" w:hAnsi="Times New Roman" w:cs="Times New Roman"/>
          <w:color w:val="000000" w:themeColor="text1"/>
          <w:sz w:val="26"/>
          <w:szCs w:val="26"/>
        </w:rPr>
        <w:t>hành hải</w:t>
      </w:r>
      <w:r w:rsidRPr="00C96FA2">
        <w:rPr>
          <w:rFonts w:ascii="Times New Roman" w:eastAsia="Times New Roman" w:hAnsi="Times New Roman" w:cs="Times New Roman"/>
          <w:color w:val="000000" w:themeColor="text1"/>
          <w:sz w:val="26"/>
          <w:szCs w:val="26"/>
        </w:rPr>
        <w:t xml:space="preserve"> trên tàu, tập trung vào an ninh mạng, dịch vụ</w:t>
      </w:r>
      <w:r>
        <w:rPr>
          <w:rFonts w:ascii="Times New Roman" w:eastAsia="Times New Roman" w:hAnsi="Times New Roman" w:cs="Times New Roman"/>
          <w:color w:val="000000" w:themeColor="text1"/>
          <w:sz w:val="26"/>
          <w:szCs w:val="26"/>
        </w:rPr>
        <w:t xml:space="preserve"> từ xa và </w:t>
      </w:r>
      <w:r w:rsidRPr="00C96FA2">
        <w:rPr>
          <w:rFonts w:ascii="Times New Roman" w:eastAsia="Times New Roman" w:hAnsi="Times New Roman" w:cs="Times New Roman"/>
          <w:color w:val="000000" w:themeColor="text1"/>
          <w:sz w:val="26"/>
          <w:szCs w:val="26"/>
        </w:rPr>
        <w:t>chuẩn hóa</w:t>
      </w:r>
      <w:r>
        <w:rPr>
          <w:rFonts w:ascii="Times New Roman" w:eastAsia="Times New Roman" w:hAnsi="Times New Roman" w:cs="Times New Roman"/>
          <w:color w:val="000000" w:themeColor="text1"/>
          <w:sz w:val="26"/>
          <w:szCs w:val="26"/>
        </w:rPr>
        <w:t xml:space="preserve"> quá</w:t>
      </w:r>
      <w:r w:rsidRPr="00C96FA2">
        <w:rPr>
          <w:rFonts w:ascii="Times New Roman" w:eastAsia="Times New Roman" w:hAnsi="Times New Roman" w:cs="Times New Roman"/>
          <w:color w:val="000000" w:themeColor="text1"/>
          <w:sz w:val="26"/>
          <w:szCs w:val="26"/>
        </w:rPr>
        <w:t xml:space="preserve"> trình bảo trì. Dự thảo hướng dẫn </w:t>
      </w:r>
      <w:r>
        <w:rPr>
          <w:rFonts w:ascii="Times New Roman" w:eastAsia="Times New Roman" w:hAnsi="Times New Roman" w:cs="Times New Roman"/>
          <w:color w:val="000000" w:themeColor="text1"/>
          <w:sz w:val="26"/>
          <w:szCs w:val="26"/>
        </w:rPr>
        <w:t xml:space="preserve">này </w:t>
      </w:r>
      <w:r w:rsidRPr="00C96FA2">
        <w:rPr>
          <w:rFonts w:ascii="Times New Roman" w:eastAsia="Times New Roman" w:hAnsi="Times New Roman" w:cs="Times New Roman"/>
          <w:color w:val="000000" w:themeColor="text1"/>
          <w:sz w:val="26"/>
          <w:szCs w:val="26"/>
        </w:rPr>
        <w:t>dự kiến ​​sẽ được đệ trình để phê duyệt tại MSC 111 (dự kiến ​​là tháng 5 năm 2026) và sẽ có hiệu lực ngay sau khi được phê duyệt.</w:t>
      </w:r>
    </w:p>
    <w:p w:rsidR="00C96FA2" w:rsidRPr="00C96FA2" w:rsidRDefault="00C96FA2" w:rsidP="00C96FA2">
      <w:pPr>
        <w:pStyle w:val="ListParagraph"/>
        <w:numPr>
          <w:ilvl w:val="0"/>
          <w:numId w:val="7"/>
        </w:numPr>
        <w:shd w:val="clear" w:color="auto" w:fill="FCF8E3"/>
        <w:spacing w:before="120" w:after="120" w:line="240" w:lineRule="auto"/>
        <w:jc w:val="both"/>
        <w:textAlignment w:val="baseline"/>
        <w:rPr>
          <w:rFonts w:ascii="Times New Roman" w:eastAsia="Times New Roman" w:hAnsi="Times New Roman" w:cs="Times New Roman"/>
          <w:color w:val="000000" w:themeColor="text1"/>
          <w:sz w:val="26"/>
          <w:szCs w:val="26"/>
        </w:rPr>
      </w:pPr>
      <w:r w:rsidRPr="00C96FA2">
        <w:rPr>
          <w:rFonts w:ascii="Times New Roman" w:eastAsia="Times New Roman" w:hAnsi="Times New Roman" w:cs="Times New Roman"/>
          <w:color w:val="000000" w:themeColor="text1"/>
          <w:sz w:val="26"/>
          <w:szCs w:val="26"/>
        </w:rPr>
        <w:t xml:space="preserve">NCSR tiếp tục làm việc </w:t>
      </w:r>
      <w:r>
        <w:rPr>
          <w:rFonts w:ascii="Times New Roman" w:eastAsia="Times New Roman" w:hAnsi="Times New Roman" w:cs="Times New Roman"/>
          <w:color w:val="000000" w:themeColor="text1"/>
          <w:sz w:val="26"/>
          <w:szCs w:val="26"/>
        </w:rPr>
        <w:t>về</w:t>
      </w:r>
      <w:r w:rsidRPr="00C96FA2">
        <w:rPr>
          <w:rFonts w:ascii="Times New Roman" w:eastAsia="Times New Roman" w:hAnsi="Times New Roman" w:cs="Times New Roman"/>
          <w:color w:val="000000" w:themeColor="text1"/>
          <w:sz w:val="26"/>
          <w:szCs w:val="26"/>
        </w:rPr>
        <w:t xml:space="preserve"> dự thảo sổ tay NAVDAT và lộ trình triển khai hệ thống dữ liệu </w:t>
      </w:r>
      <w:r>
        <w:rPr>
          <w:rFonts w:ascii="Times New Roman" w:eastAsia="Times New Roman" w:hAnsi="Times New Roman" w:cs="Times New Roman"/>
          <w:color w:val="000000" w:themeColor="text1"/>
          <w:sz w:val="26"/>
          <w:szCs w:val="26"/>
        </w:rPr>
        <w:t>hàng hải bằng</w:t>
      </w:r>
      <w:r w:rsidRPr="00C96FA2">
        <w:rPr>
          <w:rFonts w:ascii="Times New Roman" w:eastAsia="Times New Roman" w:hAnsi="Times New Roman" w:cs="Times New Roman"/>
          <w:color w:val="000000" w:themeColor="text1"/>
          <w:sz w:val="26"/>
          <w:szCs w:val="26"/>
        </w:rPr>
        <w:t xml:space="preserve"> kỹ thuật số, dựa trên các nghị quyết được thông qua tại MSC 109. Do hạn chế về thời gian, việc hoàn thiện đã được hoãn lại đến NCSR 13 (dự kiến</w:t>
      </w:r>
      <w:r>
        <w:rPr>
          <w:rFonts w:ascii="Times New Roman" w:eastAsia="Times New Roman" w:hAnsi="Times New Roman" w:cs="Times New Roman"/>
          <w:color w:val="000000" w:themeColor="text1"/>
          <w:sz w:val="26"/>
          <w:szCs w:val="26"/>
        </w:rPr>
        <w:t xml:space="preserve"> ​​là tháng 6 năm 2026), với việc chấp thuận</w:t>
      </w:r>
      <w:r w:rsidRPr="00C96FA2">
        <w:rPr>
          <w:rFonts w:ascii="Times New Roman" w:eastAsia="Times New Roman" w:hAnsi="Times New Roman" w:cs="Times New Roman"/>
          <w:color w:val="000000" w:themeColor="text1"/>
          <w:sz w:val="26"/>
          <w:szCs w:val="26"/>
        </w:rPr>
        <w:t xml:space="preserve"> dự kiến ​​tại MSC 112 (dự kiến ​​là tháng 12 năm 2026).</w:t>
      </w:r>
    </w:p>
    <w:p w:rsidR="00C96FA2" w:rsidRPr="00C96FA2" w:rsidRDefault="00C96FA2" w:rsidP="00C96FA2">
      <w:pPr>
        <w:shd w:val="clear" w:color="auto" w:fill="FFFFFF"/>
        <w:spacing w:before="120" w:after="120" w:line="390" w:lineRule="atLeast"/>
        <w:jc w:val="both"/>
        <w:textAlignment w:val="baseline"/>
        <w:rPr>
          <w:rFonts w:ascii="Times New Roman" w:eastAsia="Times New Roman" w:hAnsi="Times New Roman" w:cs="Times New Roman"/>
          <w:b/>
          <w:color w:val="000000" w:themeColor="text1"/>
          <w:sz w:val="26"/>
          <w:szCs w:val="26"/>
        </w:rPr>
      </w:pPr>
      <w:r w:rsidRPr="00C96FA2">
        <w:rPr>
          <w:rFonts w:ascii="Times New Roman" w:eastAsia="Times New Roman" w:hAnsi="Times New Roman" w:cs="Times New Roman"/>
          <w:b/>
          <w:color w:val="000000" w:themeColor="text1"/>
          <w:sz w:val="26"/>
          <w:szCs w:val="26"/>
        </w:rPr>
        <w:t>Hành hải</w:t>
      </w:r>
    </w:p>
    <w:p w:rsidR="00C96FA2" w:rsidRPr="00C96FA2" w:rsidRDefault="00C96FA2" w:rsidP="00C96FA2">
      <w:pPr>
        <w:shd w:val="clear" w:color="auto" w:fill="FFFFFF"/>
        <w:spacing w:before="120" w:after="120" w:line="390" w:lineRule="atLeast"/>
        <w:jc w:val="both"/>
        <w:textAlignment w:val="baseline"/>
        <w:rPr>
          <w:rFonts w:ascii="Times New Roman" w:eastAsia="Times New Roman" w:hAnsi="Times New Roman" w:cs="Times New Roman"/>
          <w:b/>
          <w:color w:val="000000" w:themeColor="text1"/>
          <w:sz w:val="26"/>
          <w:szCs w:val="26"/>
        </w:rPr>
      </w:pPr>
      <w:r w:rsidRPr="00C96FA2">
        <w:rPr>
          <w:rFonts w:ascii="Times New Roman" w:eastAsia="Times New Roman" w:hAnsi="Times New Roman" w:cs="Times New Roman"/>
          <w:b/>
          <w:color w:val="000000" w:themeColor="text1"/>
          <w:sz w:val="26"/>
          <w:szCs w:val="26"/>
        </w:rPr>
        <w:t xml:space="preserve">Các biện pháp </w:t>
      </w:r>
      <w:r w:rsidRPr="00C96FA2">
        <w:rPr>
          <w:rFonts w:ascii="Times New Roman" w:eastAsia="Times New Roman" w:hAnsi="Times New Roman" w:cs="Times New Roman"/>
          <w:b/>
          <w:color w:val="000000" w:themeColor="text1"/>
          <w:sz w:val="26"/>
          <w:szCs w:val="26"/>
        </w:rPr>
        <w:t xml:space="preserve">xác </w:t>
      </w:r>
      <w:r w:rsidRPr="00C96FA2">
        <w:rPr>
          <w:rFonts w:ascii="Times New Roman" w:eastAsia="Times New Roman" w:hAnsi="Times New Roman" w:cs="Times New Roman"/>
          <w:b/>
          <w:color w:val="000000" w:themeColor="text1"/>
          <w:sz w:val="26"/>
          <w:szCs w:val="26"/>
        </w:rPr>
        <w:t xml:space="preserve">định tuyến </w:t>
      </w:r>
      <w:r w:rsidRPr="00C96FA2">
        <w:rPr>
          <w:rFonts w:ascii="Times New Roman" w:eastAsia="Times New Roman" w:hAnsi="Times New Roman" w:cs="Times New Roman"/>
          <w:b/>
          <w:color w:val="000000" w:themeColor="text1"/>
          <w:sz w:val="26"/>
          <w:szCs w:val="26"/>
        </w:rPr>
        <w:t xml:space="preserve">hành trình </w:t>
      </w:r>
      <w:r w:rsidRPr="00C96FA2">
        <w:rPr>
          <w:rFonts w:ascii="Times New Roman" w:eastAsia="Times New Roman" w:hAnsi="Times New Roman" w:cs="Times New Roman"/>
          <w:b/>
          <w:color w:val="000000" w:themeColor="text1"/>
          <w:sz w:val="26"/>
          <w:szCs w:val="26"/>
        </w:rPr>
        <w:t xml:space="preserve">và hệ thống báo cáo </w:t>
      </w:r>
      <w:r w:rsidRPr="00C96FA2">
        <w:rPr>
          <w:rFonts w:ascii="Times New Roman" w:eastAsia="Times New Roman" w:hAnsi="Times New Roman" w:cs="Times New Roman"/>
          <w:b/>
          <w:color w:val="000000" w:themeColor="text1"/>
          <w:sz w:val="26"/>
          <w:szCs w:val="26"/>
        </w:rPr>
        <w:t xml:space="preserve">từ </w:t>
      </w:r>
      <w:r w:rsidRPr="00C96FA2">
        <w:rPr>
          <w:rFonts w:ascii="Times New Roman" w:eastAsia="Times New Roman" w:hAnsi="Times New Roman" w:cs="Times New Roman"/>
          <w:b/>
          <w:color w:val="000000" w:themeColor="text1"/>
          <w:sz w:val="26"/>
          <w:szCs w:val="26"/>
        </w:rPr>
        <w:t>tàu</w:t>
      </w:r>
    </w:p>
    <w:p w:rsidR="00C96FA2" w:rsidRPr="00C96FA2" w:rsidRDefault="00C96FA2" w:rsidP="00C96FA2">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96FA2">
        <w:rPr>
          <w:rFonts w:ascii="Times New Roman" w:eastAsia="Times New Roman" w:hAnsi="Times New Roman" w:cs="Times New Roman"/>
          <w:color w:val="000000" w:themeColor="text1"/>
          <w:sz w:val="26"/>
          <w:szCs w:val="26"/>
        </w:rPr>
        <w:t xml:space="preserve">An toàn của hoạt động vận </w:t>
      </w:r>
      <w:r>
        <w:rPr>
          <w:rFonts w:ascii="Times New Roman" w:eastAsia="Times New Roman" w:hAnsi="Times New Roman" w:cs="Times New Roman"/>
          <w:color w:val="000000" w:themeColor="text1"/>
          <w:sz w:val="26"/>
          <w:szCs w:val="26"/>
        </w:rPr>
        <w:t>tải biển</w:t>
      </w:r>
      <w:r w:rsidRPr="00C96FA2">
        <w:rPr>
          <w:rFonts w:ascii="Times New Roman" w:eastAsia="Times New Roman" w:hAnsi="Times New Roman" w:cs="Times New Roman"/>
          <w:color w:val="000000" w:themeColor="text1"/>
          <w:sz w:val="26"/>
          <w:szCs w:val="26"/>
        </w:rPr>
        <w:t xml:space="preserve"> và sự sạch sẽ của </w:t>
      </w:r>
      <w:r>
        <w:rPr>
          <w:rFonts w:ascii="Times New Roman" w:eastAsia="Times New Roman" w:hAnsi="Times New Roman" w:cs="Times New Roman"/>
          <w:color w:val="000000" w:themeColor="text1"/>
          <w:sz w:val="26"/>
          <w:szCs w:val="26"/>
        </w:rPr>
        <w:t xml:space="preserve">các </w:t>
      </w:r>
      <w:r w:rsidRPr="00C96FA2">
        <w:rPr>
          <w:rFonts w:ascii="Times New Roman" w:eastAsia="Times New Roman" w:hAnsi="Times New Roman" w:cs="Times New Roman"/>
          <w:color w:val="000000" w:themeColor="text1"/>
          <w:sz w:val="26"/>
          <w:szCs w:val="26"/>
        </w:rPr>
        <w:t>đại dương được cải thiện nhờ các biện pháp</w:t>
      </w:r>
      <w:r>
        <w:rPr>
          <w:rFonts w:ascii="Times New Roman" w:eastAsia="Times New Roman" w:hAnsi="Times New Roman" w:cs="Times New Roman"/>
          <w:color w:val="000000" w:themeColor="text1"/>
          <w:sz w:val="26"/>
          <w:szCs w:val="26"/>
        </w:rPr>
        <w:t xml:space="preserve"> xác</w:t>
      </w:r>
      <w:r w:rsidRPr="00C96FA2">
        <w:rPr>
          <w:rFonts w:ascii="Times New Roman" w:eastAsia="Times New Roman" w:hAnsi="Times New Roman" w:cs="Times New Roman"/>
          <w:color w:val="000000" w:themeColor="text1"/>
          <w:sz w:val="26"/>
          <w:szCs w:val="26"/>
        </w:rPr>
        <w:t xml:space="preserve"> định tuyến </w:t>
      </w:r>
      <w:r>
        <w:rPr>
          <w:rFonts w:ascii="Times New Roman" w:eastAsia="Times New Roman" w:hAnsi="Times New Roman" w:cs="Times New Roman"/>
          <w:color w:val="000000" w:themeColor="text1"/>
          <w:sz w:val="26"/>
          <w:szCs w:val="26"/>
        </w:rPr>
        <w:t xml:space="preserve">hành trình </w:t>
      </w:r>
      <w:r w:rsidRPr="00C96FA2">
        <w:rPr>
          <w:rFonts w:ascii="Times New Roman" w:eastAsia="Times New Roman" w:hAnsi="Times New Roman" w:cs="Times New Roman"/>
          <w:color w:val="000000" w:themeColor="text1"/>
          <w:sz w:val="26"/>
          <w:szCs w:val="26"/>
        </w:rPr>
        <w:t xml:space="preserve">và hệ thống báo cáo </w:t>
      </w:r>
      <w:r>
        <w:rPr>
          <w:rFonts w:ascii="Times New Roman" w:eastAsia="Times New Roman" w:hAnsi="Times New Roman" w:cs="Times New Roman"/>
          <w:color w:val="000000" w:themeColor="text1"/>
          <w:sz w:val="26"/>
          <w:szCs w:val="26"/>
        </w:rPr>
        <w:t xml:space="preserve">từ </w:t>
      </w:r>
      <w:r w:rsidRPr="00C96FA2">
        <w:rPr>
          <w:rFonts w:ascii="Times New Roman" w:eastAsia="Times New Roman" w:hAnsi="Times New Roman" w:cs="Times New Roman"/>
          <w:color w:val="000000" w:themeColor="text1"/>
          <w:sz w:val="26"/>
          <w:szCs w:val="26"/>
        </w:rPr>
        <w:t>tàu. Hệ thống báo cáo</w:t>
      </w:r>
      <w:r>
        <w:rPr>
          <w:rFonts w:ascii="Times New Roman" w:eastAsia="Times New Roman" w:hAnsi="Times New Roman" w:cs="Times New Roman"/>
          <w:color w:val="000000" w:themeColor="text1"/>
          <w:sz w:val="26"/>
          <w:szCs w:val="26"/>
        </w:rPr>
        <w:t xml:space="preserve"> từ</w:t>
      </w:r>
      <w:r w:rsidRPr="00C96FA2">
        <w:rPr>
          <w:rFonts w:ascii="Times New Roman" w:eastAsia="Times New Roman" w:hAnsi="Times New Roman" w:cs="Times New Roman"/>
          <w:color w:val="000000" w:themeColor="text1"/>
          <w:sz w:val="26"/>
          <w:szCs w:val="26"/>
        </w:rPr>
        <w:t xml:space="preserve"> tàu cải thiện thêm an toàn bằng cách cung cấp thông tin </w:t>
      </w:r>
      <w:r>
        <w:rPr>
          <w:rFonts w:ascii="Times New Roman" w:eastAsia="Times New Roman" w:hAnsi="Times New Roman" w:cs="Times New Roman"/>
          <w:color w:val="000000" w:themeColor="text1"/>
          <w:sz w:val="26"/>
          <w:szCs w:val="26"/>
        </w:rPr>
        <w:t xml:space="preserve">theo </w:t>
      </w:r>
      <w:r w:rsidRPr="00C96FA2">
        <w:rPr>
          <w:rFonts w:ascii="Times New Roman" w:eastAsia="Times New Roman" w:hAnsi="Times New Roman" w:cs="Times New Roman"/>
          <w:color w:val="000000" w:themeColor="text1"/>
          <w:sz w:val="26"/>
          <w:szCs w:val="26"/>
        </w:rPr>
        <w:t xml:space="preserve">thời gian thực về hoạt động của tàu. Chương V của SOLAS chỉ định IMO là cơ quan quốc tế duy nhất </w:t>
      </w:r>
      <w:r>
        <w:rPr>
          <w:rFonts w:ascii="Times New Roman" w:eastAsia="Times New Roman" w:hAnsi="Times New Roman" w:cs="Times New Roman"/>
          <w:color w:val="000000" w:themeColor="text1"/>
          <w:sz w:val="26"/>
          <w:szCs w:val="26"/>
        </w:rPr>
        <w:t xml:space="preserve">được </w:t>
      </w:r>
      <w:r w:rsidRPr="00C96FA2">
        <w:rPr>
          <w:rFonts w:ascii="Times New Roman" w:eastAsia="Times New Roman" w:hAnsi="Times New Roman" w:cs="Times New Roman"/>
          <w:color w:val="000000" w:themeColor="text1"/>
          <w:sz w:val="26"/>
          <w:szCs w:val="26"/>
        </w:rPr>
        <w:t>thiết lập các hệ thống này, đảm bảo hoạt động hàng hải an toàn và hiệu quả.</w:t>
      </w:r>
    </w:p>
    <w:p w:rsidR="00C96FA2" w:rsidRPr="00C96FA2" w:rsidRDefault="00C96FA2" w:rsidP="00C96FA2">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96FA2">
        <w:rPr>
          <w:rFonts w:ascii="Times New Roman" w:eastAsia="Times New Roman" w:hAnsi="Times New Roman" w:cs="Times New Roman"/>
          <w:color w:val="000000" w:themeColor="text1"/>
          <w:sz w:val="26"/>
          <w:szCs w:val="26"/>
        </w:rPr>
        <w:t>NCSR đã nhất trí về những nội dung sau:</w:t>
      </w:r>
    </w:p>
    <w:p w:rsidR="00C96FA2" w:rsidRPr="00C96FA2" w:rsidRDefault="00C96FA2" w:rsidP="00C96FA2">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96FA2">
        <w:rPr>
          <w:rFonts w:ascii="Times New Roman" w:eastAsia="Times New Roman" w:hAnsi="Times New Roman" w:cs="Times New Roman"/>
          <w:color w:val="000000" w:themeColor="text1"/>
          <w:sz w:val="26"/>
          <w:szCs w:val="26"/>
        </w:rPr>
        <w:t xml:space="preserve">Dự thảo nghị quyết </w:t>
      </w:r>
      <w:r>
        <w:rPr>
          <w:rFonts w:ascii="Times New Roman" w:eastAsia="Times New Roman" w:hAnsi="Times New Roman" w:cs="Times New Roman"/>
          <w:color w:val="000000" w:themeColor="text1"/>
          <w:sz w:val="26"/>
          <w:szCs w:val="26"/>
        </w:rPr>
        <w:t xml:space="preserve">của </w:t>
      </w:r>
      <w:r w:rsidRPr="00C96FA2">
        <w:rPr>
          <w:rFonts w:ascii="Times New Roman" w:eastAsia="Times New Roman" w:hAnsi="Times New Roman" w:cs="Times New Roman"/>
          <w:color w:val="000000" w:themeColor="text1"/>
          <w:sz w:val="26"/>
          <w:szCs w:val="26"/>
        </w:rPr>
        <w:t>MSC về các sửa đổi đối với hệ thống hiện có</w:t>
      </w:r>
      <w:r>
        <w:rPr>
          <w:rFonts w:ascii="Times New Roman" w:eastAsia="Times New Roman" w:hAnsi="Times New Roman" w:cs="Times New Roman"/>
          <w:color w:val="000000" w:themeColor="text1"/>
          <w:sz w:val="26"/>
          <w:szCs w:val="26"/>
        </w:rPr>
        <w:t xml:space="preserve"> về</w:t>
      </w:r>
      <w:r w:rsidRPr="00C96FA2">
        <w:rPr>
          <w:rFonts w:ascii="Times New Roman" w:eastAsia="Times New Roman" w:hAnsi="Times New Roman" w:cs="Times New Roman"/>
          <w:color w:val="000000" w:themeColor="text1"/>
          <w:sz w:val="26"/>
          <w:szCs w:val="26"/>
        </w:rPr>
        <w:t xml:space="preserve"> báo cáo bắt buộc </w:t>
      </w:r>
      <w:r>
        <w:rPr>
          <w:rFonts w:ascii="Times New Roman" w:eastAsia="Times New Roman" w:hAnsi="Times New Roman" w:cs="Times New Roman"/>
          <w:color w:val="000000" w:themeColor="text1"/>
          <w:sz w:val="26"/>
          <w:szCs w:val="26"/>
        </w:rPr>
        <w:t xml:space="preserve">từ </w:t>
      </w:r>
      <w:r w:rsidRPr="00C96FA2">
        <w:rPr>
          <w:rFonts w:ascii="Times New Roman" w:eastAsia="Times New Roman" w:hAnsi="Times New Roman" w:cs="Times New Roman"/>
          <w:color w:val="000000" w:themeColor="text1"/>
          <w:sz w:val="26"/>
          <w:szCs w:val="26"/>
        </w:rPr>
        <w:t>tàu ở Biển Adriatic (ADRIREP)</w:t>
      </w:r>
    </w:p>
    <w:p w:rsidR="00C96FA2" w:rsidRPr="00C96FA2" w:rsidRDefault="00C96FA2" w:rsidP="00C96FA2">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96FA2">
        <w:rPr>
          <w:rFonts w:ascii="Times New Roman" w:eastAsia="Times New Roman" w:hAnsi="Times New Roman" w:cs="Times New Roman"/>
          <w:color w:val="000000" w:themeColor="text1"/>
          <w:sz w:val="26"/>
          <w:szCs w:val="26"/>
        </w:rPr>
        <w:t xml:space="preserve">Dự thảo thông tư SN về khu vực cần tránh </w:t>
      </w:r>
      <w:r>
        <w:rPr>
          <w:rFonts w:ascii="Times New Roman" w:eastAsia="Times New Roman" w:hAnsi="Times New Roman" w:cs="Times New Roman"/>
          <w:color w:val="000000" w:themeColor="text1"/>
          <w:sz w:val="26"/>
          <w:szCs w:val="26"/>
        </w:rPr>
        <w:t xml:space="preserve">ở </w:t>
      </w:r>
      <w:r w:rsidRPr="00C96FA2">
        <w:rPr>
          <w:rFonts w:ascii="Times New Roman" w:eastAsia="Times New Roman" w:hAnsi="Times New Roman" w:cs="Times New Roman"/>
          <w:color w:val="000000" w:themeColor="text1"/>
          <w:sz w:val="26"/>
          <w:szCs w:val="26"/>
        </w:rPr>
        <w:t>ngoài khơi bờ biển Reunion, trong lưu vực Mascarene.</w:t>
      </w:r>
    </w:p>
    <w:p w:rsidR="00C96FA2" w:rsidRPr="00C96FA2" w:rsidRDefault="00C96FA2" w:rsidP="00C96FA2">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96FA2">
        <w:rPr>
          <w:rFonts w:ascii="Times New Roman" w:eastAsia="Times New Roman" w:hAnsi="Times New Roman" w:cs="Times New Roman"/>
          <w:color w:val="000000" w:themeColor="text1"/>
          <w:sz w:val="26"/>
          <w:szCs w:val="26"/>
        </w:rPr>
        <w:t xml:space="preserve">Dự thảo sửa đổi Nghị quyết MSC.314(88) thành phụ lục mới cho Vùng eo biển giữa Đan Mạch và Thụy Điển (SOUNDREP) và dự thảo sửa đổi MSC.332(90) trong phụ lục hiện có đối với hệ thống báo cáo </w:t>
      </w:r>
      <w:r w:rsidR="00CA7823">
        <w:rPr>
          <w:rFonts w:ascii="Times New Roman" w:eastAsia="Times New Roman" w:hAnsi="Times New Roman" w:cs="Times New Roman"/>
          <w:color w:val="000000" w:themeColor="text1"/>
          <w:sz w:val="26"/>
          <w:szCs w:val="26"/>
        </w:rPr>
        <w:t xml:space="preserve">từ </w:t>
      </w:r>
      <w:r w:rsidRPr="00C96FA2">
        <w:rPr>
          <w:rFonts w:ascii="Times New Roman" w:eastAsia="Times New Roman" w:hAnsi="Times New Roman" w:cs="Times New Roman"/>
          <w:color w:val="000000" w:themeColor="text1"/>
          <w:sz w:val="26"/>
          <w:szCs w:val="26"/>
        </w:rPr>
        <w:t>tàu ở Vùng lưu thông Storebælt (Vành đai lớn) (BELREP).</w:t>
      </w:r>
    </w:p>
    <w:p w:rsidR="00C96FA2" w:rsidRPr="00C96FA2" w:rsidRDefault="00C96FA2" w:rsidP="00C96FA2">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96FA2">
        <w:rPr>
          <w:rFonts w:ascii="Times New Roman" w:eastAsia="Times New Roman" w:hAnsi="Times New Roman" w:cs="Times New Roman"/>
          <w:color w:val="000000" w:themeColor="text1"/>
          <w:sz w:val="26"/>
          <w:szCs w:val="26"/>
        </w:rPr>
        <w:t xml:space="preserve">Các bản thảo đã hoàn thiện dự kiến ​​sẽ được thông qua tại MSC 111 vào tháng 5 năm 2026, với thời gian triển khai dự kiến ​​là </w:t>
      </w:r>
      <w:r w:rsidR="00CA7823">
        <w:rPr>
          <w:rFonts w:ascii="Times New Roman" w:eastAsia="Times New Roman" w:hAnsi="Times New Roman" w:cs="Times New Roman"/>
          <w:color w:val="000000" w:themeColor="text1"/>
          <w:sz w:val="26"/>
          <w:szCs w:val="26"/>
        </w:rPr>
        <w:t>6</w:t>
      </w:r>
      <w:r w:rsidRPr="00C96FA2">
        <w:rPr>
          <w:rFonts w:ascii="Times New Roman" w:eastAsia="Times New Roman" w:hAnsi="Times New Roman" w:cs="Times New Roman"/>
          <w:color w:val="000000" w:themeColor="text1"/>
          <w:sz w:val="26"/>
          <w:szCs w:val="26"/>
        </w:rPr>
        <w:t xml:space="preserve"> tháng sau đó. </w:t>
      </w:r>
    </w:p>
    <w:p w:rsidR="00C96FA2" w:rsidRPr="00C96FA2" w:rsidRDefault="00C96FA2" w:rsidP="00C96FA2">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96FA2">
        <w:rPr>
          <w:rFonts w:ascii="Times New Roman" w:eastAsia="Times New Roman" w:hAnsi="Times New Roman" w:cs="Times New Roman"/>
          <w:color w:val="000000" w:themeColor="text1"/>
          <w:sz w:val="26"/>
          <w:szCs w:val="26"/>
        </w:rPr>
        <w:t xml:space="preserve">Thông tin đã được đệ trình liên quan đến việc thay đổi Dữ liệu </w:t>
      </w:r>
      <w:r w:rsidR="00CA7823">
        <w:rPr>
          <w:rFonts w:ascii="Times New Roman" w:eastAsia="Times New Roman" w:hAnsi="Times New Roman" w:cs="Times New Roman"/>
          <w:color w:val="000000" w:themeColor="text1"/>
          <w:sz w:val="26"/>
          <w:szCs w:val="26"/>
        </w:rPr>
        <w:t>hải</w:t>
      </w:r>
      <w:r w:rsidRPr="00C96FA2">
        <w:rPr>
          <w:rFonts w:ascii="Times New Roman" w:eastAsia="Times New Roman" w:hAnsi="Times New Roman" w:cs="Times New Roman"/>
          <w:color w:val="000000" w:themeColor="text1"/>
          <w:sz w:val="26"/>
          <w:szCs w:val="26"/>
        </w:rPr>
        <w:t xml:space="preserve"> đồ và giá trị độ sâu tối thiểu là 17,60 m trên tuyến đường nước sâu trong sơ đồ phân luồng giao thông Biển Nam Åland. NCSR đã phê duyệt đề xuất ban hành phụ lục 3 cho SN.1/Circ.272.</w:t>
      </w:r>
    </w:p>
    <w:p w:rsidR="00C96FA2" w:rsidRPr="00CA7823" w:rsidRDefault="00C96FA2" w:rsidP="00C96FA2">
      <w:pPr>
        <w:shd w:val="clear" w:color="auto" w:fill="FFFFFF"/>
        <w:spacing w:before="120" w:after="120" w:line="390" w:lineRule="atLeast"/>
        <w:jc w:val="both"/>
        <w:textAlignment w:val="baseline"/>
        <w:rPr>
          <w:rFonts w:ascii="Times New Roman" w:eastAsia="Times New Roman" w:hAnsi="Times New Roman" w:cs="Times New Roman"/>
          <w:b/>
          <w:color w:val="000000" w:themeColor="text1"/>
          <w:sz w:val="26"/>
          <w:szCs w:val="26"/>
        </w:rPr>
      </w:pPr>
      <w:r w:rsidRPr="00CA7823">
        <w:rPr>
          <w:rFonts w:ascii="Times New Roman" w:eastAsia="Times New Roman" w:hAnsi="Times New Roman" w:cs="Times New Roman"/>
          <w:b/>
          <w:color w:val="000000" w:themeColor="text1"/>
          <w:sz w:val="26"/>
          <w:szCs w:val="26"/>
        </w:rPr>
        <w:t xml:space="preserve">Phát triển các sửa đổi đối với chương IV và V của SOLAS và các tiêu chuẩn và hướng dẫn về </w:t>
      </w:r>
      <w:r w:rsidR="00CA7823" w:rsidRPr="00CA7823">
        <w:rPr>
          <w:rFonts w:ascii="Times New Roman" w:eastAsia="Times New Roman" w:hAnsi="Times New Roman" w:cs="Times New Roman"/>
          <w:b/>
          <w:color w:val="000000" w:themeColor="text1"/>
          <w:sz w:val="26"/>
          <w:szCs w:val="26"/>
        </w:rPr>
        <w:t>hoạt động</w:t>
      </w:r>
      <w:r w:rsidRPr="00CA7823">
        <w:rPr>
          <w:rFonts w:ascii="Times New Roman" w:eastAsia="Times New Roman" w:hAnsi="Times New Roman" w:cs="Times New Roman"/>
          <w:b/>
          <w:color w:val="000000" w:themeColor="text1"/>
          <w:sz w:val="26"/>
          <w:szCs w:val="26"/>
        </w:rPr>
        <w:t xml:space="preserve"> để giới thiệu hệ thống trao đổi dữ liệu </w:t>
      </w:r>
      <w:r w:rsidR="00CA7823" w:rsidRPr="00CA7823">
        <w:rPr>
          <w:rFonts w:ascii="Times New Roman" w:eastAsia="Times New Roman" w:hAnsi="Times New Roman" w:cs="Times New Roman"/>
          <w:b/>
          <w:color w:val="000000" w:themeColor="text1"/>
          <w:sz w:val="26"/>
          <w:szCs w:val="26"/>
        </w:rPr>
        <w:t xml:space="preserve">trên </w:t>
      </w:r>
      <w:r w:rsidRPr="00CA7823">
        <w:rPr>
          <w:rFonts w:ascii="Times New Roman" w:eastAsia="Times New Roman" w:hAnsi="Times New Roman" w:cs="Times New Roman"/>
          <w:b/>
          <w:color w:val="000000" w:themeColor="text1"/>
          <w:sz w:val="26"/>
          <w:szCs w:val="26"/>
        </w:rPr>
        <w:t>VHF (VDES)</w:t>
      </w:r>
    </w:p>
    <w:p w:rsidR="00C96FA2" w:rsidRPr="00C96FA2" w:rsidRDefault="00C96FA2" w:rsidP="00C96FA2">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C96FA2">
        <w:rPr>
          <w:rFonts w:ascii="Times New Roman" w:eastAsia="Times New Roman" w:hAnsi="Times New Roman" w:cs="Times New Roman"/>
          <w:color w:val="000000" w:themeColor="text1"/>
          <w:sz w:val="26"/>
          <w:szCs w:val="26"/>
        </w:rPr>
        <w:lastRenderedPageBreak/>
        <w:t xml:space="preserve">Hệ thống trao đổi dữ liệu </w:t>
      </w:r>
      <w:r w:rsidR="00CA7823">
        <w:rPr>
          <w:rFonts w:ascii="Times New Roman" w:eastAsia="Times New Roman" w:hAnsi="Times New Roman" w:cs="Times New Roman"/>
          <w:color w:val="000000" w:themeColor="text1"/>
          <w:sz w:val="26"/>
          <w:szCs w:val="26"/>
        </w:rPr>
        <w:t xml:space="preserve">trên </w:t>
      </w:r>
      <w:r w:rsidRPr="00C96FA2">
        <w:rPr>
          <w:rFonts w:ascii="Times New Roman" w:eastAsia="Times New Roman" w:hAnsi="Times New Roman" w:cs="Times New Roman"/>
          <w:color w:val="000000" w:themeColor="text1"/>
          <w:sz w:val="26"/>
          <w:szCs w:val="26"/>
        </w:rPr>
        <w:t xml:space="preserve">tần số rất cao (VHF) </w:t>
      </w:r>
      <w:r w:rsidR="00CA7823">
        <w:rPr>
          <w:rFonts w:ascii="Times New Roman" w:eastAsia="Times New Roman" w:hAnsi="Times New Roman" w:cs="Times New Roman"/>
          <w:color w:val="000000" w:themeColor="text1"/>
          <w:sz w:val="26"/>
          <w:szCs w:val="26"/>
        </w:rPr>
        <w:t xml:space="preserve">là </w:t>
      </w:r>
      <w:r w:rsidRPr="00C96FA2">
        <w:rPr>
          <w:rFonts w:ascii="Times New Roman" w:eastAsia="Times New Roman" w:hAnsi="Times New Roman" w:cs="Times New Roman"/>
          <w:color w:val="000000" w:themeColor="text1"/>
          <w:sz w:val="26"/>
          <w:szCs w:val="26"/>
        </w:rPr>
        <w:t xml:space="preserve">(VDES) </w:t>
      </w:r>
      <w:r w:rsidR="00CA7823">
        <w:rPr>
          <w:rFonts w:ascii="Times New Roman" w:eastAsia="Times New Roman" w:hAnsi="Times New Roman" w:cs="Times New Roman"/>
          <w:color w:val="000000" w:themeColor="text1"/>
          <w:sz w:val="26"/>
          <w:szCs w:val="26"/>
        </w:rPr>
        <w:t xml:space="preserve">sẽ </w:t>
      </w:r>
      <w:r w:rsidRPr="00C96FA2">
        <w:rPr>
          <w:rFonts w:ascii="Times New Roman" w:eastAsia="Times New Roman" w:hAnsi="Times New Roman" w:cs="Times New Roman"/>
          <w:color w:val="000000" w:themeColor="text1"/>
          <w:sz w:val="26"/>
          <w:szCs w:val="26"/>
        </w:rPr>
        <w:t xml:space="preserve">tích hợp các chức năng trao đổi dữ liệu </w:t>
      </w:r>
      <w:r w:rsidR="00CA7823">
        <w:rPr>
          <w:rFonts w:ascii="Times New Roman" w:eastAsia="Times New Roman" w:hAnsi="Times New Roman" w:cs="Times New Roman"/>
          <w:color w:val="000000" w:themeColor="text1"/>
          <w:sz w:val="26"/>
          <w:szCs w:val="26"/>
        </w:rPr>
        <w:t xml:space="preserve">trên tần số </w:t>
      </w:r>
      <w:r w:rsidRPr="00C96FA2">
        <w:rPr>
          <w:rFonts w:ascii="Times New Roman" w:eastAsia="Times New Roman" w:hAnsi="Times New Roman" w:cs="Times New Roman"/>
          <w:color w:val="000000" w:themeColor="text1"/>
          <w:sz w:val="26"/>
          <w:szCs w:val="26"/>
        </w:rPr>
        <w:t xml:space="preserve">VHF </w:t>
      </w:r>
      <w:r w:rsidR="00CA7823">
        <w:rPr>
          <w:rFonts w:ascii="Times New Roman" w:eastAsia="Times New Roman" w:hAnsi="Times New Roman" w:cs="Times New Roman"/>
          <w:color w:val="000000" w:themeColor="text1"/>
          <w:sz w:val="26"/>
          <w:szCs w:val="26"/>
        </w:rPr>
        <w:t>qua hệ thống liên lạc mặt đất và vệ tinh với chức năng</w:t>
      </w:r>
      <w:r w:rsidRPr="00C96FA2">
        <w:rPr>
          <w:rFonts w:ascii="Times New Roman" w:eastAsia="Times New Roman" w:hAnsi="Times New Roman" w:cs="Times New Roman"/>
          <w:color w:val="000000" w:themeColor="text1"/>
          <w:sz w:val="26"/>
          <w:szCs w:val="26"/>
        </w:rPr>
        <w:t xml:space="preserve"> Tin nhắn ứng dụng cụ thể (ASM) và Hệ thống nhận dạng tự động (AIS). VDES có thêm khả năng trao đổi nhiều dữ liệu kỹ thuật số hơn và có thể đáp ứng nhu cầu tăng trưởng trong tương lai về việc sử dụng dữ liệu kỹ thuật số trong liên lạc vô tuyến hàng hải. Trước đó, IMO đã đề xuất rằng cần phải sửa đổi các chương IV và V của SOLAS để đưa VDES </w:t>
      </w:r>
      <w:r w:rsidR="00CA7823">
        <w:rPr>
          <w:rFonts w:ascii="Times New Roman" w:eastAsia="Times New Roman" w:hAnsi="Times New Roman" w:cs="Times New Roman"/>
          <w:color w:val="000000" w:themeColor="text1"/>
          <w:sz w:val="26"/>
          <w:szCs w:val="26"/>
        </w:rPr>
        <w:t xml:space="preserve">vào </w:t>
      </w:r>
      <w:r w:rsidRPr="00C96FA2">
        <w:rPr>
          <w:rFonts w:ascii="Times New Roman" w:eastAsia="Times New Roman" w:hAnsi="Times New Roman" w:cs="Times New Roman"/>
          <w:color w:val="000000" w:themeColor="text1"/>
          <w:sz w:val="26"/>
          <w:szCs w:val="26"/>
        </w:rPr>
        <w:t xml:space="preserve">và xây dựng các tiêu chuẩn và hướng dẫn về </w:t>
      </w:r>
      <w:r w:rsidR="00CA7823">
        <w:rPr>
          <w:rFonts w:ascii="Times New Roman" w:eastAsia="Times New Roman" w:hAnsi="Times New Roman" w:cs="Times New Roman"/>
          <w:color w:val="000000" w:themeColor="text1"/>
          <w:sz w:val="26"/>
          <w:szCs w:val="26"/>
        </w:rPr>
        <w:t>hoạt động</w:t>
      </w:r>
      <w:r w:rsidRPr="00C96FA2">
        <w:rPr>
          <w:rFonts w:ascii="Times New Roman" w:eastAsia="Times New Roman" w:hAnsi="Times New Roman" w:cs="Times New Roman"/>
          <w:color w:val="000000" w:themeColor="text1"/>
          <w:sz w:val="26"/>
          <w:szCs w:val="26"/>
        </w:rPr>
        <w:t xml:space="preserve"> để </w:t>
      </w:r>
      <w:r w:rsidR="00CA7823">
        <w:rPr>
          <w:rFonts w:ascii="Times New Roman" w:eastAsia="Times New Roman" w:hAnsi="Times New Roman" w:cs="Times New Roman"/>
          <w:color w:val="000000" w:themeColor="text1"/>
          <w:sz w:val="26"/>
          <w:szCs w:val="26"/>
        </w:rPr>
        <w:t>giúp</w:t>
      </w:r>
      <w:r w:rsidRPr="00C96FA2">
        <w:rPr>
          <w:rFonts w:ascii="Times New Roman" w:eastAsia="Times New Roman" w:hAnsi="Times New Roman" w:cs="Times New Roman"/>
          <w:color w:val="000000" w:themeColor="text1"/>
          <w:sz w:val="26"/>
          <w:szCs w:val="26"/>
        </w:rPr>
        <w:t xml:space="preserve"> cho việc áp dụng rộng rãi VDES. Hơn nữa, MSC 108 đã nhất trí rằng việc sử dụng bất kỳ hệ thống vệ tinh mới nào, bao gồm cả VDES, để sử dụng trong GMDSS, phải được </w:t>
      </w:r>
      <w:r w:rsidR="00CA7823">
        <w:rPr>
          <w:rFonts w:ascii="Times New Roman" w:eastAsia="Times New Roman" w:hAnsi="Times New Roman" w:cs="Times New Roman"/>
          <w:color w:val="000000" w:themeColor="text1"/>
          <w:sz w:val="26"/>
          <w:szCs w:val="26"/>
        </w:rPr>
        <w:t>IMO</w:t>
      </w:r>
      <w:r w:rsidRPr="00C96FA2">
        <w:rPr>
          <w:rFonts w:ascii="Times New Roman" w:eastAsia="Times New Roman" w:hAnsi="Times New Roman" w:cs="Times New Roman"/>
          <w:color w:val="000000" w:themeColor="text1"/>
          <w:sz w:val="26"/>
          <w:szCs w:val="26"/>
        </w:rPr>
        <w:t xml:space="preserve"> công nhận theo các </w:t>
      </w:r>
      <w:r w:rsidR="00CA7823">
        <w:rPr>
          <w:rFonts w:ascii="Times New Roman" w:eastAsia="Times New Roman" w:hAnsi="Times New Roman" w:cs="Times New Roman"/>
          <w:color w:val="000000" w:themeColor="text1"/>
          <w:sz w:val="26"/>
          <w:szCs w:val="26"/>
        </w:rPr>
        <w:t>quy trình xác định</w:t>
      </w:r>
      <w:r w:rsidRPr="00C96FA2">
        <w:rPr>
          <w:rFonts w:ascii="Times New Roman" w:eastAsia="Times New Roman" w:hAnsi="Times New Roman" w:cs="Times New Roman"/>
          <w:color w:val="000000" w:themeColor="text1"/>
          <w:sz w:val="26"/>
          <w:szCs w:val="26"/>
        </w:rPr>
        <w:t>.</w:t>
      </w:r>
    </w:p>
    <w:p w:rsidR="00C96FA2" w:rsidRDefault="00CA7823" w:rsidP="00C96FA2">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w:t>
      </w:r>
      <w:r w:rsidR="00C96FA2" w:rsidRPr="00C96FA2">
        <w:rPr>
          <w:rFonts w:ascii="Times New Roman" w:eastAsia="Times New Roman" w:hAnsi="Times New Roman" w:cs="Times New Roman"/>
          <w:color w:val="000000" w:themeColor="text1"/>
          <w:sz w:val="26"/>
          <w:szCs w:val="26"/>
        </w:rPr>
        <w:t>rong phiên họp gần đây nhất</w:t>
      </w:r>
      <w:r>
        <w:rPr>
          <w:rFonts w:ascii="Times New Roman" w:eastAsia="Times New Roman" w:hAnsi="Times New Roman" w:cs="Times New Roman"/>
          <w:color w:val="000000" w:themeColor="text1"/>
          <w:sz w:val="26"/>
          <w:szCs w:val="26"/>
        </w:rPr>
        <w:t>,</w:t>
      </w:r>
      <w:r w:rsidR="00C96FA2" w:rsidRPr="00C96FA2">
        <w:rPr>
          <w:rFonts w:ascii="Times New Roman" w:eastAsia="Times New Roman" w:hAnsi="Times New Roman" w:cs="Times New Roman"/>
          <w:color w:val="000000" w:themeColor="text1"/>
          <w:sz w:val="26"/>
          <w:szCs w:val="26"/>
        </w:rPr>
        <w:t xml:space="preserve"> </w:t>
      </w:r>
      <w:r w:rsidRPr="00C96FA2">
        <w:rPr>
          <w:rFonts w:ascii="Times New Roman" w:eastAsia="Times New Roman" w:hAnsi="Times New Roman" w:cs="Times New Roman"/>
          <w:color w:val="000000" w:themeColor="text1"/>
          <w:sz w:val="26"/>
          <w:szCs w:val="26"/>
        </w:rPr>
        <w:t>NCSR</w:t>
      </w:r>
      <w:r w:rsidRPr="00C96FA2">
        <w:rPr>
          <w:rFonts w:ascii="Times New Roman" w:eastAsia="Times New Roman" w:hAnsi="Times New Roman" w:cs="Times New Roman"/>
          <w:color w:val="000000" w:themeColor="text1"/>
          <w:sz w:val="26"/>
          <w:szCs w:val="26"/>
        </w:rPr>
        <w:t xml:space="preserve"> </w:t>
      </w:r>
      <w:r w:rsidR="00C96FA2" w:rsidRPr="00C96FA2">
        <w:rPr>
          <w:rFonts w:ascii="Times New Roman" w:eastAsia="Times New Roman" w:hAnsi="Times New Roman" w:cs="Times New Roman"/>
          <w:color w:val="000000" w:themeColor="text1"/>
          <w:sz w:val="26"/>
          <w:szCs w:val="26"/>
        </w:rPr>
        <w:t xml:space="preserve">đã nhất trí về việc tự nguyện triển khai VDES khi có thêm các diễn biến mới, điều này sẽ cho phép sử dụng đồng thời </w:t>
      </w:r>
      <w:r>
        <w:rPr>
          <w:rFonts w:ascii="Times New Roman" w:eastAsia="Times New Roman" w:hAnsi="Times New Roman" w:cs="Times New Roman"/>
          <w:color w:val="000000" w:themeColor="text1"/>
          <w:sz w:val="26"/>
          <w:szCs w:val="26"/>
        </w:rPr>
        <w:t xml:space="preserve">VDES </w:t>
      </w:r>
      <w:r w:rsidR="00C96FA2" w:rsidRPr="00C96FA2">
        <w:rPr>
          <w:rFonts w:ascii="Times New Roman" w:eastAsia="Times New Roman" w:hAnsi="Times New Roman" w:cs="Times New Roman"/>
          <w:color w:val="000000" w:themeColor="text1"/>
          <w:sz w:val="26"/>
          <w:szCs w:val="26"/>
        </w:rPr>
        <w:t>với AIS.</w:t>
      </w:r>
    </w:p>
    <w:p w:rsidR="00CA7823" w:rsidRPr="00CA7823" w:rsidRDefault="00CA7823" w:rsidP="00CA7823">
      <w:pPr>
        <w:pStyle w:val="NormalWeb"/>
        <w:spacing w:before="120" w:beforeAutospacing="0" w:after="120" w:afterAutospacing="0"/>
        <w:jc w:val="both"/>
        <w:rPr>
          <w:b/>
          <w:sz w:val="26"/>
          <w:szCs w:val="26"/>
        </w:rPr>
      </w:pPr>
      <w:r w:rsidRPr="00CA7823">
        <w:rPr>
          <w:b/>
          <w:sz w:val="26"/>
          <w:szCs w:val="26"/>
        </w:rPr>
        <w:t>NCSR 12 đã hoàn thiện và nhất trí với những nội dung sau:</w:t>
      </w:r>
    </w:p>
    <w:p w:rsidR="00CA7823" w:rsidRPr="00CA7823" w:rsidRDefault="00CA7823" w:rsidP="00CA7823">
      <w:pPr>
        <w:pStyle w:val="NormalWeb"/>
        <w:numPr>
          <w:ilvl w:val="0"/>
          <w:numId w:val="9"/>
        </w:numPr>
        <w:spacing w:before="120" w:beforeAutospacing="0" w:after="120" w:afterAutospacing="0"/>
        <w:jc w:val="both"/>
        <w:rPr>
          <w:sz w:val="26"/>
          <w:szCs w:val="26"/>
        </w:rPr>
      </w:pPr>
      <w:r w:rsidRPr="00CA7823">
        <w:rPr>
          <w:sz w:val="26"/>
          <w:szCs w:val="26"/>
        </w:rPr>
        <w:t>Dự thảo sửa đổi Chương V của Công ước SOLAS, cụ thể là bổ sung cụm từ “hoặc VDES” sau “AIS”.</w:t>
      </w:r>
    </w:p>
    <w:p w:rsidR="00CA7823" w:rsidRPr="00CA7823" w:rsidRDefault="00CA7823" w:rsidP="00CA7823">
      <w:pPr>
        <w:pStyle w:val="NormalWeb"/>
        <w:numPr>
          <w:ilvl w:val="0"/>
          <w:numId w:val="9"/>
        </w:numPr>
        <w:spacing w:before="120" w:beforeAutospacing="0" w:after="120" w:afterAutospacing="0"/>
        <w:jc w:val="both"/>
        <w:rPr>
          <w:sz w:val="26"/>
          <w:szCs w:val="26"/>
        </w:rPr>
      </w:pPr>
      <w:r w:rsidRPr="00CA7823">
        <w:rPr>
          <w:sz w:val="26"/>
          <w:szCs w:val="26"/>
        </w:rPr>
        <w:t>Dự thảo sửa đổi liên quan đến các văn bản bắt buộc có liên quan, như Bộ luật HSC năm 1994 và Bộ luật HSC năm 2000.</w:t>
      </w:r>
    </w:p>
    <w:p w:rsidR="00CA7823" w:rsidRPr="00CA7823" w:rsidRDefault="00CA7823" w:rsidP="00CA7823">
      <w:pPr>
        <w:pStyle w:val="NormalWeb"/>
        <w:numPr>
          <w:ilvl w:val="0"/>
          <w:numId w:val="9"/>
        </w:numPr>
        <w:spacing w:before="120" w:beforeAutospacing="0" w:after="120" w:afterAutospacing="0"/>
        <w:jc w:val="both"/>
        <w:rPr>
          <w:sz w:val="26"/>
          <w:szCs w:val="26"/>
        </w:rPr>
      </w:pPr>
      <w:r w:rsidRPr="00CA7823">
        <w:rPr>
          <w:sz w:val="26"/>
          <w:szCs w:val="26"/>
        </w:rPr>
        <w:t xml:space="preserve">Dự thảo sửa đổi liên quan đến hồ sơ thiết bị an toàn tàu chở khách (mẫu P), </w:t>
      </w:r>
      <w:r w:rsidR="004A2F83">
        <w:rPr>
          <w:sz w:val="26"/>
          <w:szCs w:val="26"/>
        </w:rPr>
        <w:t xml:space="preserve">trang </w:t>
      </w:r>
      <w:r w:rsidRPr="00CA7823">
        <w:rPr>
          <w:sz w:val="26"/>
          <w:szCs w:val="26"/>
        </w:rPr>
        <w:t>thiết bị tàu chở hàng (mẫu E) và Giấy chứng nhận an toàn tàu chở hàng (mẫu C).</w:t>
      </w:r>
    </w:p>
    <w:p w:rsidR="00CA7823" w:rsidRPr="00CA7823" w:rsidRDefault="00CA7823" w:rsidP="00CA7823">
      <w:pPr>
        <w:pStyle w:val="NormalWeb"/>
        <w:spacing w:before="120" w:beforeAutospacing="0" w:after="120" w:afterAutospacing="0"/>
        <w:jc w:val="both"/>
        <w:rPr>
          <w:sz w:val="26"/>
          <w:szCs w:val="26"/>
        </w:rPr>
      </w:pPr>
      <w:r w:rsidRPr="00CA7823">
        <w:rPr>
          <w:sz w:val="26"/>
          <w:szCs w:val="26"/>
        </w:rPr>
        <w:t>Các văn bản dự thảo này dự kiến sẽ được trình lên MSC 110 để phê duyệt như một vấn đề khẩn cấp vào tháng 6 năm 2025 và được thông qua tại MSC 111 vào tháng 5 năm 2026, với hiệu lực dự kiến từ ngày 1 tháng 1 năm 2028. Ngoài ra, các văn bản không bắt buộc sau đây dự kiến sẽ được MSC 110 phê duyệt về nguyên tắc và được chính thức thông qua tại MSC 111:</w:t>
      </w:r>
    </w:p>
    <w:p w:rsidR="00CA7823" w:rsidRPr="00CA7823" w:rsidRDefault="00CA7823" w:rsidP="00CA7823">
      <w:pPr>
        <w:pStyle w:val="NormalWeb"/>
        <w:numPr>
          <w:ilvl w:val="0"/>
          <w:numId w:val="10"/>
        </w:numPr>
        <w:spacing w:before="120" w:beforeAutospacing="0" w:after="120" w:afterAutospacing="0"/>
        <w:jc w:val="both"/>
        <w:rPr>
          <w:sz w:val="26"/>
          <w:szCs w:val="26"/>
        </w:rPr>
      </w:pPr>
      <w:r w:rsidRPr="00CA7823">
        <w:rPr>
          <w:sz w:val="26"/>
          <w:szCs w:val="26"/>
        </w:rPr>
        <w:t>Dự thảo nghị quyết MSC về việc đưa VDES vào khuôn khổ quy định của IMO;</w:t>
      </w:r>
    </w:p>
    <w:p w:rsidR="00CA7823" w:rsidRPr="00CA7823" w:rsidRDefault="00CA7823" w:rsidP="00CA7823">
      <w:pPr>
        <w:pStyle w:val="NormalWeb"/>
        <w:numPr>
          <w:ilvl w:val="0"/>
          <w:numId w:val="10"/>
        </w:numPr>
        <w:spacing w:before="120" w:beforeAutospacing="0" w:after="120" w:afterAutospacing="0"/>
        <w:jc w:val="both"/>
        <w:rPr>
          <w:sz w:val="26"/>
          <w:szCs w:val="26"/>
        </w:rPr>
      </w:pPr>
      <w:r w:rsidRPr="00CA7823">
        <w:rPr>
          <w:sz w:val="26"/>
          <w:szCs w:val="26"/>
        </w:rPr>
        <w:t>Dự thảo nghị quyết MSC về các tiêu chuẩn hiệu suất đối với VDES;</w:t>
      </w:r>
    </w:p>
    <w:p w:rsidR="00CA7823" w:rsidRPr="00CA7823" w:rsidRDefault="00CA7823" w:rsidP="00CA7823">
      <w:pPr>
        <w:pStyle w:val="NormalWeb"/>
        <w:numPr>
          <w:ilvl w:val="0"/>
          <w:numId w:val="10"/>
        </w:numPr>
        <w:spacing w:before="120" w:beforeAutospacing="0" w:after="120" w:afterAutospacing="0"/>
        <w:jc w:val="both"/>
        <w:rPr>
          <w:sz w:val="26"/>
          <w:szCs w:val="26"/>
        </w:rPr>
      </w:pPr>
      <w:r w:rsidRPr="00CA7823">
        <w:rPr>
          <w:sz w:val="26"/>
          <w:szCs w:val="26"/>
        </w:rPr>
        <w:t>Dự thảo hướng dẫn về việc sử dụng VDES trên tàu.</w:t>
      </w:r>
    </w:p>
    <w:p w:rsidR="00CA7823" w:rsidRPr="00CA7823" w:rsidRDefault="00CA7823" w:rsidP="00CA7823">
      <w:pPr>
        <w:pStyle w:val="NormalWeb"/>
        <w:spacing w:before="120" w:beforeAutospacing="0" w:after="120" w:afterAutospacing="0"/>
        <w:jc w:val="both"/>
        <w:rPr>
          <w:sz w:val="26"/>
          <w:szCs w:val="26"/>
        </w:rPr>
      </w:pPr>
      <w:r w:rsidRPr="00CA7823">
        <w:rPr>
          <w:rStyle w:val="Strong"/>
          <w:sz w:val="26"/>
          <w:szCs w:val="26"/>
        </w:rPr>
        <w:t xml:space="preserve">Xây dựng hướng dẫn về việc </w:t>
      </w:r>
      <w:r w:rsidR="004A2F83">
        <w:rPr>
          <w:rStyle w:val="Strong"/>
          <w:sz w:val="26"/>
          <w:szCs w:val="26"/>
        </w:rPr>
        <w:t>trang bị</w:t>
      </w:r>
      <w:r w:rsidRPr="00CA7823">
        <w:rPr>
          <w:rStyle w:val="Strong"/>
          <w:sz w:val="26"/>
          <w:szCs w:val="26"/>
        </w:rPr>
        <w:t xml:space="preserve"> và sử dụng Hệ thống Ấn phẩm Hàng hải Điện tử (ENP)</w:t>
      </w:r>
    </w:p>
    <w:p w:rsidR="00CA7823" w:rsidRPr="00CA7823" w:rsidRDefault="00CA7823" w:rsidP="00CA7823">
      <w:pPr>
        <w:pStyle w:val="NormalWeb"/>
        <w:spacing w:before="120" w:beforeAutospacing="0" w:after="120" w:afterAutospacing="0"/>
        <w:jc w:val="both"/>
        <w:rPr>
          <w:sz w:val="26"/>
          <w:szCs w:val="26"/>
        </w:rPr>
      </w:pPr>
      <w:r w:rsidRPr="00CA7823">
        <w:rPr>
          <w:sz w:val="26"/>
          <w:szCs w:val="26"/>
        </w:rPr>
        <w:t xml:space="preserve">Theo các quy định V/19.2.1.4, V/19.2.1.5 và V/27 của SOLAS, </w:t>
      </w:r>
      <w:r w:rsidR="004A2F83">
        <w:rPr>
          <w:sz w:val="26"/>
          <w:szCs w:val="26"/>
        </w:rPr>
        <w:t xml:space="preserve">các </w:t>
      </w:r>
      <w:r w:rsidRPr="00CA7823">
        <w:rPr>
          <w:sz w:val="26"/>
          <w:szCs w:val="26"/>
        </w:rPr>
        <w:t xml:space="preserve">tàu phải có </w:t>
      </w:r>
      <w:r w:rsidR="004A2F83">
        <w:rPr>
          <w:sz w:val="26"/>
          <w:szCs w:val="26"/>
        </w:rPr>
        <w:t>hải</w:t>
      </w:r>
      <w:r w:rsidRPr="00CA7823">
        <w:rPr>
          <w:sz w:val="26"/>
          <w:szCs w:val="26"/>
        </w:rPr>
        <w:t xml:space="preserve"> đồ và ấn phẩm hàng hải để lập </w:t>
      </w:r>
      <w:r w:rsidR="004A2F83">
        <w:rPr>
          <w:sz w:val="26"/>
          <w:szCs w:val="26"/>
        </w:rPr>
        <w:t>tuyến hành trình</w:t>
      </w:r>
      <w:r w:rsidRPr="00CA7823">
        <w:rPr>
          <w:sz w:val="26"/>
          <w:szCs w:val="26"/>
        </w:rPr>
        <w:t>, hiển thị và giám sát hành trình, và các tài liệu này có thể ở dạng điện tử kèm theo các bản sao lưu phù hợp.</w:t>
      </w:r>
    </w:p>
    <w:p w:rsidR="00CA7823" w:rsidRPr="00CA7823" w:rsidRDefault="00CA7823" w:rsidP="00CA7823">
      <w:pPr>
        <w:pStyle w:val="NormalWeb"/>
        <w:spacing w:before="120" w:beforeAutospacing="0" w:after="120" w:afterAutospacing="0"/>
        <w:jc w:val="both"/>
        <w:rPr>
          <w:sz w:val="26"/>
          <w:szCs w:val="26"/>
        </w:rPr>
      </w:pPr>
      <w:r w:rsidRPr="00CA7823">
        <w:rPr>
          <w:sz w:val="26"/>
          <w:szCs w:val="26"/>
        </w:rPr>
        <w:t xml:space="preserve">Việc sử dụng ENP thay cho các ấn phẩm hàng hải truyền thống đã tăng đáng kể trong những năm gần đây nhờ vào các ưu điểm của chúng. Tuy nhiên, hiện không có văn bản nào của IMO cung cấp hướng dẫn thống nhất, dù một số cơ quan thủy văn quốc gia đã ban hành các hướng dẫn riêng. Do đó, việc phát triển khẩn cấp hướng dẫn chính thức ở cấp độ </w:t>
      </w:r>
      <w:r w:rsidRPr="00CA7823">
        <w:rPr>
          <w:sz w:val="26"/>
          <w:szCs w:val="26"/>
        </w:rPr>
        <w:lastRenderedPageBreak/>
        <w:t>IMO được coi là cần thiết để đảm bảo áp dụng thống nhất và toàn cầu các quy định SOLAS đã nêu.</w:t>
      </w:r>
    </w:p>
    <w:p w:rsidR="00CA7823" w:rsidRPr="00CA7823" w:rsidRDefault="00CA7823" w:rsidP="00CA7823">
      <w:pPr>
        <w:pStyle w:val="NormalWeb"/>
        <w:spacing w:before="120" w:beforeAutospacing="0" w:after="120" w:afterAutospacing="0"/>
        <w:jc w:val="both"/>
        <w:rPr>
          <w:sz w:val="26"/>
          <w:szCs w:val="26"/>
        </w:rPr>
      </w:pPr>
      <w:r w:rsidRPr="00CA7823">
        <w:rPr>
          <w:sz w:val="26"/>
          <w:szCs w:val="26"/>
        </w:rPr>
        <w:t xml:space="preserve">Nhận thức được điều đó, NCSR đã hoàn thiện và thống nhất thông qua </w:t>
      </w:r>
      <w:r w:rsidRPr="00CA7823">
        <w:rPr>
          <w:rStyle w:val="Strong"/>
          <w:sz w:val="26"/>
          <w:szCs w:val="26"/>
        </w:rPr>
        <w:t xml:space="preserve">dự thảo thông tư </w:t>
      </w:r>
      <w:r w:rsidR="004A2F83">
        <w:rPr>
          <w:rStyle w:val="Strong"/>
          <w:sz w:val="26"/>
          <w:szCs w:val="26"/>
        </w:rPr>
        <w:t xml:space="preserve">của </w:t>
      </w:r>
      <w:r w:rsidRPr="00CA7823">
        <w:rPr>
          <w:rStyle w:val="Strong"/>
          <w:sz w:val="26"/>
          <w:szCs w:val="26"/>
        </w:rPr>
        <w:t xml:space="preserve">MSC về Hướng dẫn </w:t>
      </w:r>
      <w:r w:rsidR="004A2F83">
        <w:rPr>
          <w:rStyle w:val="Strong"/>
          <w:sz w:val="26"/>
          <w:szCs w:val="26"/>
        </w:rPr>
        <w:t>trabg bị</w:t>
      </w:r>
      <w:r w:rsidRPr="00CA7823">
        <w:rPr>
          <w:rStyle w:val="Strong"/>
          <w:sz w:val="26"/>
          <w:szCs w:val="26"/>
        </w:rPr>
        <w:t xml:space="preserve"> và sử dụng hệ thống ấn phẩm hàng hải điện tử (ENP) trên tàu</w:t>
      </w:r>
      <w:r w:rsidRPr="00CA7823">
        <w:rPr>
          <w:sz w:val="26"/>
          <w:szCs w:val="26"/>
        </w:rPr>
        <w:t>.</w:t>
      </w:r>
    </w:p>
    <w:p w:rsidR="00CA7823" w:rsidRPr="00CA7823" w:rsidRDefault="00CA7823" w:rsidP="00CA7823">
      <w:pPr>
        <w:pStyle w:val="NormalWeb"/>
        <w:spacing w:before="120" w:beforeAutospacing="0" w:after="120" w:afterAutospacing="0"/>
        <w:jc w:val="both"/>
        <w:rPr>
          <w:sz w:val="26"/>
          <w:szCs w:val="26"/>
        </w:rPr>
      </w:pPr>
      <w:r w:rsidRPr="00CA7823">
        <w:rPr>
          <w:sz w:val="26"/>
          <w:szCs w:val="26"/>
        </w:rPr>
        <w:t xml:space="preserve">Các </w:t>
      </w:r>
      <w:r w:rsidR="004A2F83" w:rsidRPr="00CA7823">
        <w:rPr>
          <w:sz w:val="26"/>
          <w:szCs w:val="26"/>
        </w:rPr>
        <w:t xml:space="preserve">dự thảo </w:t>
      </w:r>
      <w:r w:rsidRPr="00CA7823">
        <w:rPr>
          <w:sz w:val="26"/>
          <w:szCs w:val="26"/>
        </w:rPr>
        <w:t xml:space="preserve">hướng dẫn này áp dụng cho các ấn phẩm kỹ thuật số dựa trên các ấn phẩm giấy truyền thống hiện đang được sử dụng trên tàu, chứ không phải là ENP hiển thị trên Hệ thống Thông tin và Hiển thị Bản đồ Điện tử (ECDIS), và không làm thay đổi bất kỳ yêu cầu nào liên quan đến tiêu chuẩn </w:t>
      </w:r>
      <w:r w:rsidR="004A2F83">
        <w:rPr>
          <w:sz w:val="26"/>
          <w:szCs w:val="26"/>
        </w:rPr>
        <w:t>hoạt động</w:t>
      </w:r>
      <w:r w:rsidRPr="00CA7823">
        <w:rPr>
          <w:sz w:val="26"/>
          <w:szCs w:val="26"/>
        </w:rPr>
        <w:t xml:space="preserve"> của ECDIS. Hướng dẫn tập trung vào các yếu tố như phần cứng và phần mềm, các biện pháp sao lưu phù hợp, và nguồn điện – </w:t>
      </w:r>
      <w:r w:rsidR="004A2F83">
        <w:rPr>
          <w:sz w:val="26"/>
          <w:szCs w:val="26"/>
        </w:rPr>
        <w:t xml:space="preserve">chứ không </w:t>
      </w:r>
      <w:r w:rsidRPr="00CA7823">
        <w:rPr>
          <w:sz w:val="26"/>
          <w:szCs w:val="26"/>
        </w:rPr>
        <w:t xml:space="preserve">đưa ra các tiêu chuẩn </w:t>
      </w:r>
      <w:r w:rsidR="004A2F83">
        <w:rPr>
          <w:sz w:val="26"/>
          <w:szCs w:val="26"/>
        </w:rPr>
        <w:t>hoạt động</w:t>
      </w:r>
      <w:r w:rsidRPr="00CA7823">
        <w:rPr>
          <w:sz w:val="26"/>
          <w:szCs w:val="26"/>
        </w:rPr>
        <w:t xml:space="preserve"> cụ thể.</w:t>
      </w:r>
      <w:r w:rsidR="004A2F83">
        <w:rPr>
          <w:sz w:val="26"/>
          <w:szCs w:val="26"/>
        </w:rPr>
        <w:t xml:space="preserve"> </w:t>
      </w:r>
    </w:p>
    <w:p w:rsidR="00CA7823" w:rsidRDefault="00CA7823" w:rsidP="00CA7823">
      <w:pPr>
        <w:pStyle w:val="NormalWeb"/>
        <w:spacing w:before="120" w:beforeAutospacing="0" w:after="120" w:afterAutospacing="0"/>
        <w:jc w:val="both"/>
        <w:rPr>
          <w:sz w:val="26"/>
          <w:szCs w:val="26"/>
        </w:rPr>
      </w:pPr>
      <w:r w:rsidRPr="00CA7823">
        <w:rPr>
          <w:sz w:val="26"/>
          <w:szCs w:val="26"/>
        </w:rPr>
        <w:t>Hướng dẫn dự kiến sẽ được trình lên MSC 111 để phê duyệt vào tháng 5 năm 2026 và sẽ có hiệu lực ngay sau khi được phê duyệt.</w:t>
      </w:r>
    </w:p>
    <w:p w:rsidR="004A2F83" w:rsidRPr="004A2F83" w:rsidRDefault="004A2F83" w:rsidP="004A2F83">
      <w:pPr>
        <w:pStyle w:val="Heading3"/>
        <w:spacing w:before="120" w:beforeAutospacing="0" w:after="120" w:afterAutospacing="0"/>
        <w:jc w:val="both"/>
        <w:rPr>
          <w:sz w:val="26"/>
          <w:szCs w:val="26"/>
        </w:rPr>
      </w:pPr>
      <w:r>
        <w:rPr>
          <w:rStyle w:val="Strong"/>
          <w:b/>
          <w:bCs/>
          <w:sz w:val="26"/>
          <w:szCs w:val="26"/>
        </w:rPr>
        <w:t>T</w:t>
      </w:r>
      <w:r w:rsidRPr="004A2F83">
        <w:rPr>
          <w:rStyle w:val="Strong"/>
          <w:b/>
          <w:bCs/>
          <w:sz w:val="26"/>
          <w:szCs w:val="26"/>
        </w:rPr>
        <w:t>hông</w:t>
      </w:r>
      <w:r>
        <w:rPr>
          <w:rStyle w:val="Strong"/>
          <w:b/>
          <w:bCs/>
          <w:sz w:val="26"/>
          <w:szCs w:val="26"/>
        </w:rPr>
        <w:t xml:space="preserve"> tin liên lạc</w:t>
      </w:r>
    </w:p>
    <w:p w:rsidR="004A2F83" w:rsidRPr="004A2F83" w:rsidRDefault="004A2F83" w:rsidP="004A2F83">
      <w:pPr>
        <w:pStyle w:val="Heading4"/>
        <w:spacing w:before="120" w:after="120"/>
        <w:jc w:val="both"/>
        <w:rPr>
          <w:rFonts w:ascii="Times New Roman" w:hAnsi="Times New Roman" w:cs="Times New Roman"/>
          <w:color w:val="000000" w:themeColor="text1"/>
          <w:sz w:val="26"/>
          <w:szCs w:val="26"/>
        </w:rPr>
      </w:pPr>
      <w:r w:rsidRPr="004A2F83">
        <w:rPr>
          <w:rStyle w:val="Strong"/>
          <w:rFonts w:ascii="Times New Roman" w:hAnsi="Times New Roman" w:cs="Times New Roman"/>
          <w:bCs w:val="0"/>
          <w:color w:val="000000" w:themeColor="text1"/>
          <w:sz w:val="26"/>
          <w:szCs w:val="26"/>
        </w:rPr>
        <w:t>Xây dựng hướng dẫn bảo trì phần mềm cho thiết bị và hệ thống định vị, thông tin liên lạc trên tàu</w:t>
      </w:r>
    </w:p>
    <w:p w:rsidR="004A2F83" w:rsidRPr="004A2F83" w:rsidRDefault="004A2F83" w:rsidP="004A2F83">
      <w:pPr>
        <w:pStyle w:val="NormalWeb"/>
        <w:spacing w:before="120" w:beforeAutospacing="0" w:after="120" w:afterAutospacing="0"/>
        <w:jc w:val="both"/>
        <w:rPr>
          <w:sz w:val="26"/>
          <w:szCs w:val="26"/>
        </w:rPr>
      </w:pPr>
      <w:r w:rsidRPr="004A2F83">
        <w:rPr>
          <w:sz w:val="26"/>
          <w:szCs w:val="26"/>
        </w:rPr>
        <w:t>Khi sự phụ thuộc vào các hệ thống định vị và thông tin liên lạc d</w:t>
      </w:r>
      <w:r>
        <w:rPr>
          <w:sz w:val="26"/>
          <w:szCs w:val="26"/>
        </w:rPr>
        <w:t>ựa trên máy tính ngày càng tăng thì</w:t>
      </w:r>
      <w:r w:rsidRPr="004A2F83">
        <w:rPr>
          <w:sz w:val="26"/>
          <w:szCs w:val="26"/>
        </w:rPr>
        <w:t xml:space="preserve"> việc bảo trì phần mềm hiệu quả trở nên vô cùng quan trọng đối với an toàn hàng hải và hiệu quả vận hành. Đ</w:t>
      </w:r>
      <w:r>
        <w:rPr>
          <w:sz w:val="26"/>
          <w:szCs w:val="26"/>
        </w:rPr>
        <w:t>ể đ</w:t>
      </w:r>
      <w:r w:rsidRPr="004A2F83">
        <w:rPr>
          <w:sz w:val="26"/>
          <w:szCs w:val="26"/>
        </w:rPr>
        <w:t xml:space="preserve">áp ứng những thách thức trong ngành và rủi ro an ninh mạng ngày càng tăng, MSC 107 đã phê duyệt việc xây dựng hướng dẫn không bắt buộc tập trung vào các thiết bị được quy định trong các chương IV (Thông tin </w:t>
      </w:r>
      <w:r>
        <w:rPr>
          <w:sz w:val="26"/>
          <w:szCs w:val="26"/>
        </w:rPr>
        <w:t xml:space="preserve">liên lạc </w:t>
      </w:r>
      <w:r w:rsidRPr="004A2F83">
        <w:rPr>
          <w:sz w:val="26"/>
          <w:szCs w:val="26"/>
        </w:rPr>
        <w:t>vô tuyến</w:t>
      </w:r>
      <w:r>
        <w:rPr>
          <w:sz w:val="26"/>
          <w:szCs w:val="26"/>
        </w:rPr>
        <w:t xml:space="preserve"> điện</w:t>
      </w:r>
      <w:r w:rsidRPr="004A2F83">
        <w:rPr>
          <w:sz w:val="26"/>
          <w:szCs w:val="26"/>
        </w:rPr>
        <w:t xml:space="preserve">) và </w:t>
      </w:r>
      <w:r>
        <w:rPr>
          <w:sz w:val="26"/>
          <w:szCs w:val="26"/>
        </w:rPr>
        <w:t xml:space="preserve">Chương </w:t>
      </w:r>
      <w:r w:rsidRPr="004A2F83">
        <w:rPr>
          <w:sz w:val="26"/>
          <w:szCs w:val="26"/>
        </w:rPr>
        <w:t>V (An toàn hàn</w:t>
      </w:r>
      <w:r>
        <w:rPr>
          <w:sz w:val="26"/>
          <w:szCs w:val="26"/>
        </w:rPr>
        <w:t>h</w:t>
      </w:r>
      <w:r w:rsidRPr="004A2F83">
        <w:rPr>
          <w:sz w:val="26"/>
          <w:szCs w:val="26"/>
        </w:rPr>
        <w:t xml:space="preserve"> hải) của SOLAS.</w:t>
      </w:r>
    </w:p>
    <w:p w:rsidR="004A2F83" w:rsidRPr="004A2F83" w:rsidRDefault="004A2F83" w:rsidP="004A2F83">
      <w:pPr>
        <w:pStyle w:val="NormalWeb"/>
        <w:spacing w:before="120" w:beforeAutospacing="0" w:after="120" w:afterAutospacing="0"/>
        <w:jc w:val="both"/>
        <w:rPr>
          <w:sz w:val="26"/>
          <w:szCs w:val="26"/>
        </w:rPr>
      </w:pPr>
      <w:r w:rsidRPr="004A2F83">
        <w:rPr>
          <w:sz w:val="26"/>
          <w:szCs w:val="26"/>
        </w:rPr>
        <w:t xml:space="preserve">Một tiêu chuẩn ban đầu trong ngành, được phát triển </w:t>
      </w:r>
      <w:r>
        <w:rPr>
          <w:sz w:val="26"/>
          <w:szCs w:val="26"/>
        </w:rPr>
        <w:t xml:space="preserve">với sự </w:t>
      </w:r>
      <w:r w:rsidRPr="004A2F83">
        <w:rPr>
          <w:sz w:val="26"/>
          <w:szCs w:val="26"/>
        </w:rPr>
        <w:t xml:space="preserve">hợp tác </w:t>
      </w:r>
      <w:r>
        <w:rPr>
          <w:sz w:val="26"/>
          <w:szCs w:val="26"/>
        </w:rPr>
        <w:t>của</w:t>
      </w:r>
      <w:r w:rsidRPr="004A2F83">
        <w:rPr>
          <w:sz w:val="26"/>
          <w:szCs w:val="26"/>
        </w:rPr>
        <w:t xml:space="preserve"> các chủ tàu, nhà cung cấp dịch vụ, tổ chức </w:t>
      </w:r>
      <w:r>
        <w:rPr>
          <w:sz w:val="26"/>
          <w:szCs w:val="26"/>
        </w:rPr>
        <w:t>đăng kiểm</w:t>
      </w:r>
      <w:r w:rsidRPr="004A2F83">
        <w:rPr>
          <w:sz w:val="26"/>
          <w:szCs w:val="26"/>
        </w:rPr>
        <w:t xml:space="preserve"> và nhà sản xuất thiết bị, đã đặt nền tảng cho dự thảo hướng dẫn này. Dựa trên đó, NCSR 12 đã xem xét bản dự thảo hướng dẫn bảo trì phần mềm </w:t>
      </w:r>
      <w:r>
        <w:rPr>
          <w:sz w:val="26"/>
          <w:szCs w:val="26"/>
        </w:rPr>
        <w:t xml:space="preserve">này </w:t>
      </w:r>
      <w:r w:rsidRPr="004A2F83">
        <w:rPr>
          <w:sz w:val="26"/>
          <w:szCs w:val="26"/>
        </w:rPr>
        <w:t>nhằm thúc đẩy quy trình tiêu chuẩn hóa, bảo mật và minh bạch. Mục tiêu của hướng dẫn là giảm thời gian gián đoạn, nâng cao độ tin cậy của hệ thống, cải thiện nhận thức của thuyền viên và tăng cường an ninh mạng mà không làm tăng tần suất bảo trì.</w:t>
      </w:r>
    </w:p>
    <w:p w:rsidR="004A2F83" w:rsidRPr="004A2F83" w:rsidRDefault="004A2F83" w:rsidP="004A2F83">
      <w:pPr>
        <w:pStyle w:val="NormalWeb"/>
        <w:spacing w:before="120" w:beforeAutospacing="0" w:after="120" w:afterAutospacing="0"/>
        <w:jc w:val="both"/>
        <w:rPr>
          <w:sz w:val="26"/>
          <w:szCs w:val="26"/>
        </w:rPr>
      </w:pPr>
      <w:r w:rsidRPr="004A2F83">
        <w:rPr>
          <w:rStyle w:val="Strong"/>
          <w:sz w:val="26"/>
          <w:szCs w:val="26"/>
        </w:rPr>
        <w:t xml:space="preserve">Các đặc điểm chính của </w:t>
      </w:r>
      <w:r w:rsidR="00DC0270" w:rsidRPr="004A2F83">
        <w:rPr>
          <w:rStyle w:val="Strong"/>
          <w:sz w:val="26"/>
          <w:szCs w:val="26"/>
        </w:rPr>
        <w:t xml:space="preserve">dự thảo </w:t>
      </w:r>
      <w:r w:rsidRPr="004A2F83">
        <w:rPr>
          <w:rStyle w:val="Strong"/>
          <w:sz w:val="26"/>
          <w:szCs w:val="26"/>
        </w:rPr>
        <w:t>hướng dẫn bao gồm:</w:t>
      </w:r>
    </w:p>
    <w:p w:rsidR="004A2F83" w:rsidRPr="004A2F83" w:rsidRDefault="004A2F83" w:rsidP="004A2F83">
      <w:pPr>
        <w:pStyle w:val="NormalWeb"/>
        <w:numPr>
          <w:ilvl w:val="0"/>
          <w:numId w:val="11"/>
        </w:numPr>
        <w:spacing w:before="120" w:beforeAutospacing="0" w:after="120" w:afterAutospacing="0"/>
        <w:jc w:val="both"/>
        <w:rPr>
          <w:sz w:val="26"/>
          <w:szCs w:val="26"/>
        </w:rPr>
      </w:pPr>
      <w:r w:rsidRPr="004A2F83">
        <w:rPr>
          <w:sz w:val="26"/>
          <w:szCs w:val="26"/>
        </w:rPr>
        <w:t xml:space="preserve">Quy định rõ ràng về vai trò và quy trình khởi xướng, lập kế hoạch và thực hiện </w:t>
      </w:r>
      <w:r w:rsidR="00DC0270">
        <w:rPr>
          <w:sz w:val="26"/>
          <w:szCs w:val="26"/>
        </w:rPr>
        <w:t xml:space="preserve">việc </w:t>
      </w:r>
      <w:r w:rsidRPr="004A2F83">
        <w:rPr>
          <w:sz w:val="26"/>
          <w:szCs w:val="26"/>
        </w:rPr>
        <w:t>bảo trì;</w:t>
      </w:r>
      <w:r w:rsidR="00DC0270">
        <w:rPr>
          <w:sz w:val="26"/>
          <w:szCs w:val="26"/>
        </w:rPr>
        <w:t xml:space="preserve"> </w:t>
      </w:r>
    </w:p>
    <w:p w:rsidR="004A2F83" w:rsidRPr="004A2F83" w:rsidRDefault="004A2F83" w:rsidP="004A2F83">
      <w:pPr>
        <w:pStyle w:val="NormalWeb"/>
        <w:numPr>
          <w:ilvl w:val="0"/>
          <w:numId w:val="11"/>
        </w:numPr>
        <w:spacing w:before="120" w:beforeAutospacing="0" w:after="120" w:afterAutospacing="0"/>
        <w:jc w:val="both"/>
        <w:rPr>
          <w:sz w:val="26"/>
          <w:szCs w:val="26"/>
        </w:rPr>
      </w:pPr>
      <w:r w:rsidRPr="004A2F83">
        <w:rPr>
          <w:sz w:val="26"/>
          <w:szCs w:val="26"/>
        </w:rPr>
        <w:t>Các biện pháp an ninh mạng và an toàn trong suốt vòng đời bảo trì;</w:t>
      </w:r>
    </w:p>
    <w:p w:rsidR="004A2F83" w:rsidRPr="004A2F83" w:rsidRDefault="004A2F83" w:rsidP="004A2F83">
      <w:pPr>
        <w:pStyle w:val="NormalWeb"/>
        <w:numPr>
          <w:ilvl w:val="0"/>
          <w:numId w:val="11"/>
        </w:numPr>
        <w:spacing w:before="120" w:beforeAutospacing="0" w:after="120" w:afterAutospacing="0"/>
        <w:jc w:val="both"/>
        <w:rPr>
          <w:sz w:val="26"/>
          <w:szCs w:val="26"/>
        </w:rPr>
      </w:pPr>
      <w:r w:rsidRPr="004A2F83">
        <w:rPr>
          <w:sz w:val="26"/>
          <w:szCs w:val="26"/>
        </w:rPr>
        <w:t xml:space="preserve">Sử dụng </w:t>
      </w:r>
      <w:r w:rsidR="00DC0270">
        <w:rPr>
          <w:sz w:val="26"/>
          <w:szCs w:val="26"/>
        </w:rPr>
        <w:t xml:space="preserve">các </w:t>
      </w:r>
      <w:r w:rsidRPr="004A2F83">
        <w:rPr>
          <w:sz w:val="26"/>
          <w:szCs w:val="26"/>
        </w:rPr>
        <w:t xml:space="preserve">báo cáo dịch vụ </w:t>
      </w:r>
      <w:r w:rsidR="00DC0270">
        <w:rPr>
          <w:sz w:val="26"/>
          <w:szCs w:val="26"/>
        </w:rPr>
        <w:t xml:space="preserve">bằng </w:t>
      </w:r>
      <w:r w:rsidRPr="004A2F83">
        <w:rPr>
          <w:sz w:val="26"/>
          <w:szCs w:val="26"/>
        </w:rPr>
        <w:t xml:space="preserve">điện tử và nhật ký </w:t>
      </w:r>
      <w:r w:rsidR="00DC0270">
        <w:rPr>
          <w:sz w:val="26"/>
          <w:szCs w:val="26"/>
        </w:rPr>
        <w:t xml:space="preserve">về </w:t>
      </w:r>
      <w:r w:rsidRPr="004A2F83">
        <w:rPr>
          <w:sz w:val="26"/>
          <w:szCs w:val="26"/>
        </w:rPr>
        <w:t>phần mềm trên tàu;</w:t>
      </w:r>
    </w:p>
    <w:p w:rsidR="004A2F83" w:rsidRPr="004A2F83" w:rsidRDefault="004A2F83" w:rsidP="004A2F83">
      <w:pPr>
        <w:pStyle w:val="NormalWeb"/>
        <w:numPr>
          <w:ilvl w:val="0"/>
          <w:numId w:val="11"/>
        </w:numPr>
        <w:spacing w:before="120" w:beforeAutospacing="0" w:after="120" w:afterAutospacing="0"/>
        <w:jc w:val="both"/>
        <w:rPr>
          <w:sz w:val="26"/>
          <w:szCs w:val="26"/>
        </w:rPr>
      </w:pPr>
      <w:r w:rsidRPr="004A2F83">
        <w:rPr>
          <w:sz w:val="26"/>
          <w:szCs w:val="26"/>
        </w:rPr>
        <w:t>Đào tạo và cấp chứng nhận cho nhân viên kỹ thuật bởi nhà sản xuất thiết bị;</w:t>
      </w:r>
    </w:p>
    <w:p w:rsidR="004A2F83" w:rsidRPr="004A2F83" w:rsidRDefault="004A2F83" w:rsidP="004A2F83">
      <w:pPr>
        <w:pStyle w:val="NormalWeb"/>
        <w:numPr>
          <w:ilvl w:val="0"/>
          <w:numId w:val="11"/>
        </w:numPr>
        <w:spacing w:before="120" w:beforeAutospacing="0" w:after="120" w:afterAutospacing="0"/>
        <w:jc w:val="both"/>
        <w:rPr>
          <w:sz w:val="26"/>
          <w:szCs w:val="26"/>
        </w:rPr>
      </w:pPr>
      <w:r w:rsidRPr="004A2F83">
        <w:rPr>
          <w:sz w:val="26"/>
          <w:szCs w:val="26"/>
        </w:rPr>
        <w:t>Hướng dẫn bảo trì từ xa.</w:t>
      </w:r>
    </w:p>
    <w:p w:rsidR="004A2F83" w:rsidRPr="004A2F83" w:rsidRDefault="004A2F83" w:rsidP="004A2F83">
      <w:pPr>
        <w:pStyle w:val="NormalWeb"/>
        <w:spacing w:before="120" w:beforeAutospacing="0" w:after="120" w:afterAutospacing="0"/>
        <w:jc w:val="both"/>
        <w:rPr>
          <w:sz w:val="26"/>
          <w:szCs w:val="26"/>
        </w:rPr>
      </w:pPr>
      <w:r w:rsidRPr="004A2F83">
        <w:rPr>
          <w:sz w:val="26"/>
          <w:szCs w:val="26"/>
        </w:rPr>
        <w:t xml:space="preserve">NCSR đã đồng thuận với dự thảo thông tư MSC về hướng dẫn bảo trì phần mềm cho thiết bị và hệ thống định vị, thông tin liên lạc dựa trên máy tính </w:t>
      </w:r>
      <w:r w:rsidR="00DC0270">
        <w:rPr>
          <w:sz w:val="26"/>
          <w:szCs w:val="26"/>
        </w:rPr>
        <w:t xml:space="preserve">ở </w:t>
      </w:r>
      <w:r w:rsidRPr="004A2F83">
        <w:rPr>
          <w:sz w:val="26"/>
          <w:szCs w:val="26"/>
        </w:rPr>
        <w:t>trên tàu. Dự thảo này dự kiến sẽ được đệ trình để phê duyệt tại MSC 111 vào tháng 5 năm 2026 và sẽ có hiệu lực ngay sau khi được phê duyệt.</w:t>
      </w:r>
    </w:p>
    <w:p w:rsidR="004A2F83" w:rsidRPr="00DC0270" w:rsidRDefault="004A2F83" w:rsidP="004A2F83">
      <w:pPr>
        <w:pStyle w:val="Heading4"/>
        <w:spacing w:before="120" w:after="120"/>
        <w:jc w:val="both"/>
        <w:rPr>
          <w:rFonts w:ascii="Times New Roman" w:hAnsi="Times New Roman" w:cs="Times New Roman"/>
          <w:color w:val="000000" w:themeColor="text1"/>
          <w:sz w:val="26"/>
          <w:szCs w:val="26"/>
        </w:rPr>
      </w:pPr>
      <w:r w:rsidRPr="00DC0270">
        <w:rPr>
          <w:rStyle w:val="Strong"/>
          <w:rFonts w:ascii="Times New Roman" w:hAnsi="Times New Roman" w:cs="Times New Roman"/>
          <w:bCs w:val="0"/>
          <w:color w:val="000000" w:themeColor="text1"/>
          <w:sz w:val="26"/>
          <w:szCs w:val="26"/>
        </w:rPr>
        <w:lastRenderedPageBreak/>
        <w:t>Phát triển hướng dẫn thiết lập khung phân phối dữ liệu và kết nối toàn cầu dựa trên IP giữa bờ và tàu cho các sản phẩm ECDIS S-100</w:t>
      </w:r>
    </w:p>
    <w:p w:rsidR="004A2F83" w:rsidRPr="004A2F83" w:rsidRDefault="004A2F83" w:rsidP="004A2F83">
      <w:pPr>
        <w:pStyle w:val="NormalWeb"/>
        <w:spacing w:before="120" w:beforeAutospacing="0" w:after="120" w:afterAutospacing="0"/>
        <w:jc w:val="both"/>
        <w:rPr>
          <w:sz w:val="26"/>
          <w:szCs w:val="26"/>
        </w:rPr>
      </w:pPr>
      <w:r w:rsidRPr="004A2F83">
        <w:rPr>
          <w:sz w:val="26"/>
          <w:szCs w:val="26"/>
        </w:rPr>
        <w:t xml:space="preserve">Để hỗ trợ quá trình chuyển đổi sang thế hệ ECDIS tương thích </w:t>
      </w:r>
      <w:r w:rsidR="00A35CFF">
        <w:rPr>
          <w:sz w:val="26"/>
          <w:szCs w:val="26"/>
        </w:rPr>
        <w:t xml:space="preserve">với </w:t>
      </w:r>
      <w:r w:rsidRPr="004A2F83">
        <w:rPr>
          <w:sz w:val="26"/>
          <w:szCs w:val="26"/>
        </w:rPr>
        <w:t xml:space="preserve">S-100, MSC 109 đã thừa nhận sự cần thiết của một khung tiêu chuẩn mạnh mẽ nhằm đảm bảo trao đổi dữ liệu dựa trên IP một cách an toàn và chuẩn hóa giữa các cơ sở </w:t>
      </w:r>
      <w:r w:rsidR="00A35CFF">
        <w:rPr>
          <w:sz w:val="26"/>
          <w:szCs w:val="26"/>
        </w:rPr>
        <w:t xml:space="preserve">trên </w:t>
      </w:r>
      <w:r w:rsidRPr="004A2F83">
        <w:rPr>
          <w:sz w:val="26"/>
          <w:szCs w:val="26"/>
        </w:rPr>
        <w:t xml:space="preserve">bờ và </w:t>
      </w:r>
      <w:r w:rsidR="00A35CFF">
        <w:rPr>
          <w:sz w:val="26"/>
          <w:szCs w:val="26"/>
        </w:rPr>
        <w:t xml:space="preserve">dưới </w:t>
      </w:r>
      <w:r w:rsidRPr="004A2F83">
        <w:rPr>
          <w:sz w:val="26"/>
          <w:szCs w:val="26"/>
        </w:rPr>
        <w:t xml:space="preserve">tàu. Việc chuyển đổi này là điều thiết yếu để cung cấp dữ liệu </w:t>
      </w:r>
      <w:r w:rsidR="00A35CFF">
        <w:rPr>
          <w:sz w:val="26"/>
          <w:szCs w:val="26"/>
        </w:rPr>
        <w:t>hành hải</w:t>
      </w:r>
      <w:r w:rsidRPr="004A2F83">
        <w:rPr>
          <w:sz w:val="26"/>
          <w:szCs w:val="26"/>
        </w:rPr>
        <w:t>, khí tượng và các sản phẩm S-100 khác theo thời gian thực, từ đó nâng cao an toàn hàng hải và khả năng nhận thức tình huống.</w:t>
      </w:r>
    </w:p>
    <w:p w:rsidR="004A2F83" w:rsidRPr="004A2F83" w:rsidRDefault="004A2F83" w:rsidP="004A2F83">
      <w:pPr>
        <w:pStyle w:val="NormalWeb"/>
        <w:spacing w:before="120" w:beforeAutospacing="0" w:after="120" w:afterAutospacing="0"/>
        <w:jc w:val="both"/>
        <w:rPr>
          <w:sz w:val="26"/>
          <w:szCs w:val="26"/>
        </w:rPr>
      </w:pPr>
      <w:r w:rsidRPr="004A2F83">
        <w:rPr>
          <w:sz w:val="26"/>
          <w:szCs w:val="26"/>
        </w:rPr>
        <w:t xml:space="preserve">NCSR 12 đã xem xét dự thảo hướng dẫn xây dựng khung phân phối dữ liệu và kết nối toàn cầu dựa trên IP giữa bờ và tàu hỗ trợ </w:t>
      </w:r>
      <w:r w:rsidR="00A35CFF">
        <w:rPr>
          <w:sz w:val="26"/>
          <w:szCs w:val="26"/>
        </w:rPr>
        <w:t xml:space="preserve">cho </w:t>
      </w:r>
      <w:r w:rsidRPr="004A2F83">
        <w:rPr>
          <w:sz w:val="26"/>
          <w:szCs w:val="26"/>
        </w:rPr>
        <w:t>các sản phẩm ECDIS S-100.</w:t>
      </w:r>
      <w:r w:rsidR="00A35CFF">
        <w:rPr>
          <w:sz w:val="26"/>
          <w:szCs w:val="26"/>
        </w:rPr>
        <w:t xml:space="preserve"> </w:t>
      </w:r>
      <w:r w:rsidRPr="004A2F83">
        <w:rPr>
          <w:sz w:val="26"/>
          <w:szCs w:val="26"/>
        </w:rPr>
        <w:t>Dự thảo hướng dẫn nhằm giải quyết các thách thức kỹ thuật, vận hành và an ninh mạng liên quan đến việc chuyển đổi sang ECDIS S-100. Hướng dẫn tận dụng các công nghệ số hiện có như Nền tảng Kết nối Hàng hải (MCP) và Giao thức SECOM (Giao tiếp an toàn giữa tàu và bờ) để đảm bảo:</w:t>
      </w:r>
    </w:p>
    <w:p w:rsidR="004A2F83" w:rsidRPr="004A2F83" w:rsidRDefault="00A35CFF" w:rsidP="004A2F83">
      <w:pPr>
        <w:pStyle w:val="NormalWeb"/>
        <w:numPr>
          <w:ilvl w:val="0"/>
          <w:numId w:val="12"/>
        </w:numPr>
        <w:spacing w:before="120" w:beforeAutospacing="0" w:after="120" w:afterAutospacing="0"/>
        <w:jc w:val="both"/>
        <w:rPr>
          <w:sz w:val="26"/>
          <w:szCs w:val="26"/>
        </w:rPr>
      </w:pPr>
      <w:r>
        <w:rPr>
          <w:sz w:val="26"/>
          <w:szCs w:val="26"/>
        </w:rPr>
        <w:t>Liên lạc</w:t>
      </w:r>
      <w:r w:rsidR="004A2F83" w:rsidRPr="004A2F83">
        <w:rPr>
          <w:sz w:val="26"/>
          <w:szCs w:val="26"/>
        </w:rPr>
        <w:t xml:space="preserve"> an toàn thông qua mã hóa và xác thực;</w:t>
      </w:r>
    </w:p>
    <w:p w:rsidR="004A2F83" w:rsidRPr="004A2F83" w:rsidRDefault="004A2F83" w:rsidP="004A2F83">
      <w:pPr>
        <w:pStyle w:val="NormalWeb"/>
        <w:numPr>
          <w:ilvl w:val="0"/>
          <w:numId w:val="12"/>
        </w:numPr>
        <w:spacing w:before="120" w:beforeAutospacing="0" w:after="120" w:afterAutospacing="0"/>
        <w:jc w:val="both"/>
        <w:rPr>
          <w:sz w:val="26"/>
          <w:szCs w:val="26"/>
        </w:rPr>
      </w:pPr>
      <w:r w:rsidRPr="004A2F83">
        <w:rPr>
          <w:sz w:val="26"/>
          <w:szCs w:val="26"/>
        </w:rPr>
        <w:t>Tìm kiếm dịch vụ trong các mạng số hàng hải;</w:t>
      </w:r>
    </w:p>
    <w:p w:rsidR="004A2F83" w:rsidRPr="004A2F83" w:rsidRDefault="004A2F83" w:rsidP="004A2F83">
      <w:pPr>
        <w:pStyle w:val="NormalWeb"/>
        <w:numPr>
          <w:ilvl w:val="0"/>
          <w:numId w:val="12"/>
        </w:numPr>
        <w:spacing w:before="120" w:beforeAutospacing="0" w:after="120" w:afterAutospacing="0"/>
        <w:jc w:val="both"/>
        <w:rPr>
          <w:sz w:val="26"/>
          <w:szCs w:val="26"/>
        </w:rPr>
      </w:pPr>
      <w:r w:rsidRPr="004A2F83">
        <w:rPr>
          <w:sz w:val="26"/>
          <w:szCs w:val="26"/>
        </w:rPr>
        <w:t>Khả năng tương tác dữ liệu giữa các hệ thống khác nhau;</w:t>
      </w:r>
    </w:p>
    <w:p w:rsidR="004A2F83" w:rsidRPr="004A2F83" w:rsidRDefault="004A2F83" w:rsidP="004A2F83">
      <w:pPr>
        <w:pStyle w:val="NormalWeb"/>
        <w:numPr>
          <w:ilvl w:val="0"/>
          <w:numId w:val="12"/>
        </w:numPr>
        <w:spacing w:before="120" w:beforeAutospacing="0" w:after="120" w:afterAutospacing="0"/>
        <w:jc w:val="both"/>
        <w:rPr>
          <w:sz w:val="26"/>
          <w:szCs w:val="26"/>
        </w:rPr>
      </w:pPr>
      <w:r w:rsidRPr="004A2F83">
        <w:rPr>
          <w:sz w:val="26"/>
          <w:szCs w:val="26"/>
        </w:rPr>
        <w:t>Trao đổi dữ liệu theo thời gian thực để tiếp cận kịp thời các thông tin cập nhật quan trọng.</w:t>
      </w:r>
    </w:p>
    <w:p w:rsidR="004A2F83" w:rsidRPr="004A2F83" w:rsidRDefault="004A2F83" w:rsidP="004A2F83">
      <w:pPr>
        <w:pStyle w:val="NormalWeb"/>
        <w:spacing w:before="120" w:beforeAutospacing="0" w:after="120" w:afterAutospacing="0"/>
        <w:jc w:val="both"/>
        <w:rPr>
          <w:sz w:val="26"/>
          <w:szCs w:val="26"/>
        </w:rPr>
      </w:pPr>
      <w:r w:rsidRPr="004A2F83">
        <w:rPr>
          <w:sz w:val="26"/>
          <w:szCs w:val="26"/>
        </w:rPr>
        <w:t xml:space="preserve">Hướng dẫn cũng nhấn mạnh tầm quan trọng của việc đào tạo nhân viên làm việc </w:t>
      </w:r>
      <w:r w:rsidR="00A35CFF">
        <w:rPr>
          <w:sz w:val="26"/>
          <w:szCs w:val="26"/>
        </w:rPr>
        <w:t>trên</w:t>
      </w:r>
      <w:r w:rsidRPr="004A2F83">
        <w:rPr>
          <w:sz w:val="26"/>
          <w:szCs w:val="26"/>
        </w:rPr>
        <w:t xml:space="preserve"> bờ và </w:t>
      </w:r>
      <w:r w:rsidR="00A35CFF">
        <w:rPr>
          <w:sz w:val="26"/>
          <w:szCs w:val="26"/>
        </w:rPr>
        <w:t xml:space="preserve">huấn luyện để thuyền viên </w:t>
      </w:r>
      <w:r w:rsidRPr="004A2F83">
        <w:rPr>
          <w:sz w:val="26"/>
          <w:szCs w:val="26"/>
        </w:rPr>
        <w:t>làm quen với các hệ thống mới. Mặc dù được thiết kế cho ECDIS S-100, khung hướng dẫn này có thể được mở rộng cho các dịch vụ số hàng hải khác, góp phần hỗ trợ quá trình chuyển đổi số toàn diện trong ngành.</w:t>
      </w:r>
    </w:p>
    <w:p w:rsidR="004A2F83" w:rsidRPr="004A2F83" w:rsidRDefault="004A2F83" w:rsidP="004A2F83">
      <w:pPr>
        <w:pStyle w:val="NormalWeb"/>
        <w:spacing w:before="120" w:beforeAutospacing="0" w:after="120" w:afterAutospacing="0"/>
        <w:jc w:val="both"/>
        <w:rPr>
          <w:sz w:val="26"/>
          <w:szCs w:val="26"/>
        </w:rPr>
      </w:pPr>
      <w:r w:rsidRPr="004A2F83">
        <w:rPr>
          <w:sz w:val="26"/>
          <w:szCs w:val="26"/>
        </w:rPr>
        <w:t xml:space="preserve">Do hạn chế về thời gian, việc rà soát dự thảo hướng dẫn và danh sách các yếu tố liên quan đến triển khai ECDIS tương thích </w:t>
      </w:r>
      <w:r w:rsidR="00A35CFF">
        <w:rPr>
          <w:sz w:val="26"/>
          <w:szCs w:val="26"/>
        </w:rPr>
        <w:t xml:space="preserve">với </w:t>
      </w:r>
      <w:r w:rsidRPr="004A2F83">
        <w:rPr>
          <w:sz w:val="26"/>
          <w:szCs w:val="26"/>
        </w:rPr>
        <w:t>S-100 vẫn chưa hoàn tất và sẽ tiếp tục trong giai đoạn giữa các kỳ họp.</w:t>
      </w:r>
    </w:p>
    <w:p w:rsidR="004A2F83" w:rsidRPr="004A2F83" w:rsidRDefault="004A2F83" w:rsidP="004A2F83">
      <w:pPr>
        <w:pStyle w:val="NormalWeb"/>
        <w:spacing w:before="120" w:beforeAutospacing="0" w:after="120" w:afterAutospacing="0"/>
        <w:jc w:val="both"/>
        <w:rPr>
          <w:sz w:val="26"/>
          <w:szCs w:val="26"/>
        </w:rPr>
      </w:pPr>
      <w:r w:rsidRPr="004A2F83">
        <w:rPr>
          <w:sz w:val="26"/>
          <w:szCs w:val="26"/>
        </w:rPr>
        <w:t>Việc hoàn thiện dự kiến sẽ diễn ra tại NCSR 13 vào năm tới, với kế hoạch phê duyệt tại MSC 112. Hướng dẫn sẽ có hiệu lực ngay sau khi được phê duyệt.</w:t>
      </w:r>
    </w:p>
    <w:p w:rsidR="00C96FA2" w:rsidRPr="00C96FA2" w:rsidRDefault="00A35CFF" w:rsidP="00C96FA2">
      <w:pPr>
        <w:shd w:val="clear" w:color="auto" w:fill="FFFFFF"/>
        <w:spacing w:line="390" w:lineRule="atLeast"/>
        <w:textAlignment w:val="baseline"/>
        <w:rPr>
          <w:rFonts w:ascii="inherit" w:eastAsia="Times New Roman" w:hAnsi="inherit" w:cs="Helvetica"/>
          <w:color w:val="333333"/>
          <w:sz w:val="26"/>
          <w:szCs w:val="26"/>
        </w:rPr>
      </w:pPr>
      <w:r w:rsidRPr="00A35CFF">
        <w:rPr>
          <w:rFonts w:ascii="inherit" w:eastAsia="Times New Roman" w:hAnsi="inherit" w:cs="Helvetica"/>
          <w:color w:val="333333"/>
          <w:sz w:val="26"/>
          <w:szCs w:val="26"/>
        </w:rPr>
        <w:t xml:space="preserve">Xem chi tiết báo cáo </w:t>
      </w:r>
      <w:r>
        <w:rPr>
          <w:rFonts w:ascii="inherit" w:eastAsia="Times New Roman" w:hAnsi="inherit" w:cs="Helvetica"/>
          <w:color w:val="333333"/>
          <w:sz w:val="26"/>
          <w:szCs w:val="26"/>
        </w:rPr>
        <w:t xml:space="preserve">của LR </w:t>
      </w:r>
      <w:r w:rsidRPr="00A35CFF">
        <w:rPr>
          <w:rFonts w:ascii="inherit" w:eastAsia="Times New Roman" w:hAnsi="inherit" w:cs="Helvetica"/>
          <w:color w:val="333333"/>
          <w:sz w:val="26"/>
          <w:szCs w:val="26"/>
        </w:rPr>
        <w:t xml:space="preserve">tại: </w:t>
      </w:r>
    </w:p>
    <w:p w:rsidR="00626FC5" w:rsidRDefault="00C96FA2" w:rsidP="00A35CFF">
      <w:pPr>
        <w:spacing w:after="120"/>
        <w:rPr>
          <w:sz w:val="26"/>
          <w:szCs w:val="26"/>
        </w:rPr>
      </w:pPr>
      <w:hyperlink r:id="rId7" w:history="1">
        <w:r w:rsidRPr="00A35CFF">
          <w:rPr>
            <w:rStyle w:val="Hyperlink"/>
            <w:sz w:val="26"/>
            <w:szCs w:val="26"/>
          </w:rPr>
          <w:t>https://safety4sea.com/wp-content/uploads/2</w:t>
        </w:r>
        <w:r w:rsidRPr="00A35CFF">
          <w:rPr>
            <w:rStyle w:val="Hyperlink"/>
            <w:sz w:val="26"/>
            <w:szCs w:val="26"/>
          </w:rPr>
          <w:t>0</w:t>
        </w:r>
        <w:r w:rsidRPr="00A35CFF">
          <w:rPr>
            <w:rStyle w:val="Hyperlink"/>
            <w:sz w:val="26"/>
            <w:szCs w:val="26"/>
          </w:rPr>
          <w:t>25/05/LR-NCSR-12-Summary-Report.pdf</w:t>
        </w:r>
      </w:hyperlink>
    </w:p>
    <w:p w:rsidR="00A35CFF" w:rsidRPr="00A35CFF" w:rsidRDefault="00A35CFF" w:rsidP="00A35CFF">
      <w:pPr>
        <w:jc w:val="center"/>
        <w:rPr>
          <w:sz w:val="26"/>
          <w:szCs w:val="26"/>
        </w:rPr>
      </w:pPr>
      <w:r>
        <w:rPr>
          <w:sz w:val="26"/>
          <w:szCs w:val="26"/>
        </w:rPr>
        <w:t>-----------------------------------</w:t>
      </w:r>
    </w:p>
    <w:p w:rsidR="00C96FA2" w:rsidRDefault="00C96FA2"/>
    <w:sectPr w:rsidR="00C96FA2" w:rsidSect="00CA7823">
      <w:pgSz w:w="12240" w:h="15840"/>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65D1"/>
    <w:multiLevelType w:val="multilevel"/>
    <w:tmpl w:val="B4B8A7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E7251"/>
    <w:multiLevelType w:val="multilevel"/>
    <w:tmpl w:val="A21E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34EFF"/>
    <w:multiLevelType w:val="multilevel"/>
    <w:tmpl w:val="AE06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6635F"/>
    <w:multiLevelType w:val="multilevel"/>
    <w:tmpl w:val="FEDAA9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0446F"/>
    <w:multiLevelType w:val="multilevel"/>
    <w:tmpl w:val="51AC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06701"/>
    <w:multiLevelType w:val="multilevel"/>
    <w:tmpl w:val="9BA48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5A0495"/>
    <w:multiLevelType w:val="multilevel"/>
    <w:tmpl w:val="D72C69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5039A5"/>
    <w:multiLevelType w:val="multilevel"/>
    <w:tmpl w:val="393AB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D5329"/>
    <w:multiLevelType w:val="multilevel"/>
    <w:tmpl w:val="4B5EB4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BA7DC8"/>
    <w:multiLevelType w:val="multilevel"/>
    <w:tmpl w:val="B4B8A7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A4E46"/>
    <w:multiLevelType w:val="multilevel"/>
    <w:tmpl w:val="B4B8A7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F42D7"/>
    <w:multiLevelType w:val="multilevel"/>
    <w:tmpl w:val="C644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8"/>
  </w:num>
  <w:num w:numId="4">
    <w:abstractNumId w:val="5"/>
  </w:num>
  <w:num w:numId="5">
    <w:abstractNumId w:val="6"/>
  </w:num>
  <w:num w:numId="6">
    <w:abstractNumId w:val="7"/>
  </w:num>
  <w:num w:numId="7">
    <w:abstractNumId w:val="9"/>
  </w:num>
  <w:num w:numId="8">
    <w:abstractNumId w:val="10"/>
  </w:num>
  <w:num w:numId="9">
    <w:abstractNumId w:val="1"/>
  </w:num>
  <w:num w:numId="10">
    <w:abstractNumId w:val="4"/>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A2"/>
    <w:rsid w:val="004A2F83"/>
    <w:rsid w:val="00626FC5"/>
    <w:rsid w:val="00A35CFF"/>
    <w:rsid w:val="00C96FA2"/>
    <w:rsid w:val="00CA7823"/>
    <w:rsid w:val="00DC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3B8E"/>
  <w15:chartTrackingRefBased/>
  <w15:docId w15:val="{180CC23F-BB04-4D0D-B518-F67A0396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96F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96F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A2F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C96FA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FA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96FA2"/>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C96FA2"/>
    <w:rPr>
      <w:rFonts w:ascii="Times New Roman" w:eastAsia="Times New Roman" w:hAnsi="Times New Roman" w:cs="Times New Roman"/>
      <w:b/>
      <w:bCs/>
      <w:sz w:val="15"/>
      <w:szCs w:val="15"/>
    </w:rPr>
  </w:style>
  <w:style w:type="character" w:customStyle="1" w:styleId="metatext">
    <w:name w:val="meta_text"/>
    <w:basedOn w:val="DefaultParagraphFont"/>
    <w:rsid w:val="00C96FA2"/>
  </w:style>
  <w:style w:type="character" w:styleId="Hyperlink">
    <w:name w:val="Hyperlink"/>
    <w:basedOn w:val="DefaultParagraphFont"/>
    <w:uiPriority w:val="99"/>
    <w:unhideWhenUsed/>
    <w:rsid w:val="00C96FA2"/>
    <w:rPr>
      <w:color w:val="0000FF"/>
      <w:u w:val="single"/>
    </w:rPr>
  </w:style>
  <w:style w:type="paragraph" w:customStyle="1" w:styleId="wp-caption-text">
    <w:name w:val="wp-caption-text"/>
    <w:basedOn w:val="Normal"/>
    <w:rsid w:val="00C96FA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96F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C96FA2"/>
  </w:style>
  <w:style w:type="character" w:styleId="Strong">
    <w:name w:val="Strong"/>
    <w:basedOn w:val="DefaultParagraphFont"/>
    <w:uiPriority w:val="22"/>
    <w:qFormat/>
    <w:rsid w:val="00C96FA2"/>
    <w:rPr>
      <w:b/>
      <w:bCs/>
    </w:rPr>
  </w:style>
  <w:style w:type="paragraph" w:styleId="ListParagraph">
    <w:name w:val="List Paragraph"/>
    <w:basedOn w:val="Normal"/>
    <w:uiPriority w:val="34"/>
    <w:qFormat/>
    <w:rsid w:val="00C96FA2"/>
    <w:pPr>
      <w:ind w:left="720"/>
      <w:contextualSpacing/>
    </w:pPr>
  </w:style>
  <w:style w:type="character" w:customStyle="1" w:styleId="Heading4Char">
    <w:name w:val="Heading 4 Char"/>
    <w:basedOn w:val="DefaultParagraphFont"/>
    <w:link w:val="Heading4"/>
    <w:uiPriority w:val="9"/>
    <w:semiHidden/>
    <w:rsid w:val="004A2F83"/>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A35C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4396">
      <w:bodyDiv w:val="1"/>
      <w:marLeft w:val="0"/>
      <w:marRight w:val="0"/>
      <w:marTop w:val="0"/>
      <w:marBottom w:val="0"/>
      <w:divBdr>
        <w:top w:val="none" w:sz="0" w:space="0" w:color="auto"/>
        <w:left w:val="none" w:sz="0" w:space="0" w:color="auto"/>
        <w:bottom w:val="none" w:sz="0" w:space="0" w:color="auto"/>
        <w:right w:val="none" w:sz="0" w:space="0" w:color="auto"/>
      </w:divBdr>
    </w:div>
    <w:div w:id="1693917216">
      <w:bodyDiv w:val="1"/>
      <w:marLeft w:val="0"/>
      <w:marRight w:val="0"/>
      <w:marTop w:val="0"/>
      <w:marBottom w:val="0"/>
      <w:divBdr>
        <w:top w:val="none" w:sz="0" w:space="0" w:color="auto"/>
        <w:left w:val="none" w:sz="0" w:space="0" w:color="auto"/>
        <w:bottom w:val="none" w:sz="0" w:space="0" w:color="auto"/>
        <w:right w:val="none" w:sz="0" w:space="0" w:color="auto"/>
      </w:divBdr>
      <w:divsChild>
        <w:div w:id="1260020115">
          <w:marLeft w:val="0"/>
          <w:marRight w:val="0"/>
          <w:marTop w:val="0"/>
          <w:marBottom w:val="450"/>
          <w:divBdr>
            <w:top w:val="none" w:sz="0" w:space="0" w:color="auto"/>
            <w:left w:val="none" w:sz="0" w:space="0" w:color="auto"/>
            <w:bottom w:val="single" w:sz="12" w:space="11" w:color="111111"/>
            <w:right w:val="none" w:sz="0" w:space="0" w:color="auto"/>
          </w:divBdr>
          <w:divsChild>
            <w:div w:id="1151557811">
              <w:marLeft w:val="0"/>
              <w:marRight w:val="0"/>
              <w:marTop w:val="0"/>
              <w:marBottom w:val="0"/>
              <w:divBdr>
                <w:top w:val="none" w:sz="0" w:space="0" w:color="auto"/>
                <w:left w:val="none" w:sz="0" w:space="0" w:color="auto"/>
                <w:bottom w:val="none" w:sz="0" w:space="0" w:color="auto"/>
                <w:right w:val="none" w:sz="0" w:space="0" w:color="auto"/>
              </w:divBdr>
              <w:divsChild>
                <w:div w:id="394399436">
                  <w:marLeft w:val="0"/>
                  <w:marRight w:val="0"/>
                  <w:marTop w:val="0"/>
                  <w:marBottom w:val="0"/>
                  <w:divBdr>
                    <w:top w:val="none" w:sz="0" w:space="0" w:color="auto"/>
                    <w:left w:val="none" w:sz="0" w:space="0" w:color="auto"/>
                    <w:bottom w:val="none" w:sz="0" w:space="0" w:color="auto"/>
                    <w:right w:val="none" w:sz="0" w:space="0" w:color="auto"/>
                  </w:divBdr>
                  <w:divsChild>
                    <w:div w:id="1475485121">
                      <w:marLeft w:val="0"/>
                      <w:marRight w:val="240"/>
                      <w:marTop w:val="0"/>
                      <w:marBottom w:val="0"/>
                      <w:divBdr>
                        <w:top w:val="none" w:sz="0" w:space="0" w:color="auto"/>
                        <w:left w:val="none" w:sz="0" w:space="0" w:color="auto"/>
                        <w:bottom w:val="none" w:sz="0" w:space="0" w:color="auto"/>
                        <w:right w:val="none" w:sz="0" w:space="0" w:color="auto"/>
                      </w:divBdr>
                      <w:divsChild>
                        <w:div w:id="1986231589">
                          <w:marLeft w:val="0"/>
                          <w:marRight w:val="90"/>
                          <w:marTop w:val="0"/>
                          <w:marBottom w:val="0"/>
                          <w:divBdr>
                            <w:top w:val="none" w:sz="0" w:space="0" w:color="auto"/>
                            <w:left w:val="none" w:sz="0" w:space="0" w:color="auto"/>
                            <w:bottom w:val="none" w:sz="0" w:space="0" w:color="auto"/>
                            <w:right w:val="none" w:sz="0" w:space="0" w:color="auto"/>
                          </w:divBdr>
                        </w:div>
                        <w:div w:id="486871780">
                          <w:marLeft w:val="0"/>
                          <w:marRight w:val="90"/>
                          <w:marTop w:val="0"/>
                          <w:marBottom w:val="0"/>
                          <w:divBdr>
                            <w:top w:val="none" w:sz="0" w:space="0" w:color="auto"/>
                            <w:left w:val="none" w:sz="0" w:space="0" w:color="auto"/>
                            <w:bottom w:val="none" w:sz="0" w:space="0" w:color="auto"/>
                            <w:right w:val="none" w:sz="0" w:space="0" w:color="auto"/>
                          </w:divBdr>
                        </w:div>
                        <w:div w:id="93841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78367">
          <w:marLeft w:val="-225"/>
          <w:marRight w:val="-225"/>
          <w:marTop w:val="0"/>
          <w:marBottom w:val="0"/>
          <w:divBdr>
            <w:top w:val="none" w:sz="0" w:space="0" w:color="auto"/>
            <w:left w:val="none" w:sz="0" w:space="0" w:color="auto"/>
            <w:bottom w:val="none" w:sz="0" w:space="0" w:color="auto"/>
            <w:right w:val="none" w:sz="0" w:space="0" w:color="auto"/>
          </w:divBdr>
          <w:divsChild>
            <w:div w:id="1404332392">
              <w:marLeft w:val="0"/>
              <w:marRight w:val="0"/>
              <w:marTop w:val="0"/>
              <w:marBottom w:val="0"/>
              <w:divBdr>
                <w:top w:val="none" w:sz="0" w:space="0" w:color="auto"/>
                <w:left w:val="none" w:sz="0" w:space="0" w:color="auto"/>
                <w:bottom w:val="none" w:sz="0" w:space="0" w:color="auto"/>
                <w:right w:val="none" w:sz="0" w:space="0" w:color="auto"/>
              </w:divBdr>
              <w:divsChild>
                <w:div w:id="837424312">
                  <w:marLeft w:val="0"/>
                  <w:marRight w:val="0"/>
                  <w:marTop w:val="0"/>
                  <w:marBottom w:val="0"/>
                  <w:divBdr>
                    <w:top w:val="none" w:sz="0" w:space="0" w:color="auto"/>
                    <w:left w:val="none" w:sz="0" w:space="0" w:color="auto"/>
                    <w:bottom w:val="none" w:sz="0" w:space="0" w:color="auto"/>
                    <w:right w:val="none" w:sz="0" w:space="0" w:color="auto"/>
                  </w:divBdr>
                  <w:divsChild>
                    <w:div w:id="2142989947">
                      <w:marLeft w:val="0"/>
                      <w:marRight w:val="0"/>
                      <w:marTop w:val="0"/>
                      <w:marBottom w:val="450"/>
                      <w:divBdr>
                        <w:top w:val="none" w:sz="0" w:space="0" w:color="auto"/>
                        <w:left w:val="none" w:sz="0" w:space="0" w:color="auto"/>
                        <w:bottom w:val="none" w:sz="0" w:space="0" w:color="auto"/>
                        <w:right w:val="none" w:sz="0" w:space="0" w:color="auto"/>
                      </w:divBdr>
                      <w:divsChild>
                        <w:div w:id="203257421">
                          <w:marLeft w:val="0"/>
                          <w:marRight w:val="0"/>
                          <w:marTop w:val="0"/>
                          <w:marBottom w:val="0"/>
                          <w:divBdr>
                            <w:top w:val="none" w:sz="0" w:space="0" w:color="auto"/>
                            <w:left w:val="none" w:sz="0" w:space="0" w:color="auto"/>
                            <w:bottom w:val="none" w:sz="0" w:space="0" w:color="auto"/>
                            <w:right w:val="none" w:sz="0" w:space="0" w:color="auto"/>
                          </w:divBdr>
                          <w:divsChild>
                            <w:div w:id="3849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5778">
                      <w:marLeft w:val="0"/>
                      <w:marRight w:val="0"/>
                      <w:marTop w:val="0"/>
                      <w:marBottom w:val="450"/>
                      <w:divBdr>
                        <w:top w:val="none" w:sz="0" w:space="0" w:color="auto"/>
                        <w:left w:val="none" w:sz="0" w:space="0" w:color="auto"/>
                        <w:bottom w:val="none" w:sz="0" w:space="0" w:color="auto"/>
                        <w:right w:val="none" w:sz="0" w:space="0" w:color="auto"/>
                      </w:divBdr>
                      <w:divsChild>
                        <w:div w:id="1674795095">
                          <w:marLeft w:val="1350"/>
                          <w:marRight w:val="0"/>
                          <w:marTop w:val="0"/>
                          <w:marBottom w:val="0"/>
                          <w:divBdr>
                            <w:top w:val="none" w:sz="0" w:space="0" w:color="auto"/>
                            <w:left w:val="none" w:sz="0" w:space="0" w:color="auto"/>
                            <w:bottom w:val="none" w:sz="0" w:space="0" w:color="auto"/>
                            <w:right w:val="none" w:sz="0" w:space="0" w:color="auto"/>
                          </w:divBdr>
                          <w:divsChild>
                            <w:div w:id="1800417960">
                              <w:marLeft w:val="0"/>
                              <w:marRight w:val="0"/>
                              <w:marTop w:val="0"/>
                              <w:marBottom w:val="0"/>
                              <w:divBdr>
                                <w:top w:val="none" w:sz="0" w:space="0" w:color="auto"/>
                                <w:left w:val="none" w:sz="0" w:space="0" w:color="auto"/>
                                <w:bottom w:val="none" w:sz="0" w:space="0" w:color="auto"/>
                                <w:right w:val="none" w:sz="0" w:space="0" w:color="auto"/>
                              </w:divBdr>
                              <w:divsChild>
                                <w:div w:id="479032646">
                                  <w:marLeft w:val="0"/>
                                  <w:marRight w:val="0"/>
                                  <w:marTop w:val="0"/>
                                  <w:marBottom w:val="0"/>
                                  <w:divBdr>
                                    <w:top w:val="none" w:sz="0" w:space="0" w:color="auto"/>
                                    <w:left w:val="none" w:sz="0" w:space="0" w:color="auto"/>
                                    <w:bottom w:val="none" w:sz="0" w:space="0" w:color="auto"/>
                                    <w:right w:val="none" w:sz="0" w:space="0" w:color="auto"/>
                                  </w:divBdr>
                                </w:div>
                                <w:div w:id="1328709004">
                                  <w:marLeft w:val="0"/>
                                  <w:marRight w:val="0"/>
                                  <w:marTop w:val="0"/>
                                  <w:marBottom w:val="0"/>
                                  <w:divBdr>
                                    <w:top w:val="none" w:sz="0" w:space="0" w:color="auto"/>
                                    <w:left w:val="none" w:sz="0" w:space="0" w:color="auto"/>
                                    <w:bottom w:val="none" w:sz="0" w:space="0" w:color="auto"/>
                                    <w:right w:val="none" w:sz="0" w:space="0" w:color="auto"/>
                                  </w:divBdr>
                                  <w:divsChild>
                                    <w:div w:id="182213317">
                                      <w:marLeft w:val="0"/>
                                      <w:marRight w:val="0"/>
                                      <w:marTop w:val="0"/>
                                      <w:marBottom w:val="0"/>
                                      <w:divBdr>
                                        <w:top w:val="none" w:sz="0" w:space="0" w:color="auto"/>
                                        <w:left w:val="none" w:sz="0" w:space="0" w:color="auto"/>
                                        <w:bottom w:val="none" w:sz="0" w:space="0" w:color="auto"/>
                                        <w:right w:val="none" w:sz="0" w:space="0" w:color="auto"/>
                                      </w:divBdr>
                                      <w:divsChild>
                                        <w:div w:id="1138110671">
                                          <w:marLeft w:val="0"/>
                                          <w:marRight w:val="0"/>
                                          <w:marTop w:val="0"/>
                                          <w:marBottom w:val="300"/>
                                          <w:divBdr>
                                            <w:top w:val="none" w:sz="0" w:space="0" w:color="auto"/>
                                            <w:left w:val="none" w:sz="0" w:space="0" w:color="auto"/>
                                            <w:bottom w:val="none" w:sz="0" w:space="0" w:color="auto"/>
                                            <w:right w:val="none" w:sz="0" w:space="0" w:color="auto"/>
                                          </w:divBdr>
                                          <w:divsChild>
                                            <w:div w:id="659693141">
                                              <w:marLeft w:val="0"/>
                                              <w:marRight w:val="0"/>
                                              <w:marTop w:val="0"/>
                                              <w:marBottom w:val="225"/>
                                              <w:divBdr>
                                                <w:top w:val="none" w:sz="0" w:space="0" w:color="auto"/>
                                                <w:left w:val="none" w:sz="0" w:space="0" w:color="auto"/>
                                                <w:bottom w:val="none" w:sz="0" w:space="0" w:color="auto"/>
                                                <w:right w:val="none" w:sz="0" w:space="0" w:color="auto"/>
                                              </w:divBdr>
                                            </w:div>
                                            <w:div w:id="290329166">
                                              <w:marLeft w:val="0"/>
                                              <w:marRight w:val="0"/>
                                              <w:marTop w:val="0"/>
                                              <w:marBottom w:val="0"/>
                                              <w:divBdr>
                                                <w:top w:val="none" w:sz="0" w:space="0" w:color="auto"/>
                                                <w:left w:val="none" w:sz="0" w:space="0" w:color="auto"/>
                                                <w:bottom w:val="none" w:sz="0" w:space="0" w:color="auto"/>
                                                <w:right w:val="none" w:sz="0" w:space="0" w:color="auto"/>
                                              </w:divBdr>
                                              <w:divsChild>
                                                <w:div w:id="1499730532">
                                                  <w:marLeft w:val="0"/>
                                                  <w:marRight w:val="0"/>
                                                  <w:marTop w:val="0"/>
                                                  <w:marBottom w:val="0"/>
                                                  <w:divBdr>
                                                    <w:top w:val="none" w:sz="0" w:space="0" w:color="auto"/>
                                                    <w:left w:val="none" w:sz="0" w:space="0" w:color="auto"/>
                                                    <w:bottom w:val="none" w:sz="0" w:space="0" w:color="auto"/>
                                                    <w:right w:val="none" w:sz="0" w:space="0" w:color="auto"/>
                                                  </w:divBdr>
                                                  <w:divsChild>
                                                    <w:div w:id="787771545">
                                                      <w:marLeft w:val="0"/>
                                                      <w:marRight w:val="0"/>
                                                      <w:marTop w:val="0"/>
                                                      <w:marBottom w:val="0"/>
                                                      <w:divBdr>
                                                        <w:top w:val="none" w:sz="0" w:space="0" w:color="auto"/>
                                                        <w:left w:val="none" w:sz="0" w:space="0" w:color="auto"/>
                                                        <w:bottom w:val="none" w:sz="0" w:space="0" w:color="auto"/>
                                                        <w:right w:val="none" w:sz="0" w:space="0" w:color="auto"/>
                                                      </w:divBdr>
                                                      <w:divsChild>
                                                        <w:div w:id="964971650">
                                                          <w:marLeft w:val="0"/>
                                                          <w:marRight w:val="0"/>
                                                          <w:marTop w:val="0"/>
                                                          <w:marBottom w:val="0"/>
                                                          <w:divBdr>
                                                            <w:top w:val="none" w:sz="0" w:space="0" w:color="auto"/>
                                                            <w:left w:val="none" w:sz="0" w:space="0" w:color="auto"/>
                                                            <w:bottom w:val="none" w:sz="0" w:space="0" w:color="auto"/>
                                                            <w:right w:val="none" w:sz="0" w:space="0" w:color="auto"/>
                                                          </w:divBdr>
                                                        </w:div>
                                                        <w:div w:id="10046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314041">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sChild>
                        </w:div>
                      </w:divsChild>
                    </w:div>
                  </w:divsChild>
                </w:div>
              </w:divsChild>
            </w:div>
          </w:divsChild>
        </w:div>
      </w:divsChild>
    </w:div>
    <w:div w:id="179667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wp-content/uploads/2025/05/LR-NCSR-12-Summary-Repo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5/05/IMO-NCSR-12-scaled-e1747988977343.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1025</TotalTime>
  <Pages>5</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2025-05-24T08:31:00Z</dcterms:created>
  <dcterms:modified xsi:type="dcterms:W3CDTF">2025-05-25T01:36:00Z</dcterms:modified>
</cp:coreProperties>
</file>