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F6" w:rsidRPr="00E84DF6" w:rsidRDefault="00E84DF6" w:rsidP="00E84DF6">
      <w:pPr>
        <w:spacing w:after="105" w:line="240" w:lineRule="auto"/>
        <w:ind w:left="810" w:right="45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bookmarkStart w:id="0" w:name="_GoBack"/>
      <w:r w:rsidRPr="00E84DF6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Tuân thủ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quy định của</w:t>
      </w:r>
      <w:r w:rsidRPr="00E84DF6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USCG: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Khuyến cáo về</w:t>
      </w:r>
      <w:r w:rsidRPr="00E84DF6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an ninh cảng</w:t>
      </w:r>
    </w:p>
    <w:bookmarkEnd w:id="0"/>
    <w:p w:rsidR="00E84DF6" w:rsidRPr="00E84DF6" w:rsidRDefault="00E84DF6" w:rsidP="00E84DF6">
      <w:pPr>
        <w:spacing w:after="120" w:line="240" w:lineRule="auto"/>
        <w:jc w:val="right"/>
        <w:rPr>
          <w:rFonts w:ascii="Merriweather Sans" w:eastAsia="Times New Roman" w:hAnsi="Merriweather Sans" w:cs="Times New Roman"/>
          <w:color w:val="444444"/>
          <w:sz w:val="24"/>
          <w:szCs w:val="24"/>
        </w:rPr>
      </w:pPr>
      <w:r w:rsidRPr="00E84DF6">
        <w:rPr>
          <w:rFonts w:ascii="Merriweather Sans" w:eastAsia="Times New Roman" w:hAnsi="Merriweather Sans" w:cs="Times New Roman"/>
          <w:color w:val="444444"/>
          <w:sz w:val="24"/>
          <w:szCs w:val="24"/>
        </w:rPr>
        <w:t> </w:t>
      </w:r>
      <w:hyperlink r:id="rId5" w:history="1">
        <w:r w:rsidRPr="00E84DF6">
          <w:rPr>
            <w:rFonts w:ascii="Merriweather Sans" w:eastAsia="Times New Roman" w:hAnsi="Merriweather Sans" w:cs="Times New Roman"/>
            <w:b/>
            <w:bCs/>
            <w:color w:val="005689"/>
            <w:sz w:val="24"/>
            <w:szCs w:val="24"/>
            <w:u w:val="single"/>
          </w:rPr>
          <w:t>maritimecyprus</w:t>
        </w:r>
      </w:hyperlink>
    </w:p>
    <w:p w:rsidR="00E84DF6" w:rsidRPr="00E84DF6" w:rsidRDefault="00E84DF6" w:rsidP="00E84DF6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E84DF6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41999" cy="2758440"/>
            <wp:effectExtent l="0" t="0" r="0" b="3810"/>
            <wp:docPr id="1" name="Picture 1" descr="https://maritimecyprus.com/wp-content/uploads/2025/03/USCG-port-security-advisory-696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5/03/USCG-port-security-advisory-696x3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768" cy="277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F6" w:rsidRPr="00E84DF6" w:rsidRDefault="00E84DF6" w:rsidP="00E84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Nhiều nước bị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đưa vào Danh sách đen của USCG sau khi các cảng của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đó được phát hiện là không có đủ các biện pháp chống khủng bố - một động thái đòi hỏi các tàu thuyền đến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phải đặc biệt cẩn thận.</w:t>
      </w:r>
    </w:p>
    <w:p w:rsidR="00E84DF6" w:rsidRPr="00E84DF6" w:rsidRDefault="00E84DF6" w:rsidP="00E84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Lực lượng bảo vệ bờ biển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đã cập nhật danh sách các quốc gia không duy trì các biện pháp chống khủng bố hiệu quả tại các cảng của họ, thêm Cuba vào danh sách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này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84DF6" w:rsidRPr="00E84DF6" w:rsidRDefault="00E84DF6" w:rsidP="00E84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Các lệnh trừng phạt sẽ có hiệu lực đối với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tàu ghé các cảng của các qu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ốc gia trong Danh sách đen này m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à có ý định ghé một cảng của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trong một trong năm lần ghé tiếp theo. Vui lòng kiểm tra danh sách các quốc gia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này 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và nếu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bạn có cảng ghé tại các quốc gia đó trước khi ghé cảng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của Mỹ thì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hãy làm theo tất cả các hướng dẫn bên dưới.</w:t>
      </w:r>
    </w:p>
    <w:p w:rsidR="00E84DF6" w:rsidRDefault="00E84DF6" w:rsidP="00E84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Trong số các bước mà thuyền trưởng phải thực hiện để đảm bảo tuân thủ quy định của Cảnh sát biển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 bao gồm:</w:t>
      </w:r>
    </w:p>
    <w:p w:rsidR="00E84DF6" w:rsidRDefault="00E84DF6" w:rsidP="00E84DF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ăng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 ninh tàu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lên mức MarSec 2;</w:t>
      </w:r>
    </w:p>
    <w:p w:rsidR="00E84DF6" w:rsidRDefault="00E84DF6" w:rsidP="00E84DF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ảo vệ tất cả các điểm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tiếp cận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tàu (phía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bờ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và phía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mặt nước);</w:t>
      </w:r>
    </w:p>
    <w:p w:rsidR="00E84DF6" w:rsidRDefault="00E84DF6" w:rsidP="00E84DF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ố gắng thực hiện Tuyên bố an ninh và ghi lại tất cả các hành động an ninh vào nhật ký của tàu </w:t>
      </w:r>
    </w:p>
    <w:p w:rsidR="00E84DF6" w:rsidRPr="00E84DF6" w:rsidRDefault="00E84DF6" w:rsidP="00E84DF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áo cáo các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biện pháp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đã thực hiện cho Cảnh sát biển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có thẩm quyền của Cảng trước khi đến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84DF6" w:rsidRPr="00E84DF6" w:rsidRDefault="00E84DF6" w:rsidP="00E84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Vui lòng xem Bản cập nhật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Khuyến nghị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 ninh cảng USCG 1-25 để biết danh sách đầy đủ các biện pháp cần thực hiện và các quốc gia bị ảnh hưởng.</w:t>
      </w:r>
    </w:p>
    <w:p w:rsidR="00E84DF6" w:rsidRPr="00E84DF6" w:rsidRDefault="00E84DF6" w:rsidP="00E84D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Có thể tải xuống Bản cập nhật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Khuyến cáo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 ninh cảng USCG 1-25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từ địa chỉ </w:t>
      </w:r>
      <w:r w:rsidRPr="00E84DF6">
        <w:rPr>
          <w:rFonts w:ascii="Times New Roman" w:eastAsia="Times New Roman" w:hAnsi="Times New Roman" w:cs="Times New Roman"/>
          <w:color w:val="222222"/>
          <w:sz w:val="26"/>
          <w:szCs w:val="26"/>
        </w:rPr>
        <w:t>bên dưới:</w:t>
      </w:r>
    </w:p>
    <w:p w:rsidR="00E84DF6" w:rsidRDefault="00E84DF6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Pr="00E84DF6">
          <w:rPr>
            <w:rStyle w:val="Hyperlink"/>
            <w:rFonts w:ascii="Times New Roman" w:hAnsi="Times New Roman" w:cs="Times New Roman"/>
            <w:sz w:val="26"/>
            <w:szCs w:val="26"/>
          </w:rPr>
          <w:t>https://maritimecyprus.com/wp-content/uploads/2025/03/USCG-port-security-advisory1-25.pdf</w:t>
        </w:r>
      </w:hyperlink>
    </w:p>
    <w:p w:rsidR="00E84DF6" w:rsidRPr="00E84DF6" w:rsidRDefault="00E84DF6" w:rsidP="00E84DF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</w:t>
      </w:r>
    </w:p>
    <w:sectPr w:rsidR="00E84DF6" w:rsidRPr="00E84DF6" w:rsidSect="00E84DF6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6720"/>
    <w:multiLevelType w:val="hybridMultilevel"/>
    <w:tmpl w:val="DCDED682"/>
    <w:lvl w:ilvl="0" w:tplc="B2E2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F6"/>
    <w:rsid w:val="00194576"/>
    <w:rsid w:val="008A4D62"/>
    <w:rsid w:val="00E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9785"/>
  <w15:chartTrackingRefBased/>
  <w15:docId w15:val="{1115B9FA-B17A-4924-9B22-810B194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4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4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4D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4D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84DF6"/>
    <w:rPr>
      <w:color w:val="0000FF"/>
      <w:u w:val="single"/>
    </w:rPr>
  </w:style>
  <w:style w:type="character" w:customStyle="1" w:styleId="td-post-date">
    <w:name w:val="td-post-date"/>
    <w:basedOn w:val="DefaultParagraphFont"/>
    <w:rsid w:val="00E84DF6"/>
  </w:style>
  <w:style w:type="character" w:customStyle="1" w:styleId="td-nr-views-40154">
    <w:name w:val="td-nr-views-40154"/>
    <w:basedOn w:val="DefaultParagraphFont"/>
    <w:rsid w:val="00E84DF6"/>
  </w:style>
  <w:style w:type="paragraph" w:styleId="NormalWeb">
    <w:name w:val="Normal (Web)"/>
    <w:basedOn w:val="Normal"/>
    <w:uiPriority w:val="99"/>
    <w:semiHidden/>
    <w:unhideWhenUsed/>
    <w:rsid w:val="00E8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DF6"/>
    <w:rPr>
      <w:b/>
      <w:bCs/>
    </w:rPr>
  </w:style>
  <w:style w:type="paragraph" w:styleId="ListParagraph">
    <w:name w:val="List Paragraph"/>
    <w:basedOn w:val="Normal"/>
    <w:uiPriority w:val="34"/>
    <w:qFormat/>
    <w:rsid w:val="00E8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7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263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265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05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053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itimecyprus.com/wp-content/uploads/2025/03/USCG-port-security-advisory1-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aritimecyprus.com/author/maritimecypr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2025-03-25T03:25:00Z</dcterms:created>
  <dcterms:modified xsi:type="dcterms:W3CDTF">2025-03-25T03:36:00Z</dcterms:modified>
</cp:coreProperties>
</file>