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789C" w:rsidRPr="00A6789C" w:rsidRDefault="000E7794" w:rsidP="00A6789C">
      <w:pPr>
        <w:spacing w:after="105" w:line="240" w:lineRule="auto"/>
        <w:jc w:val="center"/>
        <w:outlineLvl w:val="0"/>
        <w:rPr>
          <w:rFonts w:ascii="Times New Roman" w:eastAsia="Times New Roman" w:hAnsi="Times New Roman" w:cs="Times New Roman"/>
          <w:b/>
          <w:color w:val="000000"/>
          <w:kern w:val="36"/>
          <w:sz w:val="40"/>
          <w:szCs w:val="40"/>
        </w:rPr>
      </w:pPr>
      <w:r w:rsidRPr="000E7794">
        <w:rPr>
          <w:rFonts w:ascii="Times New Roman" w:eastAsia="Times New Roman" w:hAnsi="Times New Roman" w:cs="Times New Roman"/>
          <w:b/>
          <w:color w:val="000000"/>
          <w:kern w:val="36"/>
          <w:sz w:val="40"/>
          <w:szCs w:val="40"/>
        </w:rPr>
        <w:t xml:space="preserve">Lịch sử hàng hải: </w:t>
      </w:r>
      <w:r w:rsidR="00D56424">
        <w:rPr>
          <w:rFonts w:ascii="Times New Roman" w:eastAsia="Times New Roman" w:hAnsi="Times New Roman" w:cs="Times New Roman"/>
          <w:b/>
          <w:color w:val="000000"/>
          <w:kern w:val="36"/>
          <w:sz w:val="40"/>
          <w:szCs w:val="40"/>
        </w:rPr>
        <w:t xml:space="preserve">sự biến mất của </w:t>
      </w:r>
      <w:r w:rsidRPr="000E7794">
        <w:rPr>
          <w:rFonts w:ascii="Times New Roman" w:eastAsia="Times New Roman" w:hAnsi="Times New Roman" w:cs="Times New Roman"/>
          <w:b/>
          <w:color w:val="000000"/>
          <w:kern w:val="36"/>
          <w:sz w:val="40"/>
          <w:szCs w:val="40"/>
        </w:rPr>
        <w:t xml:space="preserve">Germanischer Lloyd </w:t>
      </w:r>
      <w:r>
        <w:rPr>
          <w:rFonts w:ascii="Times New Roman" w:eastAsia="Times New Roman" w:hAnsi="Times New Roman" w:cs="Times New Roman"/>
          <w:b/>
          <w:color w:val="000000"/>
          <w:kern w:val="36"/>
          <w:sz w:val="40"/>
          <w:szCs w:val="40"/>
        </w:rPr>
        <w:t xml:space="preserve">(GL) </w:t>
      </w:r>
      <w:r w:rsidR="00E30006">
        <w:rPr>
          <w:rFonts w:ascii="Times New Roman" w:eastAsia="Times New Roman" w:hAnsi="Times New Roman" w:cs="Times New Roman"/>
          <w:b/>
          <w:color w:val="000000"/>
          <w:kern w:val="36"/>
          <w:sz w:val="40"/>
          <w:szCs w:val="40"/>
        </w:rPr>
        <w:t xml:space="preserve">- </w:t>
      </w:r>
      <w:r w:rsidR="00D56424">
        <w:rPr>
          <w:rFonts w:ascii="Times New Roman" w:eastAsia="Times New Roman" w:hAnsi="Times New Roman" w:cs="Times New Roman"/>
          <w:b/>
          <w:color w:val="000000"/>
          <w:kern w:val="36"/>
          <w:sz w:val="40"/>
          <w:szCs w:val="40"/>
        </w:rPr>
        <w:t>một tượng đài trong ngành đăng kiểm</w:t>
      </w:r>
      <w:r w:rsidR="00E30006">
        <w:rPr>
          <w:rFonts w:ascii="Times New Roman" w:eastAsia="Times New Roman" w:hAnsi="Times New Roman" w:cs="Times New Roman"/>
          <w:b/>
          <w:color w:val="000000"/>
          <w:kern w:val="36"/>
          <w:sz w:val="40"/>
          <w:szCs w:val="40"/>
        </w:rPr>
        <w:t xml:space="preserve"> thế giới</w:t>
      </w:r>
      <w:bookmarkStart w:id="0" w:name="_GoBack"/>
      <w:bookmarkEnd w:id="0"/>
    </w:p>
    <w:p w:rsidR="00A6789C" w:rsidRPr="00A6789C" w:rsidRDefault="00A6789C" w:rsidP="00A6789C">
      <w:pPr>
        <w:spacing w:after="120" w:line="240" w:lineRule="auto"/>
        <w:jc w:val="right"/>
        <w:rPr>
          <w:rFonts w:ascii="Merriweather Sans" w:eastAsia="Times New Roman" w:hAnsi="Merriweather Sans" w:cs="Times New Roman"/>
          <w:color w:val="444444"/>
          <w:sz w:val="24"/>
          <w:szCs w:val="24"/>
        </w:rPr>
      </w:pPr>
      <w:r w:rsidRPr="00A6789C">
        <w:rPr>
          <w:rFonts w:ascii="Merriweather Sans" w:eastAsia="Times New Roman" w:hAnsi="Merriweather Sans" w:cs="Times New Roman"/>
          <w:color w:val="444444"/>
          <w:sz w:val="24"/>
          <w:szCs w:val="24"/>
        </w:rPr>
        <w:t> </w:t>
      </w:r>
      <w:hyperlink r:id="rId5" w:history="1">
        <w:r w:rsidRPr="00A6789C">
          <w:rPr>
            <w:rFonts w:ascii="Merriweather Sans" w:eastAsia="Times New Roman" w:hAnsi="Merriweather Sans" w:cs="Times New Roman"/>
            <w:b/>
            <w:bCs/>
            <w:color w:val="005689"/>
            <w:sz w:val="24"/>
            <w:szCs w:val="24"/>
          </w:rPr>
          <w:t>maritimecyprus</w:t>
        </w:r>
      </w:hyperlink>
    </w:p>
    <w:p w:rsidR="00A6789C" w:rsidRPr="00A6789C" w:rsidRDefault="00A6789C" w:rsidP="00A6789C">
      <w:pPr>
        <w:spacing w:after="0" w:line="240" w:lineRule="auto"/>
        <w:rPr>
          <w:rFonts w:ascii="Merriweather Sans" w:eastAsia="Times New Roman" w:hAnsi="Merriweather Sans" w:cs="Times New Roman"/>
          <w:color w:val="222222"/>
          <w:sz w:val="23"/>
          <w:szCs w:val="23"/>
        </w:rPr>
      </w:pPr>
      <w:r w:rsidRPr="00A6789C">
        <w:rPr>
          <w:rFonts w:ascii="Merriweather Sans" w:eastAsia="Times New Roman" w:hAnsi="Merriweather Sans" w:cs="Times New Roman"/>
          <w:noProof/>
          <w:color w:val="222222"/>
          <w:sz w:val="23"/>
          <w:szCs w:val="23"/>
        </w:rPr>
        <w:drawing>
          <wp:inline distT="0" distB="0" distL="0" distR="0">
            <wp:extent cx="6073140" cy="3434465"/>
            <wp:effectExtent l="0" t="0" r="3810" b="0"/>
            <wp:docPr id="12" name="Picture 12" descr="https://maritimecyprus.com/wp-content/uploads/2022/03/GL-logo1-696x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ritimecyprus.com/wp-content/uploads/2022/03/GL-logo1-696x39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84630" cy="3440963"/>
                    </a:xfrm>
                    <a:prstGeom prst="rect">
                      <a:avLst/>
                    </a:prstGeom>
                    <a:noFill/>
                    <a:ln>
                      <a:noFill/>
                    </a:ln>
                  </pic:spPr>
                </pic:pic>
              </a:graphicData>
            </a:graphic>
          </wp:inline>
        </w:drawing>
      </w:r>
    </w:p>
    <w:p w:rsidR="00A6789C" w:rsidRPr="00A6789C" w:rsidRDefault="00A6789C" w:rsidP="00A6789C">
      <w:pPr>
        <w:spacing w:before="120" w:after="120" w:line="240"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N</w:t>
      </w:r>
      <w:r w:rsidRPr="00A6789C">
        <w:rPr>
          <w:rFonts w:ascii="Times New Roman" w:eastAsia="Times New Roman" w:hAnsi="Times New Roman" w:cs="Times New Roman"/>
          <w:color w:val="222222"/>
          <w:sz w:val="26"/>
          <w:szCs w:val="26"/>
        </w:rPr>
        <w:t>gày 16 tháng 3 năm 1867, một nhóm gồm 600 chủ tàu, công ty đóng tàu và công ty bảo hiểm đã họp tại hội trường lớn của Sở giao dịch chứng khoán Hamburg nhân dịp diễn ra hội nghị thành lập Germanischer Lloyd. Thay mặt cho ủy ban thành lập, thương gia và chủ tàu August Behn đã ký vào điều lệ của tổ chức trẻ này. Ủy ban thành lập bao gồm đại diện của các chủ tàu J. C. Godeffroy &amp; Sohn, A. J. Schön &amp; Co., A. J. Hertz &amp; Söhne, cũng như R. M. Sloman. Hiệp hội mới được thành lập như một hiệp hội phi lợi nhuận có trụ sở tại Hamburg.</w:t>
      </w:r>
    </w:p>
    <w:p w:rsidR="00A6789C" w:rsidRPr="00A6789C" w:rsidRDefault="00A6789C" w:rsidP="00A6789C">
      <w:pPr>
        <w:spacing w:before="120" w:after="120" w:line="240" w:lineRule="auto"/>
        <w:jc w:val="both"/>
        <w:rPr>
          <w:rFonts w:ascii="Times New Roman" w:eastAsia="Times New Roman" w:hAnsi="Times New Roman" w:cs="Times New Roman"/>
          <w:color w:val="222222"/>
          <w:sz w:val="26"/>
          <w:szCs w:val="26"/>
        </w:rPr>
      </w:pPr>
      <w:r w:rsidRPr="00A6789C">
        <w:rPr>
          <w:rFonts w:ascii="Times New Roman" w:eastAsia="Times New Roman" w:hAnsi="Times New Roman" w:cs="Times New Roman"/>
          <w:color w:val="222222"/>
          <w:sz w:val="26"/>
          <w:szCs w:val="26"/>
        </w:rPr>
        <w:t xml:space="preserve">Lý do thành lập một hội </w:t>
      </w:r>
      <w:r>
        <w:rPr>
          <w:rFonts w:ascii="Times New Roman" w:eastAsia="Times New Roman" w:hAnsi="Times New Roman" w:cs="Times New Roman"/>
          <w:color w:val="222222"/>
          <w:sz w:val="26"/>
          <w:szCs w:val="26"/>
        </w:rPr>
        <w:t>đăng kiểm này</w:t>
      </w:r>
      <w:r w:rsidRPr="00A6789C">
        <w:rPr>
          <w:rFonts w:ascii="Times New Roman" w:eastAsia="Times New Roman" w:hAnsi="Times New Roman" w:cs="Times New Roman"/>
          <w:color w:val="222222"/>
          <w:sz w:val="26"/>
          <w:szCs w:val="26"/>
        </w:rPr>
        <w:t xml:space="preserve"> của Đức là để đạt được sự minh bạch. Các thương gia, chủ tàu và công ty bảo hiểm trước đây ít có thông tin về tình trạng của một con tàu. Là một hội </w:t>
      </w:r>
      <w:r>
        <w:rPr>
          <w:rFonts w:ascii="Times New Roman" w:eastAsia="Times New Roman" w:hAnsi="Times New Roman" w:cs="Times New Roman"/>
          <w:color w:val="222222"/>
          <w:sz w:val="26"/>
          <w:szCs w:val="26"/>
        </w:rPr>
        <w:t>đăng kiểm</w:t>
      </w:r>
      <w:r w:rsidRPr="00A6789C">
        <w:rPr>
          <w:rFonts w:ascii="Times New Roman" w:eastAsia="Times New Roman" w:hAnsi="Times New Roman" w:cs="Times New Roman"/>
          <w:color w:val="222222"/>
          <w:sz w:val="26"/>
          <w:szCs w:val="26"/>
        </w:rPr>
        <w:t xml:space="preserve"> độc lập, Germanischer Lloyd được thành lập để đánh giá chất lượng của tàu và cung cấp kết quả cho các chủ tàu, thương gia và công ty bảo hiểm.</w:t>
      </w:r>
    </w:p>
    <w:p w:rsidR="00A6789C" w:rsidRPr="00A6789C" w:rsidRDefault="00A6789C" w:rsidP="00A6789C">
      <w:pPr>
        <w:spacing w:before="120" w:after="120" w:line="240"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Đăng kiểm</w:t>
      </w:r>
      <w:r w:rsidRPr="00A6789C">
        <w:rPr>
          <w:rFonts w:ascii="Times New Roman" w:eastAsia="Times New Roman" w:hAnsi="Times New Roman" w:cs="Times New Roman"/>
          <w:color w:val="222222"/>
          <w:sz w:val="26"/>
          <w:szCs w:val="26"/>
        </w:rPr>
        <w:t xml:space="preserve"> đầu tiên dựa trên các quy tắc xây dựng do Friedrich Schüler, một người đóng tàu từ Stettin-Grabow, Phổ (sau này là Đế quốc Đức) phát triển. Sổ đăng ký </w:t>
      </w:r>
      <w:r>
        <w:rPr>
          <w:rFonts w:ascii="Times New Roman" w:eastAsia="Times New Roman" w:hAnsi="Times New Roman" w:cs="Times New Roman"/>
          <w:color w:val="222222"/>
          <w:sz w:val="26"/>
          <w:szCs w:val="26"/>
        </w:rPr>
        <w:t>đăng kiểm</w:t>
      </w:r>
      <w:r w:rsidRPr="00A6789C">
        <w:rPr>
          <w:rFonts w:ascii="Times New Roman" w:eastAsia="Times New Roman" w:hAnsi="Times New Roman" w:cs="Times New Roman"/>
          <w:color w:val="222222"/>
          <w:sz w:val="26"/>
          <w:szCs w:val="26"/>
        </w:rPr>
        <w:t xml:space="preserve"> tàu quốc tế đầu tiên của GL từ năm 1868 báo cáo 273 tàu được </w:t>
      </w:r>
      <w:r w:rsidR="00B11E7F">
        <w:rPr>
          <w:rFonts w:ascii="Times New Roman" w:eastAsia="Times New Roman" w:hAnsi="Times New Roman" w:cs="Times New Roman"/>
          <w:color w:val="222222"/>
          <w:sz w:val="26"/>
          <w:szCs w:val="26"/>
        </w:rPr>
        <w:t>đăng kiểm</w:t>
      </w:r>
      <w:r w:rsidRPr="00A6789C">
        <w:rPr>
          <w:rFonts w:ascii="Times New Roman" w:eastAsia="Times New Roman" w:hAnsi="Times New Roman" w:cs="Times New Roman"/>
          <w:color w:val="222222"/>
          <w:sz w:val="26"/>
          <w:szCs w:val="26"/>
        </w:rPr>
        <w:t xml:space="preserve"> – 26 trong số đó mang cờ nước ngoài. Năm 1877, số tàu được </w:t>
      </w:r>
      <w:r w:rsidR="00B11E7F">
        <w:rPr>
          <w:rFonts w:ascii="Times New Roman" w:eastAsia="Times New Roman" w:hAnsi="Times New Roman" w:cs="Times New Roman"/>
          <w:color w:val="222222"/>
          <w:sz w:val="26"/>
          <w:szCs w:val="26"/>
        </w:rPr>
        <w:t>đăng kiểm</w:t>
      </w:r>
      <w:r w:rsidRPr="00A6789C">
        <w:rPr>
          <w:rFonts w:ascii="Times New Roman" w:eastAsia="Times New Roman" w:hAnsi="Times New Roman" w:cs="Times New Roman"/>
          <w:color w:val="222222"/>
          <w:sz w:val="26"/>
          <w:szCs w:val="26"/>
        </w:rPr>
        <w:t xml:space="preserve"> đã được đăng ký nhiều gấp mười lần. Do đó, mạng lưới giám định viên </w:t>
      </w:r>
      <w:r w:rsidR="00B11E7F">
        <w:rPr>
          <w:rFonts w:ascii="Times New Roman" w:eastAsia="Times New Roman" w:hAnsi="Times New Roman" w:cs="Times New Roman"/>
          <w:color w:val="222222"/>
          <w:sz w:val="26"/>
          <w:szCs w:val="26"/>
        </w:rPr>
        <w:t xml:space="preserve">được </w:t>
      </w:r>
      <w:r w:rsidRPr="00A6789C">
        <w:rPr>
          <w:rFonts w:ascii="Times New Roman" w:eastAsia="Times New Roman" w:hAnsi="Times New Roman" w:cs="Times New Roman"/>
          <w:color w:val="222222"/>
          <w:sz w:val="26"/>
          <w:szCs w:val="26"/>
        </w:rPr>
        <w:t>mở rộng nhanh chóng. Đến năm 1869, GL đã có giám định viên tại một chục cảng biển của Đức và bên ngoài nước Đức tại St. Petersburg, Copenhagen, London, Liverpool, Amsterdam, Istanbul, Swatow, Amoy, Penang và Singapore.</w:t>
      </w:r>
    </w:p>
    <w:p w:rsidR="00A6789C" w:rsidRPr="00A6789C" w:rsidRDefault="00A6789C" w:rsidP="00A6789C">
      <w:pPr>
        <w:spacing w:before="120" w:after="120" w:line="240" w:lineRule="auto"/>
        <w:jc w:val="both"/>
        <w:rPr>
          <w:rFonts w:ascii="Times New Roman" w:eastAsia="Times New Roman" w:hAnsi="Times New Roman" w:cs="Times New Roman"/>
          <w:color w:val="222222"/>
          <w:sz w:val="26"/>
          <w:szCs w:val="26"/>
        </w:rPr>
      </w:pPr>
      <w:r w:rsidRPr="00A6789C">
        <w:rPr>
          <w:rFonts w:ascii="Times New Roman" w:eastAsia="Times New Roman" w:hAnsi="Times New Roman" w:cs="Times New Roman"/>
          <w:color w:val="222222"/>
          <w:sz w:val="26"/>
          <w:szCs w:val="26"/>
        </w:rPr>
        <w:lastRenderedPageBreak/>
        <w:t>Tàu sắt và tàu hơi nước ngày càng trở nên phổ biến, dần thay thế tàu buồm bằng gỗ. Sau nhiều năm khó khăn về kinh tế, Thủ tướng Đế quốc Bismarck đã nắm quyền kiểm soát tình hình bằng cách công bố một ủy ban. Lời khuyên của ủy ban là: Hiệp hội nên chuyển thành một công ty đại chúng. Sự thay đổi đã được hoàn thiện tại một cuộc họp chung diễn ra vào ngày 5 tháng 10 năm 1889.</w:t>
      </w:r>
    </w:p>
    <w:p w:rsidR="00A6789C" w:rsidRDefault="00A6789C" w:rsidP="00A6789C">
      <w:pPr>
        <w:spacing w:before="405" w:after="255" w:line="450" w:lineRule="atLeast"/>
        <w:jc w:val="center"/>
        <w:outlineLvl w:val="2"/>
        <w:rPr>
          <w:rFonts w:ascii="Merriweather Sans" w:eastAsia="Times New Roman" w:hAnsi="Merriweather Sans" w:cs="Times New Roman"/>
          <w:color w:val="222222"/>
          <w:sz w:val="33"/>
          <w:szCs w:val="33"/>
        </w:rPr>
      </w:pPr>
      <w:r w:rsidRPr="00A6789C">
        <w:rPr>
          <w:rFonts w:ascii="Merriweather Sans" w:eastAsia="Times New Roman" w:hAnsi="Merriweather Sans" w:cs="Times New Roman"/>
          <w:noProof/>
          <w:color w:val="0000FF"/>
          <w:sz w:val="23"/>
          <w:szCs w:val="23"/>
        </w:rPr>
        <w:drawing>
          <wp:inline distT="0" distB="0" distL="0" distR="0" wp14:anchorId="00AE5D5B" wp14:editId="3C401C2A">
            <wp:extent cx="2720340" cy="2040255"/>
            <wp:effectExtent l="0" t="0" r="3810" b="0"/>
            <wp:docPr id="13" name="Picture 13" descr="https://maritimecyprus.com/wp-content/uploads/2022/03/gl55-560x420.jpg">
              <a:hlinkClick xmlns:a="http://schemas.openxmlformats.org/drawingml/2006/main" r:id="rId7" tooltip="&quot;gl5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ritimecyprus.com/wp-content/uploads/2022/03/gl55-560x420.jpg">
                      <a:hlinkClick r:id="rId7" tooltip="&quot;gl55&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0340" cy="2040255"/>
                    </a:xfrm>
                    <a:prstGeom prst="rect">
                      <a:avLst/>
                    </a:prstGeom>
                    <a:noFill/>
                    <a:ln>
                      <a:noFill/>
                    </a:ln>
                  </pic:spPr>
                </pic:pic>
              </a:graphicData>
            </a:graphic>
          </wp:inline>
        </w:drawing>
      </w:r>
      <w:r w:rsidRPr="00A6789C">
        <w:rPr>
          <w:rFonts w:ascii="Merriweather Sans" w:eastAsia="Times New Roman" w:hAnsi="Merriweather Sans" w:cs="Times New Roman"/>
          <w:noProof/>
          <w:color w:val="0000FF"/>
          <w:sz w:val="23"/>
          <w:szCs w:val="23"/>
        </w:rPr>
        <w:drawing>
          <wp:inline distT="0" distB="0" distL="0" distR="0" wp14:anchorId="191B8D2B" wp14:editId="51036537">
            <wp:extent cx="2065020" cy="2065020"/>
            <wp:effectExtent l="0" t="0" r="0" b="0"/>
            <wp:docPr id="10" name="Picture 10" descr="https://maritimecyprus.com/wp-content/uploads/2022/03/GL1-420x420.png">
              <a:hlinkClick xmlns:a="http://schemas.openxmlformats.org/drawingml/2006/main" r:id="rId9" tooltip="&quot;GL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ritimecyprus.com/wp-content/uploads/2022/03/GL1-420x420.png">
                      <a:hlinkClick r:id="rId9" tooltip="&quot;GL1&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5020" cy="2065020"/>
                    </a:xfrm>
                    <a:prstGeom prst="rect">
                      <a:avLst/>
                    </a:prstGeom>
                    <a:noFill/>
                    <a:ln>
                      <a:noFill/>
                    </a:ln>
                  </pic:spPr>
                </pic:pic>
              </a:graphicData>
            </a:graphic>
          </wp:inline>
        </w:drawing>
      </w:r>
    </w:p>
    <w:p w:rsidR="00B11E7F" w:rsidRDefault="00A6789C" w:rsidP="00B11E7F">
      <w:pPr>
        <w:spacing w:before="405" w:after="255" w:line="450" w:lineRule="atLeast"/>
        <w:jc w:val="center"/>
        <w:outlineLvl w:val="2"/>
        <w:rPr>
          <w:rFonts w:ascii="Merriweather Sans" w:eastAsia="Times New Roman" w:hAnsi="Merriweather Sans" w:cs="Times New Roman"/>
          <w:color w:val="222222"/>
          <w:sz w:val="33"/>
          <w:szCs w:val="33"/>
        </w:rPr>
      </w:pPr>
      <w:r w:rsidRPr="00A6789C">
        <w:rPr>
          <w:rFonts w:ascii="Merriweather Sans" w:eastAsia="Times New Roman" w:hAnsi="Merriweather Sans" w:cs="Times New Roman"/>
          <w:noProof/>
          <w:color w:val="0000FF"/>
          <w:sz w:val="23"/>
          <w:szCs w:val="23"/>
        </w:rPr>
        <w:drawing>
          <wp:inline distT="0" distB="0" distL="0" distR="0" wp14:anchorId="09EB4B4C" wp14:editId="22B45D21">
            <wp:extent cx="2490470" cy="1567594"/>
            <wp:effectExtent l="0" t="0" r="5080" b="0"/>
            <wp:docPr id="9" name="Picture 9" descr="GL">
              <a:hlinkClick xmlns:a="http://schemas.openxmlformats.org/drawingml/2006/main" r:id="rId11" tooltip="&quot;GL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
                      <a:hlinkClick r:id="rId11" tooltip="&quot;GL2&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6092" cy="1583721"/>
                    </a:xfrm>
                    <a:prstGeom prst="rect">
                      <a:avLst/>
                    </a:prstGeom>
                    <a:noFill/>
                    <a:ln>
                      <a:noFill/>
                    </a:ln>
                  </pic:spPr>
                </pic:pic>
              </a:graphicData>
            </a:graphic>
          </wp:inline>
        </w:drawing>
      </w:r>
      <w:r w:rsidR="00B11E7F" w:rsidRPr="00A6789C">
        <w:rPr>
          <w:rFonts w:ascii="Merriweather Sans" w:eastAsia="Times New Roman" w:hAnsi="Merriweather Sans" w:cs="Times New Roman"/>
          <w:noProof/>
          <w:color w:val="0000FF"/>
          <w:sz w:val="23"/>
          <w:szCs w:val="23"/>
        </w:rPr>
        <w:drawing>
          <wp:inline distT="0" distB="0" distL="0" distR="0" wp14:anchorId="032CAA49" wp14:editId="638D6A44">
            <wp:extent cx="2560320" cy="1552846"/>
            <wp:effectExtent l="0" t="0" r="0" b="9525"/>
            <wp:docPr id="6" name="Picture 6" descr="https://maritimecyprus.com/wp-content/uploads/2022/03/GL8-643x420.png">
              <a:hlinkClick xmlns:a="http://schemas.openxmlformats.org/drawingml/2006/main" r:id="rId13" tooltip="&quot;GL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ritimecyprus.com/wp-content/uploads/2022/03/GL8-643x420.png">
                      <a:hlinkClick r:id="rId13" tooltip="&quot;GL8&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7030" cy="1575111"/>
                    </a:xfrm>
                    <a:prstGeom prst="rect">
                      <a:avLst/>
                    </a:prstGeom>
                    <a:noFill/>
                    <a:ln>
                      <a:noFill/>
                    </a:ln>
                  </pic:spPr>
                </pic:pic>
              </a:graphicData>
            </a:graphic>
          </wp:inline>
        </w:drawing>
      </w:r>
    </w:p>
    <w:p w:rsidR="00A6789C" w:rsidRDefault="00A6789C" w:rsidP="00B11E7F">
      <w:pPr>
        <w:spacing w:before="405" w:after="255" w:line="450" w:lineRule="atLeast"/>
        <w:jc w:val="center"/>
        <w:outlineLvl w:val="2"/>
        <w:rPr>
          <w:rFonts w:ascii="Merriweather Sans" w:eastAsia="Times New Roman" w:hAnsi="Merriweather Sans" w:cs="Times New Roman"/>
          <w:color w:val="222222"/>
          <w:sz w:val="33"/>
          <w:szCs w:val="33"/>
        </w:rPr>
      </w:pPr>
      <w:r w:rsidRPr="00A6789C">
        <w:rPr>
          <w:rFonts w:ascii="Merriweather Sans" w:eastAsia="Times New Roman" w:hAnsi="Merriweather Sans" w:cs="Times New Roman"/>
          <w:noProof/>
          <w:color w:val="0000FF"/>
          <w:sz w:val="23"/>
          <w:szCs w:val="23"/>
        </w:rPr>
        <w:drawing>
          <wp:inline distT="0" distB="0" distL="0" distR="0" wp14:anchorId="2404F5CA" wp14:editId="6D56059F">
            <wp:extent cx="1646283" cy="2476500"/>
            <wp:effectExtent l="0" t="0" r="0" b="0"/>
            <wp:docPr id="8" name="Picture 8" descr="https://maritimecyprus.com/wp-content/uploads/2022/03/gl66-279x420.jpg">
              <a:hlinkClick xmlns:a="http://schemas.openxmlformats.org/drawingml/2006/main" r:id="rId15" tooltip="&quot;gl6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ritimecyprus.com/wp-content/uploads/2022/03/gl66-279x420.jpg">
                      <a:hlinkClick r:id="rId15" tooltip="&quot;gl66&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608" cy="2484511"/>
                    </a:xfrm>
                    <a:prstGeom prst="rect">
                      <a:avLst/>
                    </a:prstGeom>
                    <a:noFill/>
                    <a:ln>
                      <a:noFill/>
                    </a:ln>
                  </pic:spPr>
                </pic:pic>
              </a:graphicData>
            </a:graphic>
          </wp:inline>
        </w:drawing>
      </w:r>
      <w:r w:rsidRPr="00A6789C">
        <w:rPr>
          <w:rFonts w:ascii="Merriweather Sans" w:eastAsia="Times New Roman" w:hAnsi="Merriweather Sans" w:cs="Times New Roman"/>
          <w:noProof/>
          <w:color w:val="0000FF"/>
          <w:sz w:val="23"/>
          <w:szCs w:val="23"/>
        </w:rPr>
        <w:drawing>
          <wp:inline distT="0" distB="0" distL="0" distR="0" wp14:anchorId="1AAF0790" wp14:editId="47C1D749">
            <wp:extent cx="3322320" cy="2372106"/>
            <wp:effectExtent l="0" t="0" r="0" b="9525"/>
            <wp:docPr id="7" name="Picture 7" descr="https://maritimecyprus.com/wp-content/uploads/2022/03/gl7-560x420.jpg">
              <a:hlinkClick xmlns:a="http://schemas.openxmlformats.org/drawingml/2006/main" r:id="rId17" tooltip="&quot;gl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ritimecyprus.com/wp-content/uploads/2022/03/gl7-560x420.jpg">
                      <a:hlinkClick r:id="rId17" tooltip="&quot;gl7&quot;"/>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l="8572" t="10666" r="9285" b="20952"/>
                    <a:stretch/>
                  </pic:blipFill>
                  <pic:spPr bwMode="auto">
                    <a:xfrm>
                      <a:off x="0" y="0"/>
                      <a:ext cx="3348834" cy="2391037"/>
                    </a:xfrm>
                    <a:prstGeom prst="rect">
                      <a:avLst/>
                    </a:prstGeom>
                    <a:noFill/>
                    <a:ln>
                      <a:noFill/>
                    </a:ln>
                    <a:extLst>
                      <a:ext uri="{53640926-AAD7-44D8-BBD7-CCE9431645EC}">
                        <a14:shadowObscured xmlns:a14="http://schemas.microsoft.com/office/drawing/2010/main"/>
                      </a:ext>
                    </a:extLst>
                  </pic:spPr>
                </pic:pic>
              </a:graphicData>
            </a:graphic>
          </wp:inline>
        </w:drawing>
      </w:r>
    </w:p>
    <w:p w:rsidR="00A6789C" w:rsidRDefault="00A6789C" w:rsidP="00A6789C">
      <w:pPr>
        <w:spacing w:before="405" w:after="255" w:line="450" w:lineRule="atLeast"/>
        <w:outlineLvl w:val="2"/>
        <w:rPr>
          <w:rFonts w:ascii="Merriweather Sans" w:eastAsia="Times New Roman" w:hAnsi="Merriweather Sans" w:cs="Times New Roman"/>
          <w:color w:val="222222"/>
          <w:sz w:val="33"/>
          <w:szCs w:val="33"/>
        </w:rPr>
      </w:pPr>
    </w:p>
    <w:p w:rsidR="00A6789C" w:rsidRDefault="00A6789C" w:rsidP="00B11E7F">
      <w:pPr>
        <w:spacing w:before="405" w:after="255" w:line="450" w:lineRule="atLeast"/>
        <w:jc w:val="center"/>
        <w:outlineLvl w:val="2"/>
        <w:rPr>
          <w:rFonts w:ascii="Merriweather Sans" w:eastAsia="Times New Roman" w:hAnsi="Merriweather Sans" w:cs="Times New Roman"/>
          <w:color w:val="222222"/>
          <w:sz w:val="33"/>
          <w:szCs w:val="33"/>
        </w:rPr>
      </w:pPr>
      <w:r w:rsidRPr="00A6789C">
        <w:rPr>
          <w:rFonts w:ascii="Merriweather Sans" w:eastAsia="Times New Roman" w:hAnsi="Merriweather Sans" w:cs="Times New Roman"/>
          <w:noProof/>
          <w:color w:val="0000FF"/>
          <w:sz w:val="23"/>
          <w:szCs w:val="23"/>
        </w:rPr>
        <w:lastRenderedPageBreak/>
        <w:drawing>
          <wp:inline distT="0" distB="0" distL="0" distR="0" wp14:anchorId="72FF4761" wp14:editId="46623C3D">
            <wp:extent cx="4835478" cy="3482340"/>
            <wp:effectExtent l="0" t="0" r="3810" b="3810"/>
            <wp:docPr id="5" name="Picture 5" descr="https://maritimecyprus.com/wp-content/uploads/2022/03/GL9-583x420.jpg">
              <a:hlinkClick xmlns:a="http://schemas.openxmlformats.org/drawingml/2006/main" r:id="rId19" tooltip="&quot;GL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ritimecyprus.com/wp-content/uploads/2022/03/GL9-583x420.jpg">
                      <a:hlinkClick r:id="rId19" tooltip="&quot;GL9&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9634" cy="3485333"/>
                    </a:xfrm>
                    <a:prstGeom prst="rect">
                      <a:avLst/>
                    </a:prstGeom>
                    <a:noFill/>
                    <a:ln>
                      <a:noFill/>
                    </a:ln>
                  </pic:spPr>
                </pic:pic>
              </a:graphicData>
            </a:graphic>
          </wp:inline>
        </w:drawing>
      </w:r>
    </w:p>
    <w:p w:rsidR="00C5537C" w:rsidRPr="00C5537C" w:rsidRDefault="009C7697" w:rsidP="00C5537C">
      <w:pPr>
        <w:spacing w:before="120" w:after="12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Sớm </w:t>
      </w:r>
      <w:r w:rsidR="00C5537C" w:rsidRPr="00C5537C">
        <w:rPr>
          <w:rFonts w:ascii="Times New Roman" w:eastAsia="Times New Roman" w:hAnsi="Times New Roman" w:cs="Times New Roman"/>
          <w:b/>
          <w:sz w:val="26"/>
          <w:szCs w:val="26"/>
        </w:rPr>
        <w:t xml:space="preserve">mở rộng </w:t>
      </w:r>
      <w:r>
        <w:rPr>
          <w:rFonts w:ascii="Times New Roman" w:eastAsia="Times New Roman" w:hAnsi="Times New Roman" w:cs="Times New Roman"/>
          <w:b/>
          <w:sz w:val="26"/>
          <w:szCs w:val="26"/>
        </w:rPr>
        <w:t>hoạt động</w:t>
      </w:r>
    </w:p>
    <w:p w:rsidR="00C5537C" w:rsidRPr="00C5537C" w:rsidRDefault="00C5537C" w:rsidP="00C5537C">
      <w:pPr>
        <w:spacing w:before="120" w:after="120" w:line="240" w:lineRule="auto"/>
        <w:jc w:val="both"/>
        <w:rPr>
          <w:rFonts w:ascii="Times New Roman" w:eastAsia="Times New Roman" w:hAnsi="Times New Roman" w:cs="Times New Roman"/>
          <w:sz w:val="26"/>
          <w:szCs w:val="26"/>
        </w:rPr>
      </w:pPr>
      <w:r w:rsidRPr="00C5537C">
        <w:rPr>
          <w:rFonts w:ascii="Times New Roman" w:eastAsia="Times New Roman" w:hAnsi="Times New Roman" w:cs="Times New Roman"/>
          <w:sz w:val="26"/>
          <w:szCs w:val="26"/>
        </w:rPr>
        <w:t>Năm 1894, khi tình hình kinh tế được cải thiện, Germanischer Lloyd quyết định mở rộng dịch vụ của mình bằng cách hợp tác với cơ quan hàng hải Đức See-Berufsgenossenschaft (SeeBG), được thành lập năm 1887. Trong khi SeeBG ban hành các quy tắc phòng ngừa tai nạn và kiểm tra việc tuân thủ các quy tắc này, GL đã hỗ trợ với tư cách là cố vấn kỹ thuật. Sự hợp tác giữa hai bên đã kéo dài cho đến ngày nay.</w:t>
      </w:r>
    </w:p>
    <w:p w:rsidR="00C5537C" w:rsidRPr="00C5537C" w:rsidRDefault="00C5537C" w:rsidP="00C5537C">
      <w:pPr>
        <w:spacing w:before="120" w:after="120" w:line="240" w:lineRule="auto"/>
        <w:jc w:val="both"/>
        <w:rPr>
          <w:rFonts w:ascii="Times New Roman" w:eastAsia="Times New Roman" w:hAnsi="Times New Roman" w:cs="Times New Roman"/>
          <w:sz w:val="26"/>
          <w:szCs w:val="26"/>
        </w:rPr>
      </w:pPr>
      <w:r w:rsidRPr="00C5537C">
        <w:rPr>
          <w:rFonts w:ascii="Times New Roman" w:eastAsia="Times New Roman" w:hAnsi="Times New Roman" w:cs="Times New Roman"/>
          <w:sz w:val="26"/>
          <w:szCs w:val="26"/>
        </w:rPr>
        <w:t xml:space="preserve">Là một hiệp hội </w:t>
      </w:r>
      <w:r>
        <w:rPr>
          <w:rFonts w:ascii="Times New Roman" w:eastAsia="Times New Roman" w:hAnsi="Times New Roman" w:cs="Times New Roman"/>
          <w:sz w:val="26"/>
          <w:szCs w:val="26"/>
        </w:rPr>
        <w:t>đăng kiểm</w:t>
      </w:r>
      <w:r w:rsidRPr="00C5537C">
        <w:rPr>
          <w:rFonts w:ascii="Times New Roman" w:eastAsia="Times New Roman" w:hAnsi="Times New Roman" w:cs="Times New Roman"/>
          <w:sz w:val="26"/>
          <w:szCs w:val="26"/>
        </w:rPr>
        <w:t xml:space="preserve">, Germanischer Lloyd luôn tập trung vào vấn đề an toàn tàu. Tầm quan trọng của vấn đề này đã trở nên rõ ràng với thảm họa </w:t>
      </w:r>
      <w:r>
        <w:rPr>
          <w:rFonts w:ascii="Times New Roman" w:eastAsia="Times New Roman" w:hAnsi="Times New Roman" w:cs="Times New Roman"/>
          <w:sz w:val="26"/>
          <w:szCs w:val="26"/>
        </w:rPr>
        <w:t xml:space="preserve">chìm tàu </w:t>
      </w:r>
      <w:r w:rsidRPr="00C5537C">
        <w:rPr>
          <w:rFonts w:ascii="Times New Roman" w:eastAsia="Times New Roman" w:hAnsi="Times New Roman" w:cs="Times New Roman"/>
          <w:sz w:val="26"/>
          <w:szCs w:val="26"/>
        </w:rPr>
        <w:t>Titanic năm 1912. Hai năm sau, một giám đốc của GL đã tham dự hội nghị "Titanic" với tư cách là đại diện của chính phủ Đức. Vào thời điểm này, 10</w:t>
      </w:r>
      <w:r>
        <w:rPr>
          <w:rFonts w:ascii="Times New Roman" w:eastAsia="Times New Roman" w:hAnsi="Times New Roman" w:cs="Times New Roman"/>
          <w:sz w:val="26"/>
          <w:szCs w:val="26"/>
        </w:rPr>
        <w:t>%</w:t>
      </w:r>
      <w:r w:rsidRPr="00C5537C">
        <w:rPr>
          <w:rFonts w:ascii="Times New Roman" w:eastAsia="Times New Roman" w:hAnsi="Times New Roman" w:cs="Times New Roman"/>
          <w:sz w:val="26"/>
          <w:szCs w:val="26"/>
        </w:rPr>
        <w:t xml:space="preserve"> đội tàu buôn trên thế giới đã được Germanischer Lloyd </w:t>
      </w:r>
      <w:r>
        <w:rPr>
          <w:rFonts w:ascii="Times New Roman" w:eastAsia="Times New Roman" w:hAnsi="Times New Roman" w:cs="Times New Roman"/>
          <w:sz w:val="26"/>
          <w:szCs w:val="26"/>
        </w:rPr>
        <w:t>đăng kiểm</w:t>
      </w:r>
      <w:r w:rsidRPr="00C5537C">
        <w:rPr>
          <w:rFonts w:ascii="Times New Roman" w:eastAsia="Times New Roman" w:hAnsi="Times New Roman" w:cs="Times New Roman"/>
          <w:sz w:val="26"/>
          <w:szCs w:val="26"/>
        </w:rPr>
        <w:t>. Tuy nhiên, Chiến tranh thế giới thứ nhất đã là một bước thụt lùi nghiêm trọng.</w:t>
      </w:r>
    </w:p>
    <w:p w:rsidR="00C5537C" w:rsidRPr="00C5537C" w:rsidRDefault="00C5537C" w:rsidP="00C5537C">
      <w:pPr>
        <w:spacing w:before="120" w:after="120" w:line="240" w:lineRule="auto"/>
        <w:jc w:val="both"/>
        <w:rPr>
          <w:rFonts w:ascii="Times New Roman" w:eastAsia="Times New Roman" w:hAnsi="Times New Roman" w:cs="Times New Roman"/>
          <w:sz w:val="26"/>
          <w:szCs w:val="26"/>
        </w:rPr>
      </w:pPr>
      <w:r w:rsidRPr="00C5537C">
        <w:rPr>
          <w:rFonts w:ascii="Times New Roman" w:eastAsia="Times New Roman" w:hAnsi="Times New Roman" w:cs="Times New Roman"/>
          <w:sz w:val="26"/>
          <w:szCs w:val="26"/>
        </w:rPr>
        <w:t xml:space="preserve">Các mối quan hệ quốc tế đã bị chấm dứt và các tàu nước ngoài đã thay đổi </w:t>
      </w:r>
      <w:r>
        <w:rPr>
          <w:rFonts w:ascii="Times New Roman" w:eastAsia="Times New Roman" w:hAnsi="Times New Roman" w:cs="Times New Roman"/>
          <w:sz w:val="26"/>
          <w:szCs w:val="26"/>
        </w:rPr>
        <w:t>cơ quan đăng kiểm</w:t>
      </w:r>
      <w:r w:rsidRPr="00C5537C">
        <w:rPr>
          <w:rFonts w:ascii="Times New Roman" w:eastAsia="Times New Roman" w:hAnsi="Times New Roman" w:cs="Times New Roman"/>
          <w:sz w:val="26"/>
          <w:szCs w:val="26"/>
        </w:rPr>
        <w:t xml:space="preserve">. Sau chiến tranh, mọi thứ bắt đầu cải thiện trở lại. Đến năm 1939, sổ đăng ký có 4,7 triệu GRT (tổng </w:t>
      </w:r>
      <w:r>
        <w:rPr>
          <w:rFonts w:ascii="Times New Roman" w:eastAsia="Times New Roman" w:hAnsi="Times New Roman" w:cs="Times New Roman"/>
          <w:sz w:val="26"/>
          <w:szCs w:val="26"/>
        </w:rPr>
        <w:t>dung tích</w:t>
      </w:r>
      <w:r w:rsidRPr="00C5537C">
        <w:rPr>
          <w:rFonts w:ascii="Times New Roman" w:eastAsia="Times New Roman" w:hAnsi="Times New Roman" w:cs="Times New Roman"/>
          <w:sz w:val="26"/>
          <w:szCs w:val="26"/>
        </w:rPr>
        <w:t xml:space="preserve"> đăng ký). Sau đó, Chiến tranh thế giới thứ hai đã để lại dấu ấn của nó: trụ sở bị phá hủy, các văn phòng bị đánh bom và các cơ quan ở nước ngoài bị mất. Hầu hết các hồ sơ đã bị xóa bỏ hoặ</w:t>
      </w:r>
      <w:r>
        <w:rPr>
          <w:rFonts w:ascii="Times New Roman" w:eastAsia="Times New Roman" w:hAnsi="Times New Roman" w:cs="Times New Roman"/>
          <w:sz w:val="26"/>
          <w:szCs w:val="26"/>
        </w:rPr>
        <w:t>c tịch thu. Hội đồng kiểm soát Đ</w:t>
      </w:r>
      <w:r w:rsidRPr="00C5537C">
        <w:rPr>
          <w:rFonts w:ascii="Times New Roman" w:eastAsia="Times New Roman" w:hAnsi="Times New Roman" w:cs="Times New Roman"/>
          <w:sz w:val="26"/>
          <w:szCs w:val="26"/>
        </w:rPr>
        <w:t xml:space="preserve">ồng minh cuối cùng đã cho phép những người ủng hộ từ ngành vận tải biển, đóng tàu và bảo hiểm tàu ​​biển xin giấy phép tạm thời cho công ty; giấy phép này đã trở thành giấy phép cố định vào năm 1948. Sau chiến tranh, sự phục hồi kinh tế của Đức đã dẫn đến sự phát triển nhanh chóng: trong vòng bảy năm, </w:t>
      </w:r>
      <w:r>
        <w:rPr>
          <w:rFonts w:ascii="Times New Roman" w:eastAsia="Times New Roman" w:hAnsi="Times New Roman" w:cs="Times New Roman"/>
          <w:sz w:val="26"/>
          <w:szCs w:val="26"/>
        </w:rPr>
        <w:t>tổng dung tích các tàu được đăng kiểm</w:t>
      </w:r>
      <w:r w:rsidRPr="00C5537C">
        <w:rPr>
          <w:rFonts w:ascii="Times New Roman" w:eastAsia="Times New Roman" w:hAnsi="Times New Roman" w:cs="Times New Roman"/>
          <w:sz w:val="26"/>
          <w:szCs w:val="26"/>
        </w:rPr>
        <w:t xml:space="preserve"> đã tăng từ 400.000 lên </w:t>
      </w:r>
      <w:r w:rsidR="00B829B2">
        <w:rPr>
          <w:rFonts w:ascii="Times New Roman" w:eastAsia="Times New Roman" w:hAnsi="Times New Roman" w:cs="Times New Roman"/>
          <w:sz w:val="26"/>
          <w:szCs w:val="26"/>
        </w:rPr>
        <w:t>3</w:t>
      </w:r>
      <w:r w:rsidRPr="00C5537C">
        <w:rPr>
          <w:rFonts w:ascii="Times New Roman" w:eastAsia="Times New Roman" w:hAnsi="Times New Roman" w:cs="Times New Roman"/>
          <w:sz w:val="26"/>
          <w:szCs w:val="26"/>
        </w:rPr>
        <w:t xml:space="preserve"> triệu GT.</w:t>
      </w:r>
    </w:p>
    <w:p w:rsidR="00C5537C" w:rsidRPr="00B829B2" w:rsidRDefault="00C5537C" w:rsidP="00C5537C">
      <w:pPr>
        <w:spacing w:before="120" w:after="120" w:line="240" w:lineRule="auto"/>
        <w:jc w:val="both"/>
        <w:rPr>
          <w:rFonts w:ascii="Times New Roman" w:eastAsia="Times New Roman" w:hAnsi="Times New Roman" w:cs="Times New Roman"/>
          <w:b/>
          <w:sz w:val="26"/>
          <w:szCs w:val="26"/>
        </w:rPr>
      </w:pPr>
      <w:r w:rsidRPr="00B829B2">
        <w:rPr>
          <w:rFonts w:ascii="Times New Roman" w:eastAsia="Times New Roman" w:hAnsi="Times New Roman" w:cs="Times New Roman"/>
          <w:b/>
          <w:sz w:val="26"/>
          <w:szCs w:val="26"/>
        </w:rPr>
        <w:t>Tăng trưởng và đa dạng hóa</w:t>
      </w:r>
    </w:p>
    <w:p w:rsidR="00C5537C" w:rsidRPr="00C5537C" w:rsidRDefault="00C5537C" w:rsidP="00C5537C">
      <w:pPr>
        <w:spacing w:before="120" w:after="120" w:line="240" w:lineRule="auto"/>
        <w:jc w:val="both"/>
        <w:rPr>
          <w:rFonts w:ascii="Times New Roman" w:eastAsia="Times New Roman" w:hAnsi="Times New Roman" w:cs="Times New Roman"/>
          <w:sz w:val="26"/>
          <w:szCs w:val="26"/>
        </w:rPr>
      </w:pPr>
      <w:r w:rsidRPr="00C5537C">
        <w:rPr>
          <w:rFonts w:ascii="Times New Roman" w:eastAsia="Times New Roman" w:hAnsi="Times New Roman" w:cs="Times New Roman"/>
          <w:sz w:val="26"/>
          <w:szCs w:val="26"/>
        </w:rPr>
        <w:t>Germanischer Lloyd luôn dẫn đầu kể từ khi thành lập. Một số ví dụ:</w:t>
      </w:r>
    </w:p>
    <w:p w:rsidR="00C5537C" w:rsidRPr="00B829B2" w:rsidRDefault="00C5537C" w:rsidP="00B829B2">
      <w:pPr>
        <w:pStyle w:val="ListParagraph"/>
        <w:numPr>
          <w:ilvl w:val="0"/>
          <w:numId w:val="4"/>
        </w:numPr>
        <w:spacing w:before="120" w:after="120" w:line="240" w:lineRule="auto"/>
        <w:jc w:val="both"/>
        <w:rPr>
          <w:rFonts w:ascii="Times New Roman" w:eastAsia="Times New Roman" w:hAnsi="Times New Roman" w:cs="Times New Roman"/>
          <w:sz w:val="26"/>
          <w:szCs w:val="26"/>
        </w:rPr>
      </w:pPr>
      <w:r w:rsidRPr="00B829B2">
        <w:rPr>
          <w:rFonts w:ascii="Times New Roman" w:eastAsia="Times New Roman" w:hAnsi="Times New Roman" w:cs="Times New Roman"/>
          <w:sz w:val="26"/>
          <w:szCs w:val="26"/>
        </w:rPr>
        <w:lastRenderedPageBreak/>
        <w:t xml:space="preserve">Hiệp hội </w:t>
      </w:r>
      <w:r w:rsidR="00B829B2">
        <w:rPr>
          <w:rFonts w:ascii="Times New Roman" w:eastAsia="Times New Roman" w:hAnsi="Times New Roman" w:cs="Times New Roman"/>
          <w:sz w:val="26"/>
          <w:szCs w:val="26"/>
        </w:rPr>
        <w:t>đăng kiểm</w:t>
      </w:r>
      <w:r w:rsidRPr="00B829B2">
        <w:rPr>
          <w:rFonts w:ascii="Times New Roman" w:eastAsia="Times New Roman" w:hAnsi="Times New Roman" w:cs="Times New Roman"/>
          <w:sz w:val="26"/>
          <w:szCs w:val="26"/>
        </w:rPr>
        <w:t xml:space="preserve"> đầu tiên xác định kích thước </w:t>
      </w:r>
      <w:r w:rsidR="00B829B2">
        <w:rPr>
          <w:rFonts w:ascii="Times New Roman" w:eastAsia="Times New Roman" w:hAnsi="Times New Roman" w:cs="Times New Roman"/>
          <w:sz w:val="26"/>
          <w:szCs w:val="26"/>
        </w:rPr>
        <w:t xml:space="preserve">của tàu </w:t>
      </w:r>
      <w:r w:rsidRPr="00B829B2">
        <w:rPr>
          <w:rFonts w:ascii="Times New Roman" w:eastAsia="Times New Roman" w:hAnsi="Times New Roman" w:cs="Times New Roman"/>
          <w:sz w:val="26"/>
          <w:szCs w:val="26"/>
        </w:rPr>
        <w:t xml:space="preserve">không dựa trên </w:t>
      </w:r>
      <w:r w:rsidR="00B829B2">
        <w:rPr>
          <w:rFonts w:ascii="Times New Roman" w:eastAsia="Times New Roman" w:hAnsi="Times New Roman" w:cs="Times New Roman"/>
          <w:sz w:val="26"/>
          <w:szCs w:val="26"/>
        </w:rPr>
        <w:t>dung</w:t>
      </w:r>
      <w:r w:rsidRPr="00B829B2">
        <w:rPr>
          <w:rFonts w:ascii="Times New Roman" w:eastAsia="Times New Roman" w:hAnsi="Times New Roman" w:cs="Times New Roman"/>
          <w:sz w:val="26"/>
          <w:szCs w:val="26"/>
        </w:rPr>
        <w:t xml:space="preserve"> </w:t>
      </w:r>
      <w:r w:rsidR="00B829B2">
        <w:rPr>
          <w:rFonts w:ascii="Times New Roman" w:eastAsia="Times New Roman" w:hAnsi="Times New Roman" w:cs="Times New Roman"/>
          <w:sz w:val="26"/>
          <w:szCs w:val="26"/>
        </w:rPr>
        <w:t>tích</w:t>
      </w:r>
      <w:r w:rsidRPr="00B829B2">
        <w:rPr>
          <w:rFonts w:ascii="Times New Roman" w:eastAsia="Times New Roman" w:hAnsi="Times New Roman" w:cs="Times New Roman"/>
          <w:sz w:val="26"/>
          <w:szCs w:val="26"/>
        </w:rPr>
        <w:t xml:space="preserve"> mà dựa trên các thông số chính của tàu: L, B, D.</w:t>
      </w:r>
    </w:p>
    <w:p w:rsidR="00C5537C" w:rsidRPr="00B829B2" w:rsidRDefault="00C5537C" w:rsidP="00B829B2">
      <w:pPr>
        <w:pStyle w:val="ListParagraph"/>
        <w:numPr>
          <w:ilvl w:val="0"/>
          <w:numId w:val="4"/>
        </w:numPr>
        <w:spacing w:before="120" w:after="120" w:line="240" w:lineRule="auto"/>
        <w:jc w:val="both"/>
        <w:rPr>
          <w:rFonts w:ascii="Times New Roman" w:eastAsia="Times New Roman" w:hAnsi="Times New Roman" w:cs="Times New Roman"/>
          <w:sz w:val="26"/>
          <w:szCs w:val="26"/>
        </w:rPr>
      </w:pPr>
      <w:r w:rsidRPr="00B829B2">
        <w:rPr>
          <w:rFonts w:ascii="Times New Roman" w:eastAsia="Times New Roman" w:hAnsi="Times New Roman" w:cs="Times New Roman"/>
          <w:sz w:val="26"/>
          <w:szCs w:val="26"/>
        </w:rPr>
        <w:t xml:space="preserve">Hiệp hội </w:t>
      </w:r>
      <w:r w:rsidR="00B829B2">
        <w:rPr>
          <w:rFonts w:ascii="Times New Roman" w:eastAsia="Times New Roman" w:hAnsi="Times New Roman" w:cs="Times New Roman"/>
          <w:sz w:val="26"/>
          <w:szCs w:val="26"/>
        </w:rPr>
        <w:t>đăng kiểm</w:t>
      </w:r>
      <w:r w:rsidRPr="00B829B2">
        <w:rPr>
          <w:rFonts w:ascii="Times New Roman" w:eastAsia="Times New Roman" w:hAnsi="Times New Roman" w:cs="Times New Roman"/>
          <w:sz w:val="26"/>
          <w:szCs w:val="26"/>
        </w:rPr>
        <w:t xml:space="preserve"> đầu tiên công bố Quy tắc </w:t>
      </w:r>
      <w:r w:rsidR="00B829B2">
        <w:rPr>
          <w:rFonts w:ascii="Times New Roman" w:eastAsia="Times New Roman" w:hAnsi="Times New Roman" w:cs="Times New Roman"/>
          <w:sz w:val="26"/>
          <w:szCs w:val="26"/>
        </w:rPr>
        <w:t xml:space="preserve">về </w:t>
      </w:r>
      <w:r w:rsidRPr="00B829B2">
        <w:rPr>
          <w:rFonts w:ascii="Times New Roman" w:eastAsia="Times New Roman" w:hAnsi="Times New Roman" w:cs="Times New Roman"/>
          <w:sz w:val="26"/>
          <w:szCs w:val="26"/>
        </w:rPr>
        <w:t>hàn.</w:t>
      </w:r>
    </w:p>
    <w:p w:rsidR="00C5537C" w:rsidRPr="00B829B2" w:rsidRDefault="00C5537C" w:rsidP="00B829B2">
      <w:pPr>
        <w:pStyle w:val="ListParagraph"/>
        <w:numPr>
          <w:ilvl w:val="0"/>
          <w:numId w:val="4"/>
        </w:numPr>
        <w:spacing w:before="120" w:after="120" w:line="240" w:lineRule="auto"/>
        <w:jc w:val="both"/>
        <w:rPr>
          <w:rFonts w:ascii="Times New Roman" w:eastAsia="Times New Roman" w:hAnsi="Times New Roman" w:cs="Times New Roman"/>
          <w:sz w:val="26"/>
          <w:szCs w:val="26"/>
        </w:rPr>
      </w:pPr>
      <w:r w:rsidRPr="00B829B2">
        <w:rPr>
          <w:rFonts w:ascii="Times New Roman" w:eastAsia="Times New Roman" w:hAnsi="Times New Roman" w:cs="Times New Roman"/>
          <w:sz w:val="26"/>
          <w:szCs w:val="26"/>
        </w:rPr>
        <w:t xml:space="preserve">Hiệp hội </w:t>
      </w:r>
      <w:r w:rsidR="009C7697">
        <w:rPr>
          <w:rFonts w:ascii="Times New Roman" w:eastAsia="Times New Roman" w:hAnsi="Times New Roman" w:cs="Times New Roman"/>
          <w:sz w:val="26"/>
          <w:szCs w:val="26"/>
        </w:rPr>
        <w:t>đăng kiểm</w:t>
      </w:r>
      <w:r w:rsidR="009C7697" w:rsidRPr="00B829B2">
        <w:rPr>
          <w:rFonts w:ascii="Times New Roman" w:eastAsia="Times New Roman" w:hAnsi="Times New Roman" w:cs="Times New Roman"/>
          <w:sz w:val="26"/>
          <w:szCs w:val="26"/>
        </w:rPr>
        <w:t xml:space="preserve"> </w:t>
      </w:r>
      <w:r w:rsidRPr="00B829B2">
        <w:rPr>
          <w:rFonts w:ascii="Times New Roman" w:eastAsia="Times New Roman" w:hAnsi="Times New Roman" w:cs="Times New Roman"/>
          <w:sz w:val="26"/>
          <w:szCs w:val="26"/>
        </w:rPr>
        <w:t>đầu tiên công bố Quy tắc cho nắp hầm bằng thép.</w:t>
      </w:r>
    </w:p>
    <w:p w:rsidR="00C5537C" w:rsidRPr="00B829B2" w:rsidRDefault="00C5537C" w:rsidP="00B829B2">
      <w:pPr>
        <w:pStyle w:val="ListParagraph"/>
        <w:numPr>
          <w:ilvl w:val="0"/>
          <w:numId w:val="4"/>
        </w:numPr>
        <w:spacing w:before="120" w:after="120" w:line="240" w:lineRule="auto"/>
        <w:jc w:val="both"/>
        <w:rPr>
          <w:rFonts w:ascii="Times New Roman" w:eastAsia="Times New Roman" w:hAnsi="Times New Roman" w:cs="Times New Roman"/>
          <w:sz w:val="26"/>
          <w:szCs w:val="26"/>
        </w:rPr>
      </w:pPr>
      <w:r w:rsidRPr="00B829B2">
        <w:rPr>
          <w:rFonts w:ascii="Times New Roman" w:eastAsia="Times New Roman" w:hAnsi="Times New Roman" w:cs="Times New Roman"/>
          <w:sz w:val="26"/>
          <w:szCs w:val="26"/>
        </w:rPr>
        <w:t xml:space="preserve">Hiệp hội </w:t>
      </w:r>
      <w:r w:rsidR="009C7697">
        <w:rPr>
          <w:rFonts w:ascii="Times New Roman" w:eastAsia="Times New Roman" w:hAnsi="Times New Roman" w:cs="Times New Roman"/>
          <w:sz w:val="26"/>
          <w:szCs w:val="26"/>
        </w:rPr>
        <w:t>đăng kiểm</w:t>
      </w:r>
      <w:r w:rsidR="009C7697" w:rsidRPr="00B829B2">
        <w:rPr>
          <w:rFonts w:ascii="Times New Roman" w:eastAsia="Times New Roman" w:hAnsi="Times New Roman" w:cs="Times New Roman"/>
          <w:sz w:val="26"/>
          <w:szCs w:val="26"/>
        </w:rPr>
        <w:t xml:space="preserve"> </w:t>
      </w:r>
      <w:r w:rsidRPr="00B829B2">
        <w:rPr>
          <w:rFonts w:ascii="Times New Roman" w:eastAsia="Times New Roman" w:hAnsi="Times New Roman" w:cs="Times New Roman"/>
          <w:sz w:val="26"/>
          <w:szCs w:val="26"/>
        </w:rPr>
        <w:t>đầu tiên công bố Quy tắc cho không gian máy móc không có người trông coi.</w:t>
      </w:r>
    </w:p>
    <w:p w:rsidR="00C5537C" w:rsidRPr="00B829B2" w:rsidRDefault="00C5537C" w:rsidP="00B829B2">
      <w:pPr>
        <w:pStyle w:val="ListParagraph"/>
        <w:numPr>
          <w:ilvl w:val="0"/>
          <w:numId w:val="4"/>
        </w:numPr>
        <w:spacing w:before="120" w:after="120" w:line="240" w:lineRule="auto"/>
        <w:jc w:val="both"/>
        <w:rPr>
          <w:rFonts w:ascii="Times New Roman" w:eastAsia="Times New Roman" w:hAnsi="Times New Roman" w:cs="Times New Roman"/>
          <w:sz w:val="26"/>
          <w:szCs w:val="26"/>
        </w:rPr>
      </w:pPr>
      <w:r w:rsidRPr="00B829B2">
        <w:rPr>
          <w:rFonts w:ascii="Times New Roman" w:eastAsia="Times New Roman" w:hAnsi="Times New Roman" w:cs="Times New Roman"/>
          <w:sz w:val="26"/>
          <w:szCs w:val="26"/>
        </w:rPr>
        <w:t xml:space="preserve">Giai đoạn </w:t>
      </w:r>
      <w:r w:rsidR="009C7697">
        <w:rPr>
          <w:rFonts w:ascii="Times New Roman" w:eastAsia="Times New Roman" w:hAnsi="Times New Roman" w:cs="Times New Roman"/>
          <w:sz w:val="26"/>
          <w:szCs w:val="26"/>
        </w:rPr>
        <w:t>đăng kiểm</w:t>
      </w:r>
      <w:r w:rsidR="009C7697" w:rsidRPr="00B829B2">
        <w:rPr>
          <w:rFonts w:ascii="Times New Roman" w:eastAsia="Times New Roman" w:hAnsi="Times New Roman" w:cs="Times New Roman"/>
          <w:sz w:val="26"/>
          <w:szCs w:val="26"/>
        </w:rPr>
        <w:t xml:space="preserve"> </w:t>
      </w:r>
      <w:r w:rsidRPr="00B829B2">
        <w:rPr>
          <w:rFonts w:ascii="Times New Roman" w:eastAsia="Times New Roman" w:hAnsi="Times New Roman" w:cs="Times New Roman"/>
          <w:sz w:val="26"/>
          <w:szCs w:val="26"/>
        </w:rPr>
        <w:t xml:space="preserve">6 năm đã được </w:t>
      </w:r>
      <w:r w:rsidR="009C7697">
        <w:rPr>
          <w:rFonts w:ascii="Times New Roman" w:eastAsia="Times New Roman" w:hAnsi="Times New Roman" w:cs="Times New Roman"/>
          <w:sz w:val="26"/>
          <w:szCs w:val="26"/>
        </w:rPr>
        <w:t>đưa ra</w:t>
      </w:r>
      <w:r w:rsidRPr="00B829B2">
        <w:rPr>
          <w:rFonts w:ascii="Times New Roman" w:eastAsia="Times New Roman" w:hAnsi="Times New Roman" w:cs="Times New Roman"/>
          <w:sz w:val="26"/>
          <w:szCs w:val="26"/>
        </w:rPr>
        <w:t xml:space="preserve"> vào những năm 40 cho các tàu đánh cá.</w:t>
      </w:r>
    </w:p>
    <w:p w:rsidR="00C5537C" w:rsidRPr="00B829B2" w:rsidRDefault="00C5537C" w:rsidP="00B829B2">
      <w:pPr>
        <w:pStyle w:val="ListParagraph"/>
        <w:numPr>
          <w:ilvl w:val="0"/>
          <w:numId w:val="4"/>
        </w:numPr>
        <w:spacing w:before="120" w:after="120" w:line="240" w:lineRule="auto"/>
        <w:jc w:val="both"/>
        <w:rPr>
          <w:rFonts w:ascii="Times New Roman" w:eastAsia="Times New Roman" w:hAnsi="Times New Roman" w:cs="Times New Roman"/>
          <w:sz w:val="26"/>
          <w:szCs w:val="26"/>
        </w:rPr>
      </w:pPr>
      <w:r w:rsidRPr="00B829B2">
        <w:rPr>
          <w:rFonts w:ascii="Times New Roman" w:eastAsia="Times New Roman" w:hAnsi="Times New Roman" w:cs="Times New Roman"/>
          <w:sz w:val="26"/>
          <w:szCs w:val="26"/>
        </w:rPr>
        <w:t xml:space="preserve">Hiệp hội đầu tiên </w:t>
      </w:r>
      <w:r w:rsidR="009C7697">
        <w:rPr>
          <w:rFonts w:ascii="Times New Roman" w:eastAsia="Times New Roman" w:hAnsi="Times New Roman" w:cs="Times New Roman"/>
          <w:sz w:val="26"/>
          <w:szCs w:val="26"/>
        </w:rPr>
        <w:t>đăng kiểm</w:t>
      </w:r>
      <w:r w:rsidR="009C7697" w:rsidRPr="00B829B2">
        <w:rPr>
          <w:rFonts w:ascii="Times New Roman" w:eastAsia="Times New Roman" w:hAnsi="Times New Roman" w:cs="Times New Roman"/>
          <w:sz w:val="26"/>
          <w:szCs w:val="26"/>
        </w:rPr>
        <w:t xml:space="preserve"> </w:t>
      </w:r>
      <w:r w:rsidR="009C7697">
        <w:rPr>
          <w:rFonts w:ascii="Times New Roman" w:eastAsia="Times New Roman" w:hAnsi="Times New Roman" w:cs="Times New Roman"/>
          <w:sz w:val="26"/>
          <w:szCs w:val="26"/>
        </w:rPr>
        <w:t xml:space="preserve">cho </w:t>
      </w:r>
      <w:r w:rsidRPr="00B829B2">
        <w:rPr>
          <w:rFonts w:ascii="Times New Roman" w:eastAsia="Times New Roman" w:hAnsi="Times New Roman" w:cs="Times New Roman"/>
          <w:sz w:val="26"/>
          <w:szCs w:val="26"/>
        </w:rPr>
        <w:t>tàu ngầm hải quân.</w:t>
      </w:r>
    </w:p>
    <w:p w:rsidR="00A6789C" w:rsidRPr="00A6789C" w:rsidRDefault="00A6789C" w:rsidP="009C7697">
      <w:pPr>
        <w:spacing w:after="120" w:line="240" w:lineRule="auto"/>
        <w:jc w:val="center"/>
        <w:rPr>
          <w:rFonts w:ascii="Merriweather Sans" w:eastAsia="Times New Roman" w:hAnsi="Merriweather Sans" w:cs="Times New Roman"/>
          <w:color w:val="222222"/>
          <w:sz w:val="23"/>
          <w:szCs w:val="23"/>
        </w:rPr>
      </w:pPr>
      <w:r w:rsidRPr="00A6789C">
        <w:rPr>
          <w:rFonts w:ascii="Merriweather Sans" w:eastAsia="Times New Roman" w:hAnsi="Merriweather Sans" w:cs="Times New Roman"/>
          <w:noProof/>
          <w:color w:val="222222"/>
          <w:sz w:val="23"/>
          <w:szCs w:val="23"/>
        </w:rPr>
        <w:drawing>
          <wp:inline distT="0" distB="0" distL="0" distR="0">
            <wp:extent cx="2702431" cy="3602679"/>
            <wp:effectExtent l="0" t="0" r="3175" b="0"/>
            <wp:docPr id="4" name="Picture 4" descr="https://maritimecyprus.com/wp-content/uploads/2023/03/GL-class-rul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ritimecyprus.com/wp-content/uploads/2023/03/GL-class-rule-book.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4339" cy="3631885"/>
                    </a:xfrm>
                    <a:prstGeom prst="rect">
                      <a:avLst/>
                    </a:prstGeom>
                    <a:noFill/>
                    <a:ln>
                      <a:noFill/>
                    </a:ln>
                  </pic:spPr>
                </pic:pic>
              </a:graphicData>
            </a:graphic>
          </wp:inline>
        </w:drawing>
      </w:r>
    </w:p>
    <w:p w:rsidR="009C7697" w:rsidRPr="009C7697" w:rsidRDefault="009C7697" w:rsidP="009C7697">
      <w:pPr>
        <w:spacing w:before="120" w:after="120" w:line="240" w:lineRule="auto"/>
        <w:jc w:val="both"/>
        <w:rPr>
          <w:rFonts w:ascii="Times New Roman" w:eastAsia="Times New Roman" w:hAnsi="Times New Roman" w:cs="Times New Roman"/>
          <w:color w:val="222222"/>
          <w:sz w:val="26"/>
          <w:szCs w:val="26"/>
        </w:rPr>
      </w:pPr>
      <w:r w:rsidRPr="009C7697">
        <w:rPr>
          <w:rFonts w:ascii="Times New Roman" w:eastAsia="Times New Roman" w:hAnsi="Times New Roman" w:cs="Times New Roman"/>
          <w:color w:val="222222"/>
          <w:sz w:val="26"/>
          <w:szCs w:val="26"/>
        </w:rPr>
        <w:t xml:space="preserve">Công ty tiếp tục phát triển. Máy tính công suất lớn cho phép thiết kế và chế tạo những con tàu lớn hơn và hiện đại hơn. Tàu container được phát triển để đáp ứng nhu cầu </w:t>
      </w:r>
      <w:r>
        <w:rPr>
          <w:rFonts w:ascii="Times New Roman" w:eastAsia="Times New Roman" w:hAnsi="Times New Roman" w:cs="Times New Roman"/>
          <w:color w:val="222222"/>
          <w:sz w:val="26"/>
          <w:szCs w:val="26"/>
        </w:rPr>
        <w:t xml:space="preserve">về </w:t>
      </w:r>
      <w:r w:rsidRPr="009C7697">
        <w:rPr>
          <w:rFonts w:ascii="Times New Roman" w:eastAsia="Times New Roman" w:hAnsi="Times New Roman" w:cs="Times New Roman"/>
          <w:color w:val="222222"/>
          <w:sz w:val="26"/>
          <w:szCs w:val="26"/>
        </w:rPr>
        <w:t xml:space="preserve">hàng hóa ngày càng tăng của người tiêu dùng. Những con tàu hở này dễ bị xoắn hơn nhiều và là một thách thức đặc biệt đối với các kỹ sư thiết kế. GL đã đầu tư vào nghiên cứu dẫn đến các quy tắc </w:t>
      </w:r>
      <w:r>
        <w:rPr>
          <w:rFonts w:ascii="Times New Roman" w:eastAsia="Times New Roman" w:hAnsi="Times New Roman" w:cs="Times New Roman"/>
          <w:color w:val="222222"/>
          <w:sz w:val="26"/>
          <w:szCs w:val="26"/>
        </w:rPr>
        <w:t>đóng</w:t>
      </w:r>
      <w:r w:rsidRPr="009C7697">
        <w:rPr>
          <w:rFonts w:ascii="Times New Roman" w:eastAsia="Times New Roman" w:hAnsi="Times New Roman" w:cs="Times New Roman"/>
          <w:color w:val="222222"/>
          <w:sz w:val="26"/>
          <w:szCs w:val="26"/>
        </w:rPr>
        <w:t xml:space="preserve"> mới cho tàu container.</w:t>
      </w:r>
    </w:p>
    <w:p w:rsidR="009C7697" w:rsidRPr="009C7697" w:rsidRDefault="009C7697" w:rsidP="009C7697">
      <w:pPr>
        <w:spacing w:before="120" w:after="120" w:line="240"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N</w:t>
      </w:r>
      <w:r w:rsidRPr="009C7697">
        <w:rPr>
          <w:rFonts w:ascii="Times New Roman" w:eastAsia="Times New Roman" w:hAnsi="Times New Roman" w:cs="Times New Roman"/>
          <w:color w:val="222222"/>
          <w:sz w:val="26"/>
          <w:szCs w:val="26"/>
        </w:rPr>
        <w:t>gày 11 tháng 9 năm 1968, IACS được thành lập tại một cuộc họp tại văn phòng của Germanischer Lloyd ở Hamburg bởi:</w:t>
      </w:r>
    </w:p>
    <w:p w:rsidR="009C7697" w:rsidRPr="009C7697" w:rsidRDefault="009C7697" w:rsidP="009C7697">
      <w:pPr>
        <w:pStyle w:val="ListParagraph"/>
        <w:numPr>
          <w:ilvl w:val="0"/>
          <w:numId w:val="5"/>
        </w:numPr>
        <w:spacing w:before="120" w:after="120" w:line="240" w:lineRule="auto"/>
        <w:rPr>
          <w:rFonts w:ascii="Times New Roman" w:eastAsia="Times New Roman" w:hAnsi="Times New Roman" w:cs="Times New Roman"/>
          <w:color w:val="222222"/>
          <w:sz w:val="26"/>
          <w:szCs w:val="26"/>
        </w:rPr>
      </w:pPr>
      <w:r w:rsidRPr="009C7697">
        <w:rPr>
          <w:rFonts w:ascii="Times New Roman" w:eastAsia="Times New Roman" w:hAnsi="Times New Roman" w:cs="Times New Roman"/>
          <w:color w:val="222222"/>
          <w:sz w:val="26"/>
          <w:szCs w:val="26"/>
        </w:rPr>
        <w:t>Germanischer Lloyd</w:t>
      </w:r>
    </w:p>
    <w:p w:rsidR="009C7697" w:rsidRPr="009C7697" w:rsidRDefault="009C7697" w:rsidP="009C7697">
      <w:pPr>
        <w:pStyle w:val="ListParagraph"/>
        <w:numPr>
          <w:ilvl w:val="0"/>
          <w:numId w:val="5"/>
        </w:numPr>
        <w:spacing w:before="120" w:after="120" w:line="240" w:lineRule="auto"/>
        <w:rPr>
          <w:rFonts w:ascii="Times New Roman" w:eastAsia="Times New Roman" w:hAnsi="Times New Roman" w:cs="Times New Roman"/>
          <w:color w:val="222222"/>
          <w:sz w:val="26"/>
          <w:szCs w:val="26"/>
        </w:rPr>
      </w:pPr>
      <w:r w:rsidRPr="009C7697">
        <w:rPr>
          <w:rFonts w:ascii="Times New Roman" w:eastAsia="Times New Roman" w:hAnsi="Times New Roman" w:cs="Times New Roman"/>
          <w:color w:val="222222"/>
          <w:sz w:val="26"/>
          <w:szCs w:val="26"/>
        </w:rPr>
        <w:t>Cục Vận tải Biển Hoa Kỳ</w:t>
      </w:r>
    </w:p>
    <w:p w:rsidR="009C7697" w:rsidRPr="009C7697" w:rsidRDefault="009C7697" w:rsidP="009C7697">
      <w:pPr>
        <w:pStyle w:val="ListParagraph"/>
        <w:numPr>
          <w:ilvl w:val="0"/>
          <w:numId w:val="5"/>
        </w:numPr>
        <w:spacing w:before="120" w:after="120" w:line="240" w:lineRule="auto"/>
        <w:rPr>
          <w:rFonts w:ascii="Times New Roman" w:eastAsia="Times New Roman" w:hAnsi="Times New Roman" w:cs="Times New Roman"/>
          <w:color w:val="222222"/>
          <w:sz w:val="26"/>
          <w:szCs w:val="26"/>
        </w:rPr>
      </w:pPr>
      <w:r w:rsidRPr="009C7697">
        <w:rPr>
          <w:rFonts w:ascii="Times New Roman" w:eastAsia="Times New Roman" w:hAnsi="Times New Roman" w:cs="Times New Roman"/>
          <w:color w:val="222222"/>
          <w:sz w:val="26"/>
          <w:szCs w:val="26"/>
        </w:rPr>
        <w:t>Bureau Veritas</w:t>
      </w:r>
    </w:p>
    <w:p w:rsidR="009C7697" w:rsidRPr="009C7697" w:rsidRDefault="009C7697" w:rsidP="009C7697">
      <w:pPr>
        <w:pStyle w:val="ListParagraph"/>
        <w:numPr>
          <w:ilvl w:val="0"/>
          <w:numId w:val="5"/>
        </w:numPr>
        <w:spacing w:before="120" w:after="120" w:line="240" w:lineRule="auto"/>
        <w:rPr>
          <w:rFonts w:ascii="Times New Roman" w:eastAsia="Times New Roman" w:hAnsi="Times New Roman" w:cs="Times New Roman"/>
          <w:color w:val="222222"/>
          <w:sz w:val="26"/>
          <w:szCs w:val="26"/>
        </w:rPr>
      </w:pPr>
      <w:r w:rsidRPr="009C7697">
        <w:rPr>
          <w:rFonts w:ascii="Times New Roman" w:eastAsia="Times New Roman" w:hAnsi="Times New Roman" w:cs="Times New Roman"/>
          <w:color w:val="222222"/>
          <w:sz w:val="26"/>
          <w:szCs w:val="26"/>
        </w:rPr>
        <w:t>Det Norske Veritas</w:t>
      </w:r>
    </w:p>
    <w:p w:rsidR="009C7697" w:rsidRPr="009C7697" w:rsidRDefault="009C7697" w:rsidP="009C7697">
      <w:pPr>
        <w:pStyle w:val="ListParagraph"/>
        <w:numPr>
          <w:ilvl w:val="0"/>
          <w:numId w:val="5"/>
        </w:numPr>
        <w:spacing w:before="120" w:after="120" w:line="240" w:lineRule="auto"/>
        <w:rPr>
          <w:rFonts w:ascii="Times New Roman" w:eastAsia="Times New Roman" w:hAnsi="Times New Roman" w:cs="Times New Roman"/>
          <w:color w:val="222222"/>
          <w:sz w:val="26"/>
          <w:szCs w:val="26"/>
        </w:rPr>
      </w:pPr>
      <w:r w:rsidRPr="009C7697">
        <w:rPr>
          <w:rFonts w:ascii="Times New Roman" w:eastAsia="Times New Roman" w:hAnsi="Times New Roman" w:cs="Times New Roman"/>
          <w:color w:val="222222"/>
          <w:sz w:val="26"/>
          <w:szCs w:val="26"/>
        </w:rPr>
        <w:t>Lloyd’s Register of Shipping</w:t>
      </w:r>
    </w:p>
    <w:p w:rsidR="009C7697" w:rsidRDefault="009C7697" w:rsidP="009C7697">
      <w:pPr>
        <w:pStyle w:val="ListParagraph"/>
        <w:numPr>
          <w:ilvl w:val="0"/>
          <w:numId w:val="5"/>
        </w:numPr>
        <w:spacing w:before="120" w:after="120" w:line="240" w:lineRule="auto"/>
        <w:rPr>
          <w:rFonts w:ascii="Times New Roman" w:eastAsia="Times New Roman" w:hAnsi="Times New Roman" w:cs="Times New Roman"/>
          <w:color w:val="222222"/>
          <w:sz w:val="26"/>
          <w:szCs w:val="26"/>
        </w:rPr>
      </w:pPr>
      <w:r w:rsidRPr="009C7697">
        <w:rPr>
          <w:rFonts w:ascii="Times New Roman" w:eastAsia="Times New Roman" w:hAnsi="Times New Roman" w:cs="Times New Roman"/>
          <w:color w:val="222222"/>
          <w:sz w:val="26"/>
          <w:szCs w:val="26"/>
        </w:rPr>
        <w:t>Nippon Kaiji Kyokai</w:t>
      </w:r>
    </w:p>
    <w:p w:rsidR="00A6789C" w:rsidRPr="009C7697" w:rsidRDefault="00A6789C" w:rsidP="009C7697">
      <w:pPr>
        <w:pStyle w:val="ListParagraph"/>
        <w:numPr>
          <w:ilvl w:val="0"/>
          <w:numId w:val="5"/>
        </w:numPr>
        <w:spacing w:before="120" w:after="120" w:line="240" w:lineRule="auto"/>
        <w:rPr>
          <w:rFonts w:ascii="Times New Roman" w:eastAsia="Times New Roman" w:hAnsi="Times New Roman" w:cs="Times New Roman"/>
          <w:color w:val="222222"/>
          <w:sz w:val="26"/>
          <w:szCs w:val="26"/>
        </w:rPr>
      </w:pPr>
      <w:r w:rsidRPr="009C7697">
        <w:rPr>
          <w:rFonts w:ascii="Times New Roman" w:eastAsia="Times New Roman" w:hAnsi="Times New Roman" w:cs="Times New Roman"/>
          <w:color w:val="222222"/>
          <w:sz w:val="26"/>
          <w:szCs w:val="26"/>
        </w:rPr>
        <w:t>Registro Italiano Navale.</w:t>
      </w:r>
    </w:p>
    <w:p w:rsidR="009C7697" w:rsidRPr="009C7697" w:rsidRDefault="009C7697" w:rsidP="009C7697">
      <w:pPr>
        <w:spacing w:before="120" w:after="120" w:line="240" w:lineRule="auto"/>
        <w:jc w:val="both"/>
        <w:rPr>
          <w:rFonts w:ascii="Times New Roman" w:eastAsia="Times New Roman" w:hAnsi="Times New Roman" w:cs="Times New Roman"/>
          <w:color w:val="222222"/>
          <w:sz w:val="26"/>
          <w:szCs w:val="26"/>
        </w:rPr>
      </w:pPr>
      <w:r w:rsidRPr="009C7697">
        <w:rPr>
          <w:rFonts w:ascii="Times New Roman" w:eastAsia="Times New Roman" w:hAnsi="Times New Roman" w:cs="Times New Roman"/>
          <w:color w:val="222222"/>
          <w:sz w:val="26"/>
          <w:szCs w:val="26"/>
        </w:rPr>
        <w:t xml:space="preserve">Vào đầu những năm 1970, công nghệ ngoài khơi đã trở thành một lĩnh vực hoạt động quan trọng của Germanischer Lloyd. Năm 1973, thay mặt cho Bộ Nghiên cứu và Công nghệ </w:t>
      </w:r>
      <w:r w:rsidRPr="009C7697">
        <w:rPr>
          <w:rFonts w:ascii="Times New Roman" w:eastAsia="Times New Roman" w:hAnsi="Times New Roman" w:cs="Times New Roman"/>
          <w:color w:val="222222"/>
          <w:sz w:val="26"/>
          <w:szCs w:val="26"/>
        </w:rPr>
        <w:lastRenderedPageBreak/>
        <w:t xml:space="preserve">Liên bang Đức, </w:t>
      </w:r>
      <w:r>
        <w:rPr>
          <w:rFonts w:ascii="Times New Roman" w:eastAsia="Times New Roman" w:hAnsi="Times New Roman" w:cs="Times New Roman"/>
          <w:color w:val="222222"/>
          <w:sz w:val="26"/>
          <w:szCs w:val="26"/>
        </w:rPr>
        <w:t>GL</w:t>
      </w:r>
      <w:r w:rsidRPr="009C7697">
        <w:rPr>
          <w:rFonts w:ascii="Times New Roman" w:eastAsia="Times New Roman" w:hAnsi="Times New Roman" w:cs="Times New Roman"/>
          <w:color w:val="222222"/>
          <w:sz w:val="26"/>
          <w:szCs w:val="26"/>
        </w:rPr>
        <w:t xml:space="preserve"> đã </w:t>
      </w:r>
      <w:r>
        <w:rPr>
          <w:rFonts w:ascii="Times New Roman" w:eastAsia="Times New Roman" w:hAnsi="Times New Roman" w:cs="Times New Roman"/>
          <w:color w:val="222222"/>
          <w:sz w:val="26"/>
          <w:szCs w:val="26"/>
        </w:rPr>
        <w:t xml:space="preserve">giám định </w:t>
      </w:r>
      <w:r w:rsidRPr="009C7697">
        <w:rPr>
          <w:rFonts w:ascii="Times New Roman" w:eastAsia="Times New Roman" w:hAnsi="Times New Roman" w:cs="Times New Roman"/>
          <w:color w:val="222222"/>
          <w:sz w:val="26"/>
          <w:szCs w:val="26"/>
        </w:rPr>
        <w:t xml:space="preserve">việc </w:t>
      </w:r>
      <w:r>
        <w:rPr>
          <w:rFonts w:ascii="Times New Roman" w:eastAsia="Times New Roman" w:hAnsi="Times New Roman" w:cs="Times New Roman"/>
          <w:color w:val="222222"/>
          <w:sz w:val="26"/>
          <w:szCs w:val="26"/>
        </w:rPr>
        <w:t>chế tạo</w:t>
      </w:r>
      <w:r w:rsidRPr="009C7697">
        <w:rPr>
          <w:rFonts w:ascii="Times New Roman" w:eastAsia="Times New Roman" w:hAnsi="Times New Roman" w:cs="Times New Roman"/>
          <w:color w:val="222222"/>
          <w:sz w:val="26"/>
          <w:szCs w:val="26"/>
        </w:rPr>
        <w:t xml:space="preserve"> </w:t>
      </w:r>
      <w:r>
        <w:rPr>
          <w:rFonts w:ascii="Times New Roman" w:eastAsia="Times New Roman" w:hAnsi="Times New Roman" w:cs="Times New Roman"/>
          <w:color w:val="222222"/>
          <w:sz w:val="26"/>
          <w:szCs w:val="26"/>
        </w:rPr>
        <w:t>giàn</w:t>
      </w:r>
      <w:r w:rsidRPr="009C7697">
        <w:rPr>
          <w:rFonts w:ascii="Times New Roman" w:eastAsia="Times New Roman" w:hAnsi="Times New Roman" w:cs="Times New Roman"/>
          <w:color w:val="222222"/>
          <w:sz w:val="26"/>
          <w:szCs w:val="26"/>
        </w:rPr>
        <w:t xml:space="preserve"> nghiên cứu Biển Bắc và giám sát việc lắp đặt </w:t>
      </w:r>
      <w:r>
        <w:rPr>
          <w:rFonts w:ascii="Times New Roman" w:eastAsia="Times New Roman" w:hAnsi="Times New Roman" w:cs="Times New Roman"/>
          <w:color w:val="222222"/>
          <w:sz w:val="26"/>
          <w:szCs w:val="26"/>
        </w:rPr>
        <w:t xml:space="preserve">nó </w:t>
      </w:r>
      <w:r w:rsidRPr="009C7697">
        <w:rPr>
          <w:rFonts w:ascii="Times New Roman" w:eastAsia="Times New Roman" w:hAnsi="Times New Roman" w:cs="Times New Roman"/>
          <w:color w:val="222222"/>
          <w:sz w:val="26"/>
          <w:szCs w:val="26"/>
        </w:rPr>
        <w:t xml:space="preserve">ở phía tây bắc đảo Helgoland của Đức. GL cũng tham gia vào việc lắp đặt các </w:t>
      </w:r>
      <w:r>
        <w:rPr>
          <w:rFonts w:ascii="Times New Roman" w:eastAsia="Times New Roman" w:hAnsi="Times New Roman" w:cs="Times New Roman"/>
          <w:color w:val="222222"/>
          <w:sz w:val="26"/>
          <w:szCs w:val="26"/>
        </w:rPr>
        <w:t>giàn</w:t>
      </w:r>
      <w:r w:rsidRPr="009C7697">
        <w:rPr>
          <w:rFonts w:ascii="Times New Roman" w:eastAsia="Times New Roman" w:hAnsi="Times New Roman" w:cs="Times New Roman"/>
          <w:color w:val="222222"/>
          <w:sz w:val="26"/>
          <w:szCs w:val="26"/>
        </w:rPr>
        <w:t xml:space="preserve"> sản xuất dầu đầu tiên của Đức là Mittelplate, nằm ở Biển Wadden và </w:t>
      </w:r>
      <w:r>
        <w:rPr>
          <w:rFonts w:ascii="Times New Roman" w:eastAsia="Times New Roman" w:hAnsi="Times New Roman" w:cs="Times New Roman"/>
          <w:color w:val="222222"/>
          <w:sz w:val="26"/>
          <w:szCs w:val="26"/>
        </w:rPr>
        <w:t xml:space="preserve">giàn </w:t>
      </w:r>
      <w:r w:rsidRPr="009C7697">
        <w:rPr>
          <w:rFonts w:ascii="Times New Roman" w:eastAsia="Times New Roman" w:hAnsi="Times New Roman" w:cs="Times New Roman"/>
          <w:color w:val="222222"/>
          <w:sz w:val="26"/>
          <w:szCs w:val="26"/>
        </w:rPr>
        <w:t>Schwedeneck, nằm ở Biển Baltic tại Vịnh Đức ngoài khơi Kiel, Đức.</w:t>
      </w:r>
    </w:p>
    <w:p w:rsidR="009C7697" w:rsidRPr="009C7697" w:rsidRDefault="009C7697" w:rsidP="009C7697">
      <w:pPr>
        <w:spacing w:before="120" w:after="120" w:line="240" w:lineRule="auto"/>
        <w:jc w:val="both"/>
        <w:rPr>
          <w:rFonts w:ascii="Times New Roman" w:eastAsia="Times New Roman" w:hAnsi="Times New Roman" w:cs="Times New Roman"/>
          <w:color w:val="222222"/>
          <w:sz w:val="26"/>
          <w:szCs w:val="26"/>
        </w:rPr>
      </w:pPr>
      <w:r w:rsidRPr="009C7697">
        <w:rPr>
          <w:rFonts w:ascii="Times New Roman" w:eastAsia="Times New Roman" w:hAnsi="Times New Roman" w:cs="Times New Roman"/>
          <w:color w:val="222222"/>
          <w:sz w:val="26"/>
          <w:szCs w:val="26"/>
        </w:rPr>
        <w:t xml:space="preserve">Năm 1977, năng lượng gió được giới thiệu như một phân khúc kinh doanh mới. Sự đa dạng hóa này, ban đầu bắt đầu vào những năm 1960, đã </w:t>
      </w:r>
      <w:r>
        <w:rPr>
          <w:rFonts w:ascii="Times New Roman" w:eastAsia="Times New Roman" w:hAnsi="Times New Roman" w:cs="Times New Roman"/>
          <w:color w:val="222222"/>
          <w:sz w:val="26"/>
          <w:szCs w:val="26"/>
        </w:rPr>
        <w:t xml:space="preserve">giúp </w:t>
      </w:r>
      <w:r w:rsidRPr="009C7697">
        <w:rPr>
          <w:rFonts w:ascii="Times New Roman" w:eastAsia="Times New Roman" w:hAnsi="Times New Roman" w:cs="Times New Roman"/>
          <w:color w:val="222222"/>
          <w:sz w:val="26"/>
          <w:szCs w:val="26"/>
        </w:rPr>
        <w:t xml:space="preserve">ngăn </w:t>
      </w:r>
      <w:r>
        <w:rPr>
          <w:rFonts w:ascii="Times New Roman" w:eastAsia="Times New Roman" w:hAnsi="Times New Roman" w:cs="Times New Roman"/>
          <w:color w:val="222222"/>
          <w:sz w:val="26"/>
          <w:szCs w:val="26"/>
        </w:rPr>
        <w:t>GL</w:t>
      </w:r>
      <w:r w:rsidRPr="009C7697">
        <w:rPr>
          <w:rFonts w:ascii="Times New Roman" w:eastAsia="Times New Roman" w:hAnsi="Times New Roman" w:cs="Times New Roman"/>
          <w:color w:val="222222"/>
          <w:sz w:val="26"/>
          <w:szCs w:val="26"/>
        </w:rPr>
        <w:t xml:space="preserve"> bị ảnh hưởng nghiêm trọng bởi cuộc khủng hoảng đóng tàu vào nửa đầu những năm 1980.</w:t>
      </w:r>
    </w:p>
    <w:p w:rsidR="009C7697" w:rsidRDefault="009C7697" w:rsidP="009C7697">
      <w:pPr>
        <w:spacing w:before="120" w:after="120" w:line="240"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M</w:t>
      </w:r>
      <w:r w:rsidRPr="009C7697">
        <w:rPr>
          <w:rFonts w:ascii="Times New Roman" w:eastAsia="Times New Roman" w:hAnsi="Times New Roman" w:cs="Times New Roman"/>
          <w:color w:val="222222"/>
          <w:sz w:val="26"/>
          <w:szCs w:val="26"/>
        </w:rPr>
        <w:t xml:space="preserve">ùa thu năm 2006, đối thủ </w:t>
      </w:r>
      <w:r>
        <w:rPr>
          <w:rFonts w:ascii="Times New Roman" w:eastAsia="Times New Roman" w:hAnsi="Times New Roman" w:cs="Times New Roman"/>
          <w:color w:val="222222"/>
          <w:sz w:val="26"/>
          <w:szCs w:val="26"/>
        </w:rPr>
        <w:t>từ</w:t>
      </w:r>
      <w:r w:rsidRPr="009C7697">
        <w:rPr>
          <w:rFonts w:ascii="Times New Roman" w:eastAsia="Times New Roman" w:hAnsi="Times New Roman" w:cs="Times New Roman"/>
          <w:color w:val="222222"/>
          <w:sz w:val="26"/>
          <w:szCs w:val="26"/>
        </w:rPr>
        <w:t xml:space="preserve"> Pháp là Bureau Veritas đã đưa ra một nỗ lực </w:t>
      </w:r>
      <w:r>
        <w:rPr>
          <w:rFonts w:ascii="Times New Roman" w:eastAsia="Times New Roman" w:hAnsi="Times New Roman" w:cs="Times New Roman"/>
          <w:color w:val="222222"/>
          <w:sz w:val="26"/>
          <w:szCs w:val="26"/>
        </w:rPr>
        <w:t>thâu tóm</w:t>
      </w:r>
      <w:r w:rsidRPr="009C7697">
        <w:rPr>
          <w:rFonts w:ascii="Times New Roman" w:eastAsia="Times New Roman" w:hAnsi="Times New Roman" w:cs="Times New Roman"/>
          <w:color w:val="222222"/>
          <w:sz w:val="26"/>
          <w:szCs w:val="26"/>
        </w:rPr>
        <w:t xml:space="preserve"> thù địch, nhưng nỗ lực này đã bị đánh bại thông qua sự hỗ trợ của doanh nhân Günter Herz có trụ sở tại Hamburg. Sau đó, 100% cổ phần của công ty đã được công ty gia đình Herz Mayfair mua lại.</w:t>
      </w:r>
    </w:p>
    <w:p w:rsidR="00E916BA" w:rsidRDefault="00E916BA" w:rsidP="009C7697">
      <w:pPr>
        <w:spacing w:before="120" w:after="120" w:line="240" w:lineRule="auto"/>
        <w:jc w:val="both"/>
        <w:rPr>
          <w:rFonts w:ascii="Times New Roman" w:eastAsia="Times New Roman" w:hAnsi="Times New Roman" w:cs="Times New Roman"/>
          <w:color w:val="222222"/>
          <w:sz w:val="26"/>
          <w:szCs w:val="26"/>
        </w:rPr>
      </w:pPr>
      <w:r w:rsidRPr="00E916BA">
        <w:rPr>
          <w:rFonts w:ascii="Times New Roman" w:eastAsia="Times New Roman" w:hAnsi="Times New Roman" w:cs="Times New Roman"/>
          <w:color w:val="222222"/>
          <w:sz w:val="26"/>
          <w:szCs w:val="26"/>
        </w:rPr>
        <w:drawing>
          <wp:inline distT="0" distB="0" distL="0" distR="0" wp14:anchorId="522364E4" wp14:editId="33926DBE">
            <wp:extent cx="5943600" cy="33699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69945"/>
                    </a:xfrm>
                    <a:prstGeom prst="rect">
                      <a:avLst/>
                    </a:prstGeom>
                  </pic:spPr>
                </pic:pic>
              </a:graphicData>
            </a:graphic>
          </wp:inline>
        </w:drawing>
      </w:r>
    </w:p>
    <w:p w:rsidR="00E916BA" w:rsidRDefault="00D56424" w:rsidP="009C7697">
      <w:pPr>
        <w:spacing w:before="120" w:after="120" w:line="240" w:lineRule="auto"/>
        <w:jc w:val="both"/>
        <w:rPr>
          <w:rFonts w:ascii="Times New Roman" w:eastAsia="Times New Roman" w:hAnsi="Times New Roman" w:cs="Times New Roman"/>
          <w:color w:val="222222"/>
          <w:sz w:val="26"/>
          <w:szCs w:val="26"/>
        </w:rPr>
      </w:pPr>
      <w:hyperlink r:id="rId23" w:history="1">
        <w:r w:rsidRPr="00564E78">
          <w:rPr>
            <w:rStyle w:val="Hyperlink"/>
            <w:rFonts w:ascii="Times New Roman" w:eastAsia="Times New Roman" w:hAnsi="Times New Roman" w:cs="Times New Roman"/>
            <w:sz w:val="26"/>
            <w:szCs w:val="26"/>
          </w:rPr>
          <w:t>https://youtu.be/BWJcO7Jafwg</w:t>
        </w:r>
      </w:hyperlink>
    </w:p>
    <w:p w:rsidR="009C7697" w:rsidRPr="009C7697" w:rsidRDefault="009C7697" w:rsidP="009C7697">
      <w:pPr>
        <w:spacing w:before="120" w:after="120" w:line="240" w:lineRule="auto"/>
        <w:jc w:val="both"/>
        <w:rPr>
          <w:rFonts w:ascii="Times New Roman" w:eastAsia="Times New Roman" w:hAnsi="Times New Roman" w:cs="Times New Roman"/>
          <w:b/>
          <w:color w:val="222222"/>
          <w:sz w:val="26"/>
          <w:szCs w:val="26"/>
        </w:rPr>
      </w:pPr>
      <w:r w:rsidRPr="009C7697">
        <w:rPr>
          <w:rFonts w:ascii="Times New Roman" w:eastAsia="Times New Roman" w:hAnsi="Times New Roman" w:cs="Times New Roman"/>
          <w:b/>
          <w:color w:val="222222"/>
          <w:sz w:val="26"/>
          <w:szCs w:val="26"/>
        </w:rPr>
        <w:t>Tình trạng trước khi sáp nhập</w:t>
      </w:r>
    </w:p>
    <w:p w:rsidR="009C7697" w:rsidRPr="009C7697" w:rsidRDefault="009C7697" w:rsidP="009C7697">
      <w:pPr>
        <w:spacing w:before="120" w:after="120" w:line="240" w:lineRule="auto"/>
        <w:jc w:val="both"/>
        <w:rPr>
          <w:rFonts w:ascii="Times New Roman" w:eastAsia="Times New Roman" w:hAnsi="Times New Roman" w:cs="Times New Roman"/>
          <w:color w:val="222222"/>
          <w:sz w:val="26"/>
          <w:szCs w:val="26"/>
        </w:rPr>
      </w:pPr>
      <w:r w:rsidRPr="009C7697">
        <w:rPr>
          <w:rFonts w:ascii="Times New Roman" w:eastAsia="Times New Roman" w:hAnsi="Times New Roman" w:cs="Times New Roman"/>
          <w:color w:val="222222"/>
          <w:sz w:val="26"/>
          <w:szCs w:val="26"/>
        </w:rPr>
        <w:t xml:space="preserve">Trước khi sáp nhập, Germanischer Lloyd phục vụ từ mạng lưới toàn cầu gồm 176 văn phòng tại 80 quốc gia, tuyển dụng khoảng 7.000 người. 124 quốc gia </w:t>
      </w:r>
      <w:r w:rsidR="005510D4">
        <w:rPr>
          <w:rFonts w:ascii="Times New Roman" w:eastAsia="Times New Roman" w:hAnsi="Times New Roman" w:cs="Times New Roman"/>
          <w:color w:val="222222"/>
          <w:sz w:val="26"/>
          <w:szCs w:val="26"/>
        </w:rPr>
        <w:t>đăng ký tàu</w:t>
      </w:r>
      <w:r w:rsidRPr="009C7697">
        <w:rPr>
          <w:rFonts w:ascii="Times New Roman" w:eastAsia="Times New Roman" w:hAnsi="Times New Roman" w:cs="Times New Roman"/>
          <w:color w:val="222222"/>
          <w:sz w:val="26"/>
          <w:szCs w:val="26"/>
        </w:rPr>
        <w:t xml:space="preserve"> đã ủy quyền cho GL thực hiện các nhiệm vụ theo luật định. Theo số liệu thống kê của Port State Control được công bố hàng năm, Germanischer Lloyd đã được xếp hạng trong số các hiệp hội </w:t>
      </w:r>
      <w:r w:rsidR="005510D4">
        <w:rPr>
          <w:rFonts w:ascii="Times New Roman" w:eastAsia="Times New Roman" w:hAnsi="Times New Roman" w:cs="Times New Roman"/>
          <w:color w:val="222222"/>
          <w:sz w:val="26"/>
          <w:szCs w:val="26"/>
        </w:rPr>
        <w:t>đăng kiểm</w:t>
      </w:r>
      <w:r w:rsidRPr="009C7697">
        <w:rPr>
          <w:rFonts w:ascii="Times New Roman" w:eastAsia="Times New Roman" w:hAnsi="Times New Roman" w:cs="Times New Roman"/>
          <w:color w:val="222222"/>
          <w:sz w:val="26"/>
          <w:szCs w:val="26"/>
        </w:rPr>
        <w:t xml:space="preserve"> hàng đầu.</w:t>
      </w:r>
    </w:p>
    <w:p w:rsidR="009C7697" w:rsidRPr="009C7697" w:rsidRDefault="009C7697" w:rsidP="009C7697">
      <w:pPr>
        <w:spacing w:before="120" w:after="120" w:line="240" w:lineRule="auto"/>
        <w:jc w:val="both"/>
        <w:rPr>
          <w:rFonts w:ascii="Times New Roman" w:eastAsia="Times New Roman" w:hAnsi="Times New Roman" w:cs="Times New Roman"/>
          <w:color w:val="222222"/>
          <w:sz w:val="26"/>
          <w:szCs w:val="26"/>
        </w:rPr>
      </w:pPr>
      <w:r w:rsidRPr="009C7697">
        <w:rPr>
          <w:rFonts w:ascii="Times New Roman" w:eastAsia="Times New Roman" w:hAnsi="Times New Roman" w:cs="Times New Roman"/>
          <w:color w:val="222222"/>
          <w:sz w:val="26"/>
          <w:szCs w:val="26"/>
        </w:rPr>
        <w:t>Sau khi Günter Herz mua lại GL, tập đoàn đã mở rộng hoạt động của mình trên thị trường năng lượng. Việc mua lại Advantica (Anh) vào năm 2007 và Trident (Malaysia) vào năm 2008 đã mở rộng phạm vi dịch vụ sang các dịch vụ tư vấn trong lĩnh vực dầu khí. Việc sáp nhập với Noble Denton (Anh) vào năm 2009 đã mở rộng thêm hoạt động của công ty trong các dịch vụ kỹ thuật ngoài khơi và việc mua lại PVI (Canada) vào năm 2007, MCS (</w:t>
      </w:r>
      <w:r w:rsidR="005510D4">
        <w:rPr>
          <w:rFonts w:ascii="Times New Roman" w:eastAsia="Times New Roman" w:hAnsi="Times New Roman" w:cs="Times New Roman"/>
          <w:color w:val="222222"/>
          <w:sz w:val="26"/>
          <w:szCs w:val="26"/>
        </w:rPr>
        <w:t>Mỹ</w:t>
      </w:r>
      <w:r w:rsidRPr="009C7697">
        <w:rPr>
          <w:rFonts w:ascii="Times New Roman" w:eastAsia="Times New Roman" w:hAnsi="Times New Roman" w:cs="Times New Roman"/>
          <w:color w:val="222222"/>
          <w:sz w:val="26"/>
          <w:szCs w:val="26"/>
        </w:rPr>
        <w:t>) vào năm 2008 và IRS (Singapore) vào năm 2009 đã mở rộng hoạt động kinh doanh kiểm tra của công ty</w:t>
      </w:r>
      <w:r w:rsidR="005510D4">
        <w:rPr>
          <w:rFonts w:ascii="Times New Roman" w:eastAsia="Times New Roman" w:hAnsi="Times New Roman" w:cs="Times New Roman"/>
          <w:color w:val="222222"/>
          <w:sz w:val="26"/>
          <w:szCs w:val="26"/>
        </w:rPr>
        <w:t xml:space="preserve"> này</w:t>
      </w:r>
      <w:r w:rsidRPr="009C7697">
        <w:rPr>
          <w:rFonts w:ascii="Times New Roman" w:eastAsia="Times New Roman" w:hAnsi="Times New Roman" w:cs="Times New Roman"/>
          <w:color w:val="222222"/>
          <w:sz w:val="26"/>
          <w:szCs w:val="26"/>
        </w:rPr>
        <w:t>.</w:t>
      </w:r>
    </w:p>
    <w:p w:rsidR="009C7697" w:rsidRPr="009C7697" w:rsidRDefault="009C7697" w:rsidP="009C7697">
      <w:pPr>
        <w:spacing w:before="120" w:after="120" w:line="240" w:lineRule="auto"/>
        <w:jc w:val="both"/>
        <w:rPr>
          <w:rFonts w:ascii="Times New Roman" w:eastAsia="Times New Roman" w:hAnsi="Times New Roman" w:cs="Times New Roman"/>
          <w:color w:val="222222"/>
          <w:sz w:val="26"/>
          <w:szCs w:val="26"/>
        </w:rPr>
      </w:pPr>
      <w:r w:rsidRPr="009C7697">
        <w:rPr>
          <w:rFonts w:ascii="Times New Roman" w:eastAsia="Times New Roman" w:hAnsi="Times New Roman" w:cs="Times New Roman"/>
          <w:color w:val="222222"/>
          <w:sz w:val="26"/>
          <w:szCs w:val="26"/>
        </w:rPr>
        <w:lastRenderedPageBreak/>
        <w:t xml:space="preserve">Trong phân khúc kinh doanh dầu khí, phạm vi dịch vụ của Germanischer Lloyd sau đó bao gồm tất cả các loại tài sản chính bao gồm tài sản thăm dò và sản xuất dầu khí như giàn khoan, tàu khoan hoặc FPSO, cơ sở lưu trữ, công nghệ ngầm, </w:t>
      </w:r>
      <w:r w:rsidR="005510D4">
        <w:rPr>
          <w:rFonts w:ascii="Times New Roman" w:eastAsia="Times New Roman" w:hAnsi="Times New Roman" w:cs="Times New Roman"/>
          <w:color w:val="222222"/>
          <w:sz w:val="26"/>
          <w:szCs w:val="26"/>
        </w:rPr>
        <w:t>Bến cảng</w:t>
      </w:r>
      <w:r w:rsidRPr="009C7697">
        <w:rPr>
          <w:rFonts w:ascii="Times New Roman" w:eastAsia="Times New Roman" w:hAnsi="Times New Roman" w:cs="Times New Roman"/>
          <w:color w:val="222222"/>
          <w:sz w:val="26"/>
          <w:szCs w:val="26"/>
        </w:rPr>
        <w:t xml:space="preserve"> LNG và đường ống, cũng như mạng lưới phân phối khí, điện và nước. Tập đoàn cung cấp các dịch vụ chứng nhận, kiểm tra và tư vấn cũng như phần mềm cho giai đoạn lắp đặt, vận hành và ngừng hoạt động. Các dự án tiêu biểu là dịch vụ kỹ thuật của chủ sở hữu, dịch vụ bảo hành hàng hải, nghiên cứu thẩm định, công việc rủi ro và an toàn, quản lý tính toàn vẹn, nghiên cứu đảm bảo dòng chảy, dịch vụ kỹ thuật đầu cuối hoặc công việc chứng nhận của bên thứ ba. Tính đến ngày 1 tháng 1 năm 2010, hoạt động kinh doanh </w:t>
      </w:r>
      <w:r w:rsidR="005510D4">
        <w:rPr>
          <w:rFonts w:ascii="Times New Roman" w:eastAsia="Times New Roman" w:hAnsi="Times New Roman" w:cs="Times New Roman"/>
          <w:color w:val="222222"/>
          <w:sz w:val="26"/>
          <w:szCs w:val="26"/>
        </w:rPr>
        <w:t xml:space="preserve">trong lĩnh vực </w:t>
      </w:r>
      <w:r w:rsidRPr="009C7697">
        <w:rPr>
          <w:rFonts w:ascii="Times New Roman" w:eastAsia="Times New Roman" w:hAnsi="Times New Roman" w:cs="Times New Roman"/>
          <w:color w:val="222222"/>
          <w:sz w:val="26"/>
          <w:szCs w:val="26"/>
        </w:rPr>
        <w:t>dầu khí hoạt động dưới thương hiệu GL Noble Denton.</w:t>
      </w:r>
    </w:p>
    <w:p w:rsidR="009C7697" w:rsidRPr="009C7697" w:rsidRDefault="009C7697" w:rsidP="009C7697">
      <w:pPr>
        <w:spacing w:before="120" w:after="120" w:line="240" w:lineRule="auto"/>
        <w:jc w:val="both"/>
        <w:rPr>
          <w:rFonts w:ascii="Times New Roman" w:eastAsia="Times New Roman" w:hAnsi="Times New Roman" w:cs="Times New Roman"/>
          <w:color w:val="222222"/>
          <w:sz w:val="26"/>
          <w:szCs w:val="26"/>
        </w:rPr>
      </w:pPr>
      <w:r w:rsidRPr="009C7697">
        <w:rPr>
          <w:rFonts w:ascii="Times New Roman" w:eastAsia="Times New Roman" w:hAnsi="Times New Roman" w:cs="Times New Roman"/>
          <w:color w:val="222222"/>
          <w:sz w:val="26"/>
          <w:szCs w:val="26"/>
        </w:rPr>
        <w:t xml:space="preserve">Trong phân khúc năng lượng tái tạo, GL đã mua lại </w:t>
      </w:r>
      <w:r w:rsidRPr="005510D4">
        <w:rPr>
          <w:rFonts w:ascii="Times New Roman" w:eastAsia="Times New Roman" w:hAnsi="Times New Roman" w:cs="Times New Roman"/>
          <w:b/>
          <w:color w:val="222222"/>
          <w:sz w:val="26"/>
          <w:szCs w:val="26"/>
        </w:rPr>
        <w:t>Helimax</w:t>
      </w:r>
      <w:r w:rsidRPr="009C7697">
        <w:rPr>
          <w:rFonts w:ascii="Times New Roman" w:eastAsia="Times New Roman" w:hAnsi="Times New Roman" w:cs="Times New Roman"/>
          <w:color w:val="222222"/>
          <w:sz w:val="26"/>
          <w:szCs w:val="26"/>
        </w:rPr>
        <w:t xml:space="preserve"> (Canada) vào năm 2007, </w:t>
      </w:r>
      <w:r w:rsidRPr="005510D4">
        <w:rPr>
          <w:rFonts w:ascii="Times New Roman" w:eastAsia="Times New Roman" w:hAnsi="Times New Roman" w:cs="Times New Roman"/>
          <w:b/>
          <w:color w:val="222222"/>
          <w:sz w:val="26"/>
          <w:szCs w:val="26"/>
        </w:rPr>
        <w:t>Windtest</w:t>
      </w:r>
      <w:r w:rsidRPr="009C7697">
        <w:rPr>
          <w:rFonts w:ascii="Times New Roman" w:eastAsia="Times New Roman" w:hAnsi="Times New Roman" w:cs="Times New Roman"/>
          <w:color w:val="222222"/>
          <w:sz w:val="26"/>
          <w:szCs w:val="26"/>
        </w:rPr>
        <w:t xml:space="preserve"> (Đức) vào năm 2008 và sáp nhập với </w:t>
      </w:r>
      <w:r w:rsidRPr="005510D4">
        <w:rPr>
          <w:rFonts w:ascii="Times New Roman" w:eastAsia="Times New Roman" w:hAnsi="Times New Roman" w:cs="Times New Roman"/>
          <w:b/>
          <w:color w:val="222222"/>
          <w:sz w:val="26"/>
          <w:szCs w:val="26"/>
        </w:rPr>
        <w:t>Garrad Hassan</w:t>
      </w:r>
      <w:r w:rsidRPr="009C7697">
        <w:rPr>
          <w:rFonts w:ascii="Times New Roman" w:eastAsia="Times New Roman" w:hAnsi="Times New Roman" w:cs="Times New Roman"/>
          <w:color w:val="222222"/>
          <w:sz w:val="26"/>
          <w:szCs w:val="26"/>
        </w:rPr>
        <w:t xml:space="preserve"> (Anh) vào năm 2009, trở thành công ty tư vấn năng lượng tái tạo lớn nhất thế giới với hơn 600 kỹ sư tận tụy cung cấp dịch vụ tư vấn kỹ thuật cho các ngành công nghiệp năng lượng gió, sóng, thủy triều và năng lượng mặt trời </w:t>
      </w:r>
      <w:r w:rsidR="005510D4">
        <w:rPr>
          <w:rFonts w:ascii="Times New Roman" w:eastAsia="Times New Roman" w:hAnsi="Times New Roman" w:cs="Times New Roman"/>
          <w:color w:val="222222"/>
          <w:sz w:val="26"/>
          <w:szCs w:val="26"/>
        </w:rPr>
        <w:t xml:space="preserve">ở </w:t>
      </w:r>
      <w:r w:rsidRPr="009C7697">
        <w:rPr>
          <w:rFonts w:ascii="Times New Roman" w:eastAsia="Times New Roman" w:hAnsi="Times New Roman" w:cs="Times New Roman"/>
          <w:color w:val="222222"/>
          <w:sz w:val="26"/>
          <w:szCs w:val="26"/>
        </w:rPr>
        <w:t xml:space="preserve">trên bờ và ngoài khơi. Công ty hoạt động tại 18 quốc gia với các cơ sở chính tại Anh, </w:t>
      </w:r>
      <w:r w:rsidR="005510D4">
        <w:rPr>
          <w:rFonts w:ascii="Times New Roman" w:eastAsia="Times New Roman" w:hAnsi="Times New Roman" w:cs="Times New Roman"/>
          <w:color w:val="222222"/>
          <w:sz w:val="26"/>
          <w:szCs w:val="26"/>
        </w:rPr>
        <w:t>Mỹ</w:t>
      </w:r>
      <w:r w:rsidRPr="009C7697">
        <w:rPr>
          <w:rFonts w:ascii="Times New Roman" w:eastAsia="Times New Roman" w:hAnsi="Times New Roman" w:cs="Times New Roman"/>
          <w:color w:val="222222"/>
          <w:sz w:val="26"/>
          <w:szCs w:val="26"/>
        </w:rPr>
        <w:t>, Canada, Đức, Tây Ban Nha, Đan Mạch, Ý, Ấn Độ và Trung Quốc.</w:t>
      </w:r>
    </w:p>
    <w:p w:rsidR="009C7697" w:rsidRPr="009C7697" w:rsidRDefault="009C7697" w:rsidP="009C7697">
      <w:pPr>
        <w:spacing w:before="120" w:after="120" w:line="240" w:lineRule="auto"/>
        <w:jc w:val="both"/>
        <w:rPr>
          <w:rFonts w:ascii="Times New Roman" w:eastAsia="Times New Roman" w:hAnsi="Times New Roman" w:cs="Times New Roman"/>
          <w:color w:val="222222"/>
          <w:sz w:val="26"/>
          <w:szCs w:val="26"/>
        </w:rPr>
      </w:pPr>
      <w:r w:rsidRPr="009C7697">
        <w:rPr>
          <w:rFonts w:ascii="Times New Roman" w:eastAsia="Times New Roman" w:hAnsi="Times New Roman" w:cs="Times New Roman"/>
          <w:color w:val="222222"/>
          <w:sz w:val="26"/>
          <w:szCs w:val="26"/>
        </w:rPr>
        <w:t>Mảng kinh doanh năng lượng tái tạo mới, GL Garrad Hassan, có Andrew Garrad, người đồng sáng lập Garrad Hassan làm chủ tịch. Các dịch vụ của công ty bao gồm chứng nhận loại tua bin gió, tư vấn thiết kế, đánh giá năng suất năng lượng, quản lý dự án, đánh giá địa điểm, cấp phép, kỹ thuật tiền trạm, thẩm định, phần mềm cho các công viên gió, nhà máy điện mặt trời và thiết kế tua bin, dự báo gió và mặt trời, và dịch vụ cải thiện hoạt động của nhà máy điện tái tạo.</w:t>
      </w:r>
    </w:p>
    <w:p w:rsidR="009C7697" w:rsidRPr="00A6789C" w:rsidRDefault="009C7697" w:rsidP="009C7697">
      <w:pPr>
        <w:spacing w:before="120" w:after="120" w:line="240" w:lineRule="auto"/>
        <w:jc w:val="both"/>
        <w:rPr>
          <w:rFonts w:ascii="Times New Roman" w:eastAsia="Times New Roman" w:hAnsi="Times New Roman" w:cs="Times New Roman"/>
          <w:b/>
          <w:color w:val="222222"/>
          <w:sz w:val="26"/>
          <w:szCs w:val="26"/>
        </w:rPr>
      </w:pPr>
      <w:r w:rsidRPr="005510D4">
        <w:rPr>
          <w:rFonts w:ascii="Times New Roman" w:eastAsia="Times New Roman" w:hAnsi="Times New Roman" w:cs="Times New Roman"/>
          <w:b/>
          <w:color w:val="222222"/>
          <w:sz w:val="26"/>
          <w:szCs w:val="26"/>
        </w:rPr>
        <w:t>Lời kết</w:t>
      </w:r>
    </w:p>
    <w:p w:rsidR="00A6789C" w:rsidRDefault="00A6789C" w:rsidP="000E7794">
      <w:pPr>
        <w:spacing w:before="120" w:after="120" w:line="240" w:lineRule="auto"/>
        <w:jc w:val="center"/>
        <w:rPr>
          <w:rFonts w:ascii="Times New Roman" w:eastAsia="Times New Roman" w:hAnsi="Times New Roman" w:cs="Times New Roman"/>
          <w:i/>
          <w:color w:val="222222"/>
          <w:sz w:val="26"/>
          <w:szCs w:val="26"/>
        </w:rPr>
      </w:pPr>
      <w:r w:rsidRPr="00A6789C">
        <w:rPr>
          <w:rFonts w:ascii="Merriweather Sans" w:eastAsia="Times New Roman" w:hAnsi="Merriweather Sans" w:cs="Times New Roman"/>
          <w:noProof/>
          <w:color w:val="222222"/>
          <w:sz w:val="23"/>
          <w:szCs w:val="23"/>
        </w:rPr>
        <w:lastRenderedPageBreak/>
        <w:drawing>
          <wp:inline distT="0" distB="0" distL="0" distR="0">
            <wp:extent cx="5836920" cy="3778815"/>
            <wp:effectExtent l="0" t="0" r="0" b="0"/>
            <wp:docPr id="3" name="Picture 3" descr="https://maritimecyprus.com/wp-content/uploads/2022/03/GL_DNV_me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aritimecyprus.com/wp-content/uploads/2022/03/GL_DNV_merger.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6892" cy="3785271"/>
                    </a:xfrm>
                    <a:prstGeom prst="rect">
                      <a:avLst/>
                    </a:prstGeom>
                    <a:noFill/>
                    <a:ln>
                      <a:noFill/>
                    </a:ln>
                  </pic:spPr>
                </pic:pic>
              </a:graphicData>
            </a:graphic>
          </wp:inline>
        </w:drawing>
      </w:r>
      <w:r w:rsidR="005510D4" w:rsidRPr="000E7794">
        <w:rPr>
          <w:rFonts w:ascii="Times New Roman" w:eastAsia="Times New Roman" w:hAnsi="Times New Roman" w:cs="Times New Roman"/>
          <w:i/>
          <w:color w:val="222222"/>
          <w:sz w:val="26"/>
          <w:szCs w:val="26"/>
        </w:rPr>
        <w:t>Từ trái qua phải</w:t>
      </w:r>
      <w:r w:rsidRPr="00A6789C">
        <w:rPr>
          <w:rFonts w:ascii="Times New Roman" w:eastAsia="Times New Roman" w:hAnsi="Times New Roman" w:cs="Times New Roman"/>
          <w:i/>
          <w:color w:val="222222"/>
          <w:sz w:val="26"/>
          <w:szCs w:val="26"/>
        </w:rPr>
        <w:t xml:space="preserve">: Hinrich Stahl, Maryland GmbH, Erik van der Noordaa, CEO </w:t>
      </w:r>
      <w:r w:rsidR="000E7794" w:rsidRPr="000E7794">
        <w:rPr>
          <w:rFonts w:ascii="Times New Roman" w:eastAsia="Times New Roman" w:hAnsi="Times New Roman" w:cs="Times New Roman"/>
          <w:i/>
          <w:color w:val="222222"/>
          <w:sz w:val="26"/>
          <w:szCs w:val="26"/>
        </w:rPr>
        <w:t xml:space="preserve">Ban lãnh đạo của </w:t>
      </w:r>
      <w:r w:rsidRPr="00A6789C">
        <w:rPr>
          <w:rFonts w:ascii="Times New Roman" w:eastAsia="Times New Roman" w:hAnsi="Times New Roman" w:cs="Times New Roman"/>
          <w:i/>
          <w:color w:val="222222"/>
          <w:sz w:val="26"/>
          <w:szCs w:val="26"/>
        </w:rPr>
        <w:t xml:space="preserve">GL </w:t>
      </w:r>
      <w:r w:rsidR="000E7794" w:rsidRPr="000E7794">
        <w:rPr>
          <w:rFonts w:ascii="Times New Roman" w:eastAsia="Times New Roman" w:hAnsi="Times New Roman" w:cs="Times New Roman"/>
          <w:i/>
          <w:color w:val="222222"/>
          <w:sz w:val="26"/>
          <w:szCs w:val="26"/>
        </w:rPr>
        <w:t>và</w:t>
      </w:r>
      <w:r w:rsidRPr="00A6789C">
        <w:rPr>
          <w:rFonts w:ascii="Times New Roman" w:eastAsia="Times New Roman" w:hAnsi="Times New Roman" w:cs="Times New Roman"/>
          <w:i/>
          <w:color w:val="222222"/>
          <w:sz w:val="26"/>
          <w:szCs w:val="26"/>
        </w:rPr>
        <w:t xml:space="preserve"> Henrik O. Madsen, CEO DNV.</w:t>
      </w:r>
    </w:p>
    <w:p w:rsidR="000E7794" w:rsidRPr="00A6789C" w:rsidRDefault="000E7794" w:rsidP="000E7794">
      <w:pPr>
        <w:spacing w:before="120" w:after="120" w:line="240" w:lineRule="auto"/>
        <w:jc w:val="center"/>
        <w:rPr>
          <w:rFonts w:ascii="Times New Roman" w:eastAsia="Times New Roman" w:hAnsi="Times New Roman" w:cs="Times New Roman"/>
          <w:i/>
          <w:color w:val="222222"/>
          <w:sz w:val="26"/>
          <w:szCs w:val="26"/>
        </w:rPr>
      </w:pPr>
    </w:p>
    <w:p w:rsidR="00A6789C" w:rsidRPr="00A6789C" w:rsidRDefault="00A6789C" w:rsidP="000E7794">
      <w:pPr>
        <w:spacing w:after="390" w:line="240" w:lineRule="auto"/>
        <w:jc w:val="center"/>
        <w:rPr>
          <w:rFonts w:ascii="Merriweather Sans" w:eastAsia="Times New Roman" w:hAnsi="Merriweather Sans" w:cs="Times New Roman"/>
          <w:color w:val="222222"/>
          <w:sz w:val="23"/>
          <w:szCs w:val="23"/>
        </w:rPr>
      </w:pPr>
      <w:r w:rsidRPr="00A6789C">
        <w:rPr>
          <w:rFonts w:ascii="Merriweather Sans" w:eastAsia="Times New Roman" w:hAnsi="Merriweather Sans" w:cs="Times New Roman"/>
          <w:noProof/>
          <w:color w:val="222222"/>
          <w:sz w:val="23"/>
          <w:szCs w:val="23"/>
        </w:rPr>
        <w:drawing>
          <wp:inline distT="0" distB="0" distL="0" distR="0" wp14:anchorId="291130CD" wp14:editId="1389E8B0">
            <wp:extent cx="1943100" cy="1209648"/>
            <wp:effectExtent l="0" t="0" r="0" b="0"/>
            <wp:docPr id="1" name="Picture 1" descr="https://maritimecyprus.com/wp-content/uploads/2022/03/DNV-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aritimecyprus.com/wp-content/uploads/2022/03/DNV-G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0627" cy="1233010"/>
                    </a:xfrm>
                    <a:prstGeom prst="rect">
                      <a:avLst/>
                    </a:prstGeom>
                    <a:noFill/>
                    <a:ln>
                      <a:noFill/>
                    </a:ln>
                  </pic:spPr>
                </pic:pic>
              </a:graphicData>
            </a:graphic>
          </wp:inline>
        </w:drawing>
      </w:r>
      <w:r w:rsidR="000E7794">
        <w:rPr>
          <w:rFonts w:ascii="Merriweather Sans" w:eastAsia="Times New Roman" w:hAnsi="Merriweather Sans" w:cs="Times New Roman"/>
          <w:noProof/>
          <w:color w:val="222222"/>
          <w:sz w:val="23"/>
          <w:szCs w:val="23"/>
        </w:rPr>
        <w:t xml:space="preserve">       </w:t>
      </w:r>
      <w:r w:rsidR="000E7794" w:rsidRPr="00A6789C">
        <w:rPr>
          <w:rFonts w:ascii="Merriweather Sans" w:eastAsia="Times New Roman" w:hAnsi="Merriweather Sans" w:cs="Times New Roman"/>
          <w:noProof/>
          <w:color w:val="222222"/>
          <w:sz w:val="23"/>
          <w:szCs w:val="23"/>
        </w:rPr>
        <w:drawing>
          <wp:inline distT="0" distB="0" distL="0" distR="0" wp14:anchorId="4D471BC4" wp14:editId="3C010B31">
            <wp:extent cx="2963846" cy="1193165"/>
            <wp:effectExtent l="0" t="0" r="8255" b="6985"/>
            <wp:docPr id="2" name="Picture 2" descr="https://maritimecyprus.com/wp-content/uploads/2022/03/DNV-GL-Gro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aritimecyprus.com/wp-content/uploads/2022/03/DNV-GL-Group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90551" cy="1203916"/>
                    </a:xfrm>
                    <a:prstGeom prst="rect">
                      <a:avLst/>
                    </a:prstGeom>
                    <a:noFill/>
                    <a:ln>
                      <a:noFill/>
                    </a:ln>
                  </pic:spPr>
                </pic:pic>
              </a:graphicData>
            </a:graphic>
          </wp:inline>
        </w:drawing>
      </w:r>
    </w:p>
    <w:p w:rsidR="000E7794" w:rsidRPr="00E916BA" w:rsidRDefault="000E7794" w:rsidP="000E7794">
      <w:pPr>
        <w:spacing w:before="120" w:after="120" w:line="240" w:lineRule="auto"/>
        <w:jc w:val="both"/>
        <w:rPr>
          <w:rFonts w:ascii="Times New Roman" w:eastAsia="Times New Roman" w:hAnsi="Times New Roman" w:cs="Times New Roman"/>
          <w:sz w:val="26"/>
          <w:szCs w:val="26"/>
        </w:rPr>
      </w:pPr>
      <w:r w:rsidRPr="00E916BA">
        <w:rPr>
          <w:rFonts w:ascii="Times New Roman" w:eastAsia="Times New Roman" w:hAnsi="Times New Roman" w:cs="Times New Roman"/>
          <w:sz w:val="26"/>
          <w:szCs w:val="26"/>
        </w:rPr>
        <w:t>GL không còn tồn tại như một thực thể độc lập vào tháng 9 năm 2013 do sáp nhập với DNV của Na Uy (Det Norske Veritas) để trở thành DNV GL.</w:t>
      </w:r>
    </w:p>
    <w:p w:rsidR="000E7794" w:rsidRPr="00E916BA" w:rsidRDefault="000E7794" w:rsidP="000E7794">
      <w:pPr>
        <w:spacing w:before="120" w:after="120" w:line="240" w:lineRule="auto"/>
        <w:jc w:val="both"/>
        <w:rPr>
          <w:rFonts w:ascii="Times New Roman" w:eastAsia="Times New Roman" w:hAnsi="Times New Roman" w:cs="Times New Roman"/>
          <w:sz w:val="26"/>
          <w:szCs w:val="26"/>
        </w:rPr>
      </w:pPr>
      <w:r w:rsidRPr="00E916BA">
        <w:rPr>
          <w:rFonts w:ascii="Times New Roman" w:eastAsia="Times New Roman" w:hAnsi="Times New Roman" w:cs="Times New Roman"/>
          <w:sz w:val="26"/>
          <w:szCs w:val="26"/>
        </w:rPr>
        <w:t>Cuối cùng, vào tháng 3 năm 2021, DNV GL được đổi tên thành DNV.</w:t>
      </w:r>
    </w:p>
    <w:p w:rsidR="000E7794" w:rsidRDefault="000E7794" w:rsidP="000E7794">
      <w:pPr>
        <w:spacing w:before="120" w:after="120" w:line="240" w:lineRule="auto"/>
        <w:jc w:val="both"/>
        <w:rPr>
          <w:rFonts w:ascii="Times New Roman" w:eastAsia="Times New Roman" w:hAnsi="Times New Roman" w:cs="Times New Roman"/>
          <w:b/>
          <w:sz w:val="26"/>
          <w:szCs w:val="26"/>
        </w:rPr>
      </w:pPr>
      <w:r w:rsidRPr="00E916BA">
        <w:rPr>
          <w:rFonts w:ascii="Times New Roman" w:eastAsia="Times New Roman" w:hAnsi="Times New Roman" w:cs="Times New Roman"/>
          <w:b/>
          <w:sz w:val="26"/>
          <w:szCs w:val="26"/>
        </w:rPr>
        <w:t>154 năm sau khi thành lập, GERMANISCHER</w:t>
      </w:r>
      <w:r w:rsidRPr="00E916BA">
        <w:rPr>
          <w:rFonts w:ascii="Times New Roman" w:eastAsia="Times New Roman" w:hAnsi="Times New Roman" w:cs="Times New Roman"/>
          <w:b/>
          <w:sz w:val="26"/>
          <w:szCs w:val="26"/>
        </w:rPr>
        <w:t xml:space="preserve"> LLOYD cuối cùng đã biến mất.</w:t>
      </w:r>
    </w:p>
    <w:p w:rsidR="00E916BA" w:rsidRDefault="00E916BA" w:rsidP="000E7794">
      <w:pPr>
        <w:spacing w:before="120" w:after="120" w:line="240" w:lineRule="auto"/>
        <w:jc w:val="both"/>
        <w:rPr>
          <w:rFonts w:ascii="Times New Roman" w:eastAsia="Times New Roman" w:hAnsi="Times New Roman" w:cs="Times New Roman"/>
          <w:b/>
          <w:sz w:val="26"/>
          <w:szCs w:val="26"/>
        </w:rPr>
      </w:pPr>
      <w:r w:rsidRPr="00E916BA">
        <w:rPr>
          <w:rFonts w:ascii="Times New Roman" w:eastAsia="Times New Roman" w:hAnsi="Times New Roman" w:cs="Times New Roman"/>
          <w:b/>
          <w:sz w:val="26"/>
          <w:szCs w:val="26"/>
        </w:rPr>
        <w:lastRenderedPageBreak/>
        <w:drawing>
          <wp:inline distT="0" distB="0" distL="0" distR="0" wp14:anchorId="7F214927" wp14:editId="5BBE6C4A">
            <wp:extent cx="5943600" cy="33096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09620"/>
                    </a:xfrm>
                    <a:prstGeom prst="rect">
                      <a:avLst/>
                    </a:prstGeom>
                  </pic:spPr>
                </pic:pic>
              </a:graphicData>
            </a:graphic>
          </wp:inline>
        </w:drawing>
      </w:r>
    </w:p>
    <w:p w:rsidR="00E916BA" w:rsidRDefault="00E916BA" w:rsidP="000E7794">
      <w:pPr>
        <w:spacing w:before="120" w:after="120" w:line="240" w:lineRule="auto"/>
        <w:jc w:val="both"/>
        <w:rPr>
          <w:rFonts w:ascii="Times New Roman" w:eastAsia="Times New Roman" w:hAnsi="Times New Roman" w:cs="Times New Roman"/>
          <w:b/>
          <w:sz w:val="26"/>
          <w:szCs w:val="26"/>
        </w:rPr>
      </w:pPr>
      <w:hyperlink r:id="rId28" w:history="1">
        <w:r w:rsidRPr="00564E78">
          <w:rPr>
            <w:rStyle w:val="Hyperlink"/>
            <w:rFonts w:ascii="Times New Roman" w:eastAsia="Times New Roman" w:hAnsi="Times New Roman" w:cs="Times New Roman"/>
            <w:b/>
            <w:sz w:val="26"/>
            <w:szCs w:val="26"/>
          </w:rPr>
          <w:t>https://youtu.be/h9EptCxZRys</w:t>
        </w:r>
      </w:hyperlink>
    </w:p>
    <w:p w:rsidR="00E916BA" w:rsidRPr="00E916BA" w:rsidRDefault="00E916BA" w:rsidP="000E7794">
      <w:pPr>
        <w:spacing w:before="120" w:after="120" w:line="240" w:lineRule="auto"/>
        <w:jc w:val="both"/>
        <w:rPr>
          <w:rFonts w:ascii="Times New Roman" w:eastAsia="Times New Roman" w:hAnsi="Times New Roman" w:cs="Times New Roman"/>
          <w:b/>
          <w:sz w:val="26"/>
          <w:szCs w:val="26"/>
        </w:rPr>
      </w:pPr>
    </w:p>
    <w:p w:rsidR="00327A59" w:rsidRDefault="000E7794" w:rsidP="000E7794">
      <w:pPr>
        <w:jc w:val="center"/>
      </w:pPr>
      <w:r>
        <w:t>--------------------------------------</w:t>
      </w:r>
    </w:p>
    <w:sectPr w:rsidR="00327A59" w:rsidSect="00B11E7F">
      <w:pgSz w:w="12240" w:h="15840"/>
      <w:pgMar w:top="90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erriweather San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020C66"/>
    <w:multiLevelType w:val="multilevel"/>
    <w:tmpl w:val="9AF2C2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7572393"/>
    <w:multiLevelType w:val="multilevel"/>
    <w:tmpl w:val="DD3246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FF6233"/>
    <w:multiLevelType w:val="hybridMultilevel"/>
    <w:tmpl w:val="1F8CB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D1A0372"/>
    <w:multiLevelType w:val="hybridMultilevel"/>
    <w:tmpl w:val="C6AC3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C85577"/>
    <w:multiLevelType w:val="hybridMultilevel"/>
    <w:tmpl w:val="10280E8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89C"/>
    <w:rsid w:val="000E7794"/>
    <w:rsid w:val="00327A59"/>
    <w:rsid w:val="005510D4"/>
    <w:rsid w:val="009C7697"/>
    <w:rsid w:val="00A6789C"/>
    <w:rsid w:val="00B11E7F"/>
    <w:rsid w:val="00B829B2"/>
    <w:rsid w:val="00C5537C"/>
    <w:rsid w:val="00D56424"/>
    <w:rsid w:val="00E30006"/>
    <w:rsid w:val="00E916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129DA"/>
  <w15:chartTrackingRefBased/>
  <w15:docId w15:val="{AA9D4009-13C1-4178-9EE0-DD41893CA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6789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A6789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789C"/>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A6789C"/>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A6789C"/>
    <w:rPr>
      <w:color w:val="0000FF"/>
      <w:u w:val="single"/>
    </w:rPr>
  </w:style>
  <w:style w:type="character" w:customStyle="1" w:styleId="td-post-date">
    <w:name w:val="td-post-date"/>
    <w:basedOn w:val="DefaultParagraphFont"/>
    <w:rsid w:val="00A6789C"/>
  </w:style>
  <w:style w:type="character" w:customStyle="1" w:styleId="td-nr-views-40133">
    <w:name w:val="td-nr-views-40133"/>
    <w:basedOn w:val="DefaultParagraphFont"/>
    <w:rsid w:val="00A6789C"/>
  </w:style>
  <w:style w:type="paragraph" w:styleId="NormalWeb">
    <w:name w:val="Normal (Web)"/>
    <w:basedOn w:val="Normal"/>
    <w:uiPriority w:val="99"/>
    <w:semiHidden/>
    <w:unhideWhenUsed/>
    <w:rsid w:val="00A678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gallery-slide-item-focus">
    <w:name w:val="td-gallery-slide-item-focus"/>
    <w:basedOn w:val="DefaultParagraphFont"/>
    <w:rsid w:val="00A6789C"/>
  </w:style>
  <w:style w:type="character" w:customStyle="1" w:styleId="mw-headline">
    <w:name w:val="mw-headline"/>
    <w:basedOn w:val="DefaultParagraphFont"/>
    <w:rsid w:val="00A6789C"/>
  </w:style>
  <w:style w:type="paragraph" w:customStyle="1" w:styleId="magnify">
    <w:name w:val="magnify"/>
    <w:basedOn w:val="Normal"/>
    <w:rsid w:val="00A6789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829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356335">
      <w:bodyDiv w:val="1"/>
      <w:marLeft w:val="0"/>
      <w:marRight w:val="0"/>
      <w:marTop w:val="0"/>
      <w:marBottom w:val="0"/>
      <w:divBdr>
        <w:top w:val="none" w:sz="0" w:space="0" w:color="auto"/>
        <w:left w:val="none" w:sz="0" w:space="0" w:color="auto"/>
        <w:bottom w:val="none" w:sz="0" w:space="0" w:color="auto"/>
        <w:right w:val="none" w:sz="0" w:space="0" w:color="auto"/>
      </w:divBdr>
      <w:divsChild>
        <w:div w:id="1081947994">
          <w:marLeft w:val="0"/>
          <w:marRight w:val="0"/>
          <w:marTop w:val="0"/>
          <w:marBottom w:val="0"/>
          <w:divBdr>
            <w:top w:val="none" w:sz="0" w:space="0" w:color="auto"/>
            <w:left w:val="none" w:sz="0" w:space="0" w:color="auto"/>
            <w:bottom w:val="none" w:sz="0" w:space="0" w:color="auto"/>
            <w:right w:val="none" w:sz="0" w:space="0" w:color="auto"/>
          </w:divBdr>
          <w:divsChild>
            <w:div w:id="1112751520">
              <w:marLeft w:val="0"/>
              <w:marRight w:val="0"/>
              <w:marTop w:val="0"/>
              <w:marBottom w:val="240"/>
              <w:divBdr>
                <w:top w:val="none" w:sz="0" w:space="0" w:color="auto"/>
                <w:left w:val="none" w:sz="0" w:space="0" w:color="auto"/>
                <w:bottom w:val="none" w:sz="0" w:space="0" w:color="auto"/>
                <w:right w:val="none" w:sz="0" w:space="0" w:color="auto"/>
              </w:divBdr>
              <w:divsChild>
                <w:div w:id="1032457506">
                  <w:marLeft w:val="0"/>
                  <w:marRight w:val="0"/>
                  <w:marTop w:val="0"/>
                  <w:marBottom w:val="0"/>
                  <w:divBdr>
                    <w:top w:val="none" w:sz="0" w:space="0" w:color="auto"/>
                    <w:left w:val="none" w:sz="0" w:space="0" w:color="auto"/>
                    <w:bottom w:val="none" w:sz="0" w:space="0" w:color="auto"/>
                    <w:right w:val="none" w:sz="0" w:space="0" w:color="auto"/>
                  </w:divBdr>
                  <w:divsChild>
                    <w:div w:id="1999579280">
                      <w:marLeft w:val="0"/>
                      <w:marRight w:val="30"/>
                      <w:marTop w:val="0"/>
                      <w:marBottom w:val="0"/>
                      <w:divBdr>
                        <w:top w:val="none" w:sz="0" w:space="0" w:color="auto"/>
                        <w:left w:val="none" w:sz="0" w:space="0" w:color="auto"/>
                        <w:bottom w:val="none" w:sz="0" w:space="0" w:color="auto"/>
                        <w:right w:val="none" w:sz="0" w:space="0" w:color="auto"/>
                      </w:divBdr>
                    </w:div>
                    <w:div w:id="641619295">
                      <w:marLeft w:val="0"/>
                      <w:marRight w:val="30"/>
                      <w:marTop w:val="0"/>
                      <w:marBottom w:val="0"/>
                      <w:divBdr>
                        <w:top w:val="none" w:sz="0" w:space="0" w:color="auto"/>
                        <w:left w:val="none" w:sz="0" w:space="0" w:color="auto"/>
                        <w:bottom w:val="none" w:sz="0" w:space="0" w:color="auto"/>
                        <w:right w:val="none" w:sz="0" w:space="0" w:color="auto"/>
                      </w:divBdr>
                    </w:div>
                  </w:divsChild>
                </w:div>
                <w:div w:id="1324696010">
                  <w:marLeft w:val="330"/>
                  <w:marRight w:val="0"/>
                  <w:marTop w:val="0"/>
                  <w:marBottom w:val="0"/>
                  <w:divBdr>
                    <w:top w:val="none" w:sz="0" w:space="0" w:color="auto"/>
                    <w:left w:val="none" w:sz="0" w:space="0" w:color="auto"/>
                    <w:bottom w:val="none" w:sz="0" w:space="0" w:color="auto"/>
                    <w:right w:val="none" w:sz="0" w:space="0" w:color="auto"/>
                  </w:divBdr>
                </w:div>
                <w:div w:id="28366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593">
          <w:marLeft w:val="0"/>
          <w:marRight w:val="0"/>
          <w:marTop w:val="315"/>
          <w:marBottom w:val="0"/>
          <w:divBdr>
            <w:top w:val="none" w:sz="0" w:space="0" w:color="auto"/>
            <w:left w:val="none" w:sz="0" w:space="0" w:color="auto"/>
            <w:bottom w:val="none" w:sz="0" w:space="0" w:color="auto"/>
            <w:right w:val="none" w:sz="0" w:space="0" w:color="auto"/>
          </w:divBdr>
          <w:divsChild>
            <w:div w:id="374893896">
              <w:marLeft w:val="0"/>
              <w:marRight w:val="0"/>
              <w:marTop w:val="0"/>
              <w:marBottom w:val="0"/>
              <w:divBdr>
                <w:top w:val="none" w:sz="0" w:space="0" w:color="auto"/>
                <w:left w:val="none" w:sz="0" w:space="0" w:color="auto"/>
                <w:bottom w:val="none" w:sz="0" w:space="0" w:color="auto"/>
                <w:right w:val="none" w:sz="0" w:space="0" w:color="auto"/>
              </w:divBdr>
            </w:div>
            <w:div w:id="874003485">
              <w:marLeft w:val="0"/>
              <w:marRight w:val="0"/>
              <w:marTop w:val="0"/>
              <w:marBottom w:val="0"/>
              <w:divBdr>
                <w:top w:val="none" w:sz="0" w:space="0" w:color="auto"/>
                <w:left w:val="none" w:sz="0" w:space="0" w:color="auto"/>
                <w:bottom w:val="none" w:sz="0" w:space="0" w:color="auto"/>
                <w:right w:val="none" w:sz="0" w:space="0" w:color="auto"/>
              </w:divBdr>
              <w:divsChild>
                <w:div w:id="778992623">
                  <w:marLeft w:val="0"/>
                  <w:marRight w:val="0"/>
                  <w:marTop w:val="0"/>
                  <w:marBottom w:val="360"/>
                  <w:divBdr>
                    <w:top w:val="none" w:sz="0" w:space="0" w:color="auto"/>
                    <w:left w:val="none" w:sz="0" w:space="0" w:color="auto"/>
                    <w:bottom w:val="none" w:sz="0" w:space="0" w:color="auto"/>
                    <w:right w:val="none" w:sz="0" w:space="0" w:color="auto"/>
                  </w:divBdr>
                  <w:divsChild>
                    <w:div w:id="752512104">
                      <w:marLeft w:val="0"/>
                      <w:marRight w:val="0"/>
                      <w:marTop w:val="0"/>
                      <w:marBottom w:val="0"/>
                      <w:divBdr>
                        <w:top w:val="none" w:sz="0" w:space="0" w:color="auto"/>
                        <w:left w:val="none" w:sz="0" w:space="0" w:color="auto"/>
                        <w:bottom w:val="none" w:sz="0" w:space="0" w:color="auto"/>
                        <w:right w:val="none" w:sz="0" w:space="0" w:color="auto"/>
                      </w:divBdr>
                      <w:divsChild>
                        <w:div w:id="1305815564">
                          <w:marLeft w:val="0"/>
                          <w:marRight w:val="0"/>
                          <w:marTop w:val="0"/>
                          <w:marBottom w:val="0"/>
                          <w:divBdr>
                            <w:top w:val="none" w:sz="0" w:space="0" w:color="auto"/>
                            <w:left w:val="none" w:sz="0" w:space="0" w:color="auto"/>
                            <w:bottom w:val="none" w:sz="0" w:space="0" w:color="auto"/>
                            <w:right w:val="none" w:sz="0" w:space="0" w:color="auto"/>
                          </w:divBdr>
                          <w:divsChild>
                            <w:div w:id="510264601">
                              <w:marLeft w:val="0"/>
                              <w:marRight w:val="105"/>
                              <w:marTop w:val="0"/>
                              <w:marBottom w:val="0"/>
                              <w:divBdr>
                                <w:top w:val="none" w:sz="0" w:space="0" w:color="auto"/>
                                <w:left w:val="none" w:sz="0" w:space="0" w:color="auto"/>
                                <w:bottom w:val="none" w:sz="0" w:space="0" w:color="auto"/>
                                <w:right w:val="none" w:sz="0" w:space="0" w:color="auto"/>
                              </w:divBdr>
                            </w:div>
                            <w:div w:id="41656074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1991709605">
                      <w:marLeft w:val="0"/>
                      <w:marRight w:val="0"/>
                      <w:marTop w:val="0"/>
                      <w:marBottom w:val="0"/>
                      <w:divBdr>
                        <w:top w:val="none" w:sz="0" w:space="0" w:color="auto"/>
                        <w:left w:val="none" w:sz="0" w:space="0" w:color="auto"/>
                        <w:bottom w:val="none" w:sz="0" w:space="0" w:color="auto"/>
                        <w:right w:val="none" w:sz="0" w:space="0" w:color="auto"/>
                      </w:divBdr>
                      <w:divsChild>
                        <w:div w:id="704990800">
                          <w:marLeft w:val="0"/>
                          <w:marRight w:val="0"/>
                          <w:marTop w:val="0"/>
                          <w:marBottom w:val="0"/>
                          <w:divBdr>
                            <w:top w:val="none" w:sz="0" w:space="0" w:color="auto"/>
                            <w:left w:val="none" w:sz="0" w:space="0" w:color="auto"/>
                            <w:bottom w:val="none" w:sz="0" w:space="0" w:color="auto"/>
                            <w:right w:val="none" w:sz="0" w:space="0" w:color="auto"/>
                          </w:divBdr>
                          <w:divsChild>
                            <w:div w:id="1818910347">
                              <w:marLeft w:val="0"/>
                              <w:marRight w:val="0"/>
                              <w:marTop w:val="0"/>
                              <w:marBottom w:val="0"/>
                              <w:divBdr>
                                <w:top w:val="none" w:sz="0" w:space="0" w:color="auto"/>
                                <w:left w:val="none" w:sz="0" w:space="0" w:color="auto"/>
                                <w:bottom w:val="none" w:sz="0" w:space="0" w:color="auto"/>
                                <w:right w:val="none" w:sz="0" w:space="0" w:color="auto"/>
                              </w:divBdr>
                            </w:div>
                            <w:div w:id="526217777">
                              <w:marLeft w:val="0"/>
                              <w:marRight w:val="0"/>
                              <w:marTop w:val="0"/>
                              <w:marBottom w:val="0"/>
                              <w:divBdr>
                                <w:top w:val="none" w:sz="0" w:space="0" w:color="auto"/>
                                <w:left w:val="none" w:sz="0" w:space="0" w:color="auto"/>
                                <w:bottom w:val="none" w:sz="0" w:space="0" w:color="auto"/>
                                <w:right w:val="none" w:sz="0" w:space="0" w:color="auto"/>
                              </w:divBdr>
                            </w:div>
                            <w:div w:id="1912306894">
                              <w:marLeft w:val="0"/>
                              <w:marRight w:val="0"/>
                              <w:marTop w:val="0"/>
                              <w:marBottom w:val="0"/>
                              <w:divBdr>
                                <w:top w:val="none" w:sz="0" w:space="0" w:color="auto"/>
                                <w:left w:val="none" w:sz="0" w:space="0" w:color="auto"/>
                                <w:bottom w:val="none" w:sz="0" w:space="0" w:color="auto"/>
                                <w:right w:val="none" w:sz="0" w:space="0" w:color="auto"/>
                              </w:divBdr>
                            </w:div>
                            <w:div w:id="712853187">
                              <w:marLeft w:val="0"/>
                              <w:marRight w:val="0"/>
                              <w:marTop w:val="0"/>
                              <w:marBottom w:val="0"/>
                              <w:divBdr>
                                <w:top w:val="none" w:sz="0" w:space="0" w:color="auto"/>
                                <w:left w:val="none" w:sz="0" w:space="0" w:color="auto"/>
                                <w:bottom w:val="none" w:sz="0" w:space="0" w:color="auto"/>
                                <w:right w:val="none" w:sz="0" w:space="0" w:color="auto"/>
                              </w:divBdr>
                            </w:div>
                            <w:div w:id="914900640">
                              <w:marLeft w:val="0"/>
                              <w:marRight w:val="0"/>
                              <w:marTop w:val="0"/>
                              <w:marBottom w:val="0"/>
                              <w:divBdr>
                                <w:top w:val="none" w:sz="0" w:space="0" w:color="auto"/>
                                <w:left w:val="none" w:sz="0" w:space="0" w:color="auto"/>
                                <w:bottom w:val="none" w:sz="0" w:space="0" w:color="auto"/>
                                <w:right w:val="none" w:sz="0" w:space="0" w:color="auto"/>
                              </w:divBdr>
                            </w:div>
                            <w:div w:id="2004504736">
                              <w:marLeft w:val="0"/>
                              <w:marRight w:val="0"/>
                              <w:marTop w:val="0"/>
                              <w:marBottom w:val="0"/>
                              <w:divBdr>
                                <w:top w:val="none" w:sz="0" w:space="0" w:color="auto"/>
                                <w:left w:val="none" w:sz="0" w:space="0" w:color="auto"/>
                                <w:bottom w:val="none" w:sz="0" w:space="0" w:color="auto"/>
                                <w:right w:val="none" w:sz="0" w:space="0" w:color="auto"/>
                              </w:divBdr>
                            </w:div>
                            <w:div w:id="83788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959021">
              <w:marLeft w:val="0"/>
              <w:marRight w:val="0"/>
              <w:marTop w:val="0"/>
              <w:marBottom w:val="0"/>
              <w:divBdr>
                <w:top w:val="none" w:sz="0" w:space="0" w:color="auto"/>
                <w:left w:val="none" w:sz="0" w:space="0" w:color="auto"/>
                <w:bottom w:val="none" w:sz="0" w:space="0" w:color="auto"/>
                <w:right w:val="none" w:sz="0" w:space="0" w:color="auto"/>
              </w:divBdr>
              <w:divsChild>
                <w:div w:id="1769931382">
                  <w:marLeft w:val="0"/>
                  <w:marRight w:val="0"/>
                  <w:marTop w:val="0"/>
                  <w:marBottom w:val="0"/>
                  <w:divBdr>
                    <w:top w:val="none" w:sz="0" w:space="0" w:color="auto"/>
                    <w:left w:val="none" w:sz="0" w:space="0" w:color="auto"/>
                    <w:bottom w:val="none" w:sz="0" w:space="0" w:color="auto"/>
                    <w:right w:val="none" w:sz="0" w:space="0" w:color="auto"/>
                  </w:divBdr>
                  <w:divsChild>
                    <w:div w:id="1840541740">
                      <w:marLeft w:val="0"/>
                      <w:marRight w:val="0"/>
                      <w:marTop w:val="0"/>
                      <w:marBottom w:val="0"/>
                      <w:divBdr>
                        <w:top w:val="none" w:sz="0" w:space="0" w:color="auto"/>
                        <w:left w:val="none" w:sz="0" w:space="0" w:color="auto"/>
                        <w:bottom w:val="none" w:sz="0" w:space="0" w:color="auto"/>
                        <w:right w:val="none" w:sz="0" w:space="0" w:color="auto"/>
                      </w:divBdr>
                      <w:divsChild>
                        <w:div w:id="429740714">
                          <w:marLeft w:val="0"/>
                          <w:marRight w:val="0"/>
                          <w:marTop w:val="0"/>
                          <w:marBottom w:val="0"/>
                          <w:divBdr>
                            <w:top w:val="none" w:sz="0" w:space="0" w:color="auto"/>
                            <w:left w:val="none" w:sz="0" w:space="0" w:color="auto"/>
                            <w:bottom w:val="none" w:sz="0" w:space="0" w:color="auto"/>
                            <w:right w:val="none" w:sz="0" w:space="0" w:color="auto"/>
                          </w:divBdr>
                        </w:div>
                        <w:div w:id="16428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aritimecyprus.com/wp-content/uploads/2022/03/GL8.png" TargetMode="External"/><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s://maritimecyprus.com/wp-content/uploads/2022/03/gl55.jpg" TargetMode="External"/><Relationship Id="rId12" Type="http://schemas.openxmlformats.org/officeDocument/2006/relationships/image" Target="media/image4.gif"/><Relationship Id="rId17" Type="http://schemas.openxmlformats.org/officeDocument/2006/relationships/hyperlink" Target="https://maritimecyprus.com/wp-content/uploads/2022/03/gl7.jpg" TargetMode="External"/><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maritimecyprus.com/wp-content/uploads/2022/03/GL2.gif" TargetMode="External"/><Relationship Id="rId24" Type="http://schemas.openxmlformats.org/officeDocument/2006/relationships/image" Target="media/image11.jpeg"/><Relationship Id="rId5" Type="http://schemas.openxmlformats.org/officeDocument/2006/relationships/hyperlink" Target="https://maritimecyprus.com/author/maritimecyprus/" TargetMode="External"/><Relationship Id="rId15" Type="http://schemas.openxmlformats.org/officeDocument/2006/relationships/hyperlink" Target="https://maritimecyprus.com/wp-content/uploads/2022/03/gl66.jpg" TargetMode="External"/><Relationship Id="rId23" Type="http://schemas.openxmlformats.org/officeDocument/2006/relationships/hyperlink" Target="https://youtu.be/BWJcO7Jafwg" TargetMode="External"/><Relationship Id="rId28" Type="http://schemas.openxmlformats.org/officeDocument/2006/relationships/hyperlink" Target="https://youtu.be/h9EptCxZRys" TargetMode="External"/><Relationship Id="rId10" Type="http://schemas.openxmlformats.org/officeDocument/2006/relationships/image" Target="media/image3.png"/><Relationship Id="rId19" Type="http://schemas.openxmlformats.org/officeDocument/2006/relationships/hyperlink" Target="https://maritimecyprus.com/wp-content/uploads/2022/03/GL9.jpg" TargetMode="External"/><Relationship Id="rId4" Type="http://schemas.openxmlformats.org/officeDocument/2006/relationships/webSettings" Target="webSettings.xml"/><Relationship Id="rId9" Type="http://schemas.openxmlformats.org/officeDocument/2006/relationships/hyperlink" Target="https://maritimecyprus.com/wp-content/uploads/2022/03/GL1.png"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156</TotalTime>
  <Pages>8</Pages>
  <Words>1382</Words>
  <Characters>7878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dc:creator>
  <cp:keywords/>
  <dc:description/>
  <cp:lastModifiedBy>Thu</cp:lastModifiedBy>
  <cp:revision>6</cp:revision>
  <dcterms:created xsi:type="dcterms:W3CDTF">2025-03-17T04:11:00Z</dcterms:created>
  <dcterms:modified xsi:type="dcterms:W3CDTF">2025-03-17T06:47:00Z</dcterms:modified>
</cp:coreProperties>
</file>