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A3" w:rsidRPr="00AB13A3" w:rsidRDefault="00AB13A3" w:rsidP="00AB13A3">
      <w:pPr>
        <w:spacing w:after="105" w:line="240" w:lineRule="auto"/>
        <w:jc w:val="center"/>
        <w:outlineLvl w:val="0"/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</w:pPr>
      <w:bookmarkStart w:id="0" w:name="_GoBack"/>
      <w:r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>ICS cập nhật Bảng H</w:t>
      </w:r>
      <w:r w:rsidRPr="00AB13A3"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 xml:space="preserve">iệu suất của </w:t>
      </w:r>
      <w:r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>các Quốc gia Đăng ký tàu</w:t>
      </w:r>
      <w:r w:rsidRPr="00AB13A3"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 xml:space="preserve"> </w:t>
      </w:r>
      <w:r w:rsidR="00EB7EE4"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 xml:space="preserve">giai đoạn </w:t>
      </w:r>
      <w:r w:rsidRPr="00AB13A3">
        <w:rPr>
          <w:rFonts w:ascii="Merriweather Sans" w:eastAsia="Times New Roman" w:hAnsi="Merriweather Sans" w:cs="Times New Roman"/>
          <w:b/>
          <w:color w:val="000000"/>
          <w:kern w:val="36"/>
          <w:sz w:val="40"/>
          <w:szCs w:val="40"/>
        </w:rPr>
        <w:t>2024/2025</w:t>
      </w:r>
    </w:p>
    <w:bookmarkEnd w:id="0"/>
    <w:p w:rsidR="00AB13A3" w:rsidRDefault="00AB13A3" w:rsidP="00AB13A3">
      <w:pPr>
        <w:spacing w:after="120" w:line="240" w:lineRule="auto"/>
        <w:jc w:val="right"/>
        <w:rPr>
          <w:rFonts w:ascii="Merriweather Sans" w:eastAsia="Times New Roman" w:hAnsi="Merriweather Sans" w:cs="Times New Roman"/>
          <w:color w:val="444444"/>
          <w:sz w:val="24"/>
          <w:szCs w:val="24"/>
        </w:rPr>
      </w:pPr>
      <w:r w:rsidRPr="00AB13A3">
        <w:rPr>
          <w:rFonts w:ascii="Merriweather Sans" w:eastAsia="Times New Roman" w:hAnsi="Merriweather Sans" w:cs="Times New Roman"/>
          <w:color w:val="444444"/>
          <w:sz w:val="24"/>
          <w:szCs w:val="24"/>
        </w:rPr>
        <w:t>Theo  </w:t>
      </w:r>
      <w:hyperlink r:id="rId5" w:history="1">
        <w:r w:rsidRPr="00AB13A3">
          <w:rPr>
            <w:rFonts w:ascii="Merriweather Sans" w:eastAsia="Times New Roman" w:hAnsi="Merriweather Sans" w:cs="Times New Roman"/>
            <w:b/>
            <w:bCs/>
            <w:color w:val="005689"/>
            <w:sz w:val="24"/>
            <w:szCs w:val="24"/>
            <w:u w:val="single"/>
          </w:rPr>
          <w:t>maritimecyprus</w:t>
        </w:r>
      </w:hyperlink>
    </w:p>
    <w:p w:rsidR="00AB13A3" w:rsidRPr="00AB13A3" w:rsidRDefault="00C6626C" w:rsidP="00C6626C">
      <w:pPr>
        <w:spacing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B13A3">
        <w:drawing>
          <wp:inline distT="0" distB="0" distL="0" distR="0" wp14:anchorId="7196300D" wp14:editId="29BE4F72">
            <wp:extent cx="3537585" cy="2682240"/>
            <wp:effectExtent l="0" t="0" r="571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5264" b="15851"/>
                    <a:stretch/>
                  </pic:blipFill>
                  <pic:spPr bwMode="auto">
                    <a:xfrm>
                      <a:off x="0" y="0"/>
                      <a:ext cx="3544702" cy="2687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3A3" w:rsidRPr="00AB13A3" w:rsidRDefault="00AB13A3" w:rsidP="00AB13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3A3">
        <w:rPr>
          <w:rFonts w:ascii="Times New Roman" w:eastAsia="Times New Roman" w:hAnsi="Times New Roman" w:cs="Times New Roman"/>
          <w:sz w:val="26"/>
          <w:szCs w:val="26"/>
        </w:rPr>
        <w:t>Phòng Thương mại Quốc tế (ICS) đã công bố Bảng Hiệu suất thường niên 2024/2025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của các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của Ngành Vận tải Biển.</w:t>
      </w:r>
    </w:p>
    <w:p w:rsidR="00AB13A3" w:rsidRPr="00AB13A3" w:rsidRDefault="00AB13A3" w:rsidP="00AB13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Bảng Hiệu suất </w:t>
      </w:r>
      <w:r>
        <w:rPr>
          <w:rFonts w:ascii="Times New Roman" w:eastAsia="Times New Roman" w:hAnsi="Times New Roman" w:cs="Times New Roman"/>
          <w:sz w:val="26"/>
          <w:szCs w:val="26"/>
        </w:rPr>
        <w:t>này của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ICS tập hợp dữ liệu có sẵn trong phạm vi công cộng liên quan đến hiệu suất của các quốc gia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đăng ký tàu về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hồ sơ Kiểm </w:t>
      </w:r>
      <w:r>
        <w:rPr>
          <w:rFonts w:ascii="Times New Roman" w:eastAsia="Times New Roman" w:hAnsi="Times New Roman" w:cs="Times New Roman"/>
          <w:sz w:val="26"/>
          <w:szCs w:val="26"/>
        </w:rPr>
        <w:t>tra của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Nhà nước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có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>Cảng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(PSC)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, phê chuẩn các Công ước quốc tế và tham dự </w:t>
      </w:r>
      <w:r>
        <w:rPr>
          <w:rFonts w:ascii="Times New Roman" w:eastAsia="Times New Roman" w:hAnsi="Times New Roman" w:cs="Times New Roman"/>
          <w:sz w:val="26"/>
          <w:szCs w:val="26"/>
        </w:rPr>
        <w:t>các kỳ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họp của IMO. Mục đích của bảng này là khuyến khích chủ tàu duy trì đối thoại với các cơ quan quản lý cờ của </w:t>
      </w:r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để giúp mang lại bất kỳ cải tiến nào có thể cần thiết vì lợi ích của an toàn,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bảo vệ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môi trường và điều kiện làm việc </w:t>
      </w:r>
      <w:r>
        <w:rPr>
          <w:rFonts w:ascii="Times New Roman" w:eastAsia="Times New Roman" w:hAnsi="Times New Roman" w:cs="Times New Roman"/>
          <w:sz w:val="26"/>
          <w:szCs w:val="26"/>
        </w:rPr>
        <w:t>tử tế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13A3" w:rsidRPr="00AB13A3" w:rsidRDefault="00AB13A3" w:rsidP="00AB13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Bảng Hiệu suất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của ICS cung cấp một chỉ số vô giá về hiệu suất của từng 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trên toàn thế giới. Bảng này phân tích cách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mà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các quốc gia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vận hành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theo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nhiều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tiêu chí như hồ sơ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về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Kiểm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tra của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Nhà nước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có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Cảng (PSC), phê chuẩn các Công ước </w:t>
      </w:r>
      <w:r w:rsidR="00BC2586" w:rsidRPr="00AB13A3">
        <w:rPr>
          <w:rFonts w:ascii="Times New Roman" w:eastAsia="Times New Roman" w:hAnsi="Times New Roman" w:cs="Times New Roman"/>
          <w:sz w:val="26"/>
          <w:szCs w:val="26"/>
        </w:rPr>
        <w:t>quốc tế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 về</w:t>
      </w:r>
      <w:r w:rsidR="00BC2586" w:rsidRPr="00AB13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>hàng hải và tham dự các cuộc họp của IMO.</w:t>
      </w:r>
    </w:p>
    <w:p w:rsidR="00AB13A3" w:rsidRPr="00AB13A3" w:rsidRDefault="00AB13A3" w:rsidP="00AB13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Không có gì bất thường về bản chất trong hệ thống đăng ký tàu quốc tế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khi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mà chủ sở hữu của một con tàu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lại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có thể ở một quốc gia khác ngoài Quốc gia mà con tàu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mang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cờ. Tuy nhiên,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 chủ tàu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cần phải cân bằng giữa lợi thế thương mại khi lựa chọn một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quốc tịch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cụ thể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cho tàu 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>và nhu cầu ngăn chặn việc sử dụng những lá cờ không đáp ứng các nghĩa vụ quốc tế.</w:t>
      </w:r>
    </w:p>
    <w:p w:rsidR="00AB13A3" w:rsidRPr="00AB13A3" w:rsidRDefault="00AB13A3" w:rsidP="00AB13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Mục đích của Bảng đánh giá hiệu suất của quốc gia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này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có</w:t>
      </w:r>
      <w:r w:rsidRPr="00AB13A3">
        <w:rPr>
          <w:rFonts w:ascii="Times New Roman" w:eastAsia="Times New Roman" w:hAnsi="Times New Roman" w:cs="Times New Roman"/>
          <w:sz w:val="26"/>
          <w:szCs w:val="26"/>
        </w:rPr>
        <w:t xml:space="preserve"> hai mặt:</w:t>
      </w:r>
    </w:p>
    <w:p w:rsidR="00AB13A3" w:rsidRPr="00BC2586" w:rsidRDefault="00AB13A3" w:rsidP="00BC2586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Khuyến khích chủ tàu và người điều hành tàu xem xét liệu quốc gia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 xml:space="preserve">mà tàu mang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cờ có đủ thực chất hay không trước khi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đăng ký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13A3" w:rsidRDefault="00AB13A3" w:rsidP="00BC2586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Khuyến khích chủ tàu và người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khai thác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tàu gây áp lực lên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Chính quyền của nước tàu đăng ký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thực hiện bất kỳ cải tiến nào có thể cần thiết,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nhất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là liên quan đến an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toàn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sinh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mạng trên biển, bảo vệ môi trường và cung cấp điều kiện làm việc và sinh hoạt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tử tế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="00BC2586"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626C" w:rsidRPr="00C6626C" w:rsidRDefault="00C6626C" w:rsidP="00C662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6C">
        <w:rPr>
          <w:rFonts w:ascii="Merriweather Sans" w:eastAsia="Times New Roman" w:hAnsi="Merriweather Sans" w:cs="Times New Roman"/>
          <w:color w:val="222222"/>
          <w:sz w:val="23"/>
          <w:szCs w:val="23"/>
        </w:rPr>
        <w:drawing>
          <wp:inline distT="0" distB="0" distL="0" distR="0" wp14:anchorId="31BE8DFF" wp14:editId="765A3D09">
            <wp:extent cx="5890236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9499" cy="80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86" w:rsidRPr="00BC2586" w:rsidRDefault="00BC2586" w:rsidP="00BC25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Cách sử dụng Bảng</w:t>
      </w:r>
      <w:r w:rsidRPr="00BC2586">
        <w:rPr>
          <w:rFonts w:ascii="Times New Roman" w:eastAsia="Times New Roman" w:hAnsi="Times New Roman" w:cs="Times New Roman"/>
          <w:b/>
          <w:sz w:val="26"/>
          <w:szCs w:val="26"/>
        </w:rPr>
        <w:t xml:space="preserve"> này</w:t>
      </w:r>
    </w:p>
    <w:p w:rsidR="00BC2586" w:rsidRPr="00BC2586" w:rsidRDefault="00BC2586" w:rsidP="00BC25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Bảng này tóm tắt thông tin thực tế trong phạm vi công cộng có thể hữu ích trong việc đánh giá hiệu suất của các quốc gia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mà tàu mang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>cờ. Các nguồn được hiển thị trong phần chú thích ở cuối báo cáo này.</w:t>
      </w:r>
    </w:p>
    <w:p w:rsidR="00BC2586" w:rsidRPr="00BC2586" w:rsidRDefault="00BC2586" w:rsidP="00BC25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>Các chỉ số hiệu suất tích cực được hiển thị dưới dạng các ô vuông màu xanh lá cây trên Bảng.</w:t>
      </w:r>
      <w:r w:rsidR="00C6626C">
        <w:rPr>
          <w:rFonts w:ascii="Times New Roman" w:eastAsia="Times New Roman" w:hAnsi="Times New Roman" w:cs="Times New Roman"/>
          <w:sz w:val="26"/>
          <w:szCs w:val="26"/>
        </w:rPr>
        <w:t xml:space="preserve"> Màu đỏ biểu thị k</w:t>
      </w:r>
      <w:r w:rsidR="00C6626C" w:rsidRPr="00C6626C">
        <w:rPr>
          <w:rFonts w:ascii="Times New Roman" w:eastAsia="Times New Roman" w:hAnsi="Times New Roman" w:cs="Times New Roman"/>
          <w:sz w:val="26"/>
          <w:szCs w:val="26"/>
        </w:rPr>
        <w:t>hông có dữ liệu nào được gửi tới IMO - có thể được coi là chỉ số tiêu cực</w:t>
      </w:r>
      <w:r w:rsidR="002D36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2586" w:rsidRPr="00BC2586" w:rsidRDefault="00BC2586" w:rsidP="00BC25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Giống như tất cả các tập dữ liệu, Bảng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này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cần được sử dụng cẩn thận. Khi một 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thiếu một chỉ số tích cực </w:t>
      </w:r>
      <w:r>
        <w:rPr>
          <w:rFonts w:ascii="Times New Roman" w:eastAsia="Times New Roman" w:hAnsi="Times New Roman" w:cs="Times New Roman"/>
          <w:sz w:val="26"/>
          <w:szCs w:val="26"/>
        </w:rPr>
        <w:t>nhất định thì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bản thân điều này không cung cấp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một chỉ số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hiệu suất đáng tin cậy. Ví dụ, một 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có thể không thể phê chuẩn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một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Công ước do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nó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xung đột với luật trong nước nhưng vẫn có thể thực hiện các </w:t>
      </w:r>
      <w:r>
        <w:rPr>
          <w:rFonts w:ascii="Times New Roman" w:eastAsia="Times New Roman" w:hAnsi="Times New Roman" w:cs="Times New Roman"/>
          <w:sz w:val="26"/>
          <w:szCs w:val="26"/>
        </w:rPr>
        <w:t>quy định của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chính của Công ướ</w:t>
      </w:r>
      <w:r w:rsidR="00C6626C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đó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. Tương tự như vậy, một 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có thể không được liệt kê trong 'danh sách trắng' của </w:t>
      </w:r>
      <w:r>
        <w:rPr>
          <w:rFonts w:ascii="Times New Roman" w:eastAsia="Times New Roman" w:hAnsi="Times New Roman" w:cs="Times New Roman"/>
          <w:sz w:val="26"/>
          <w:szCs w:val="26"/>
        </w:rPr>
        <w:t>PSC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vì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của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>quốc gia đó không thực hiện bất kỳ chuyến ghé cảng nào trong khu vực PSC đó.</w:t>
      </w:r>
    </w:p>
    <w:p w:rsidR="00BC2586" w:rsidRDefault="00BC2586" w:rsidP="00BC25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Tuy nhiên, nếu một số lượng lớn các chỉ số được hiển thị là không </w:t>
      </w:r>
      <w:r>
        <w:rPr>
          <w:rFonts w:ascii="Times New Roman" w:eastAsia="Times New Roman" w:hAnsi="Times New Roman" w:cs="Times New Roman"/>
          <w:sz w:val="26"/>
          <w:szCs w:val="26"/>
        </w:rPr>
        <w:t>đạt thì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 xml:space="preserve"> điều này có thể cho thấy hiệu suất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quốc gia đó </w:t>
      </w:r>
      <w:r w:rsidRPr="00BC2586">
        <w:rPr>
          <w:rFonts w:ascii="Times New Roman" w:eastAsia="Times New Roman" w:hAnsi="Times New Roman" w:cs="Times New Roman"/>
          <w:sz w:val="26"/>
          <w:szCs w:val="26"/>
        </w:rPr>
        <w:t>không đạt yêu cầu và các công ty vận tải biển nên đặt thêm câu hỏi cho quốc gia liên quan.</w:t>
      </w:r>
    </w:p>
    <w:p w:rsidR="00C6626C" w:rsidRPr="00C6626C" w:rsidRDefault="00C6626C" w:rsidP="00C662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>Nhiều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 xml:space="preserve"> Quốc gia 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>đăng ký tàu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 xml:space="preserve"> đã cho thấy các chỉ số tích cực 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>ở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 xml:space="preserve"> tất cả các tiêu chí được sử dụng trong Bảng. Bao gồm:</w:t>
      </w:r>
    </w:p>
    <w:p w:rsidR="00C6626C" w:rsidRPr="00C6626C" w:rsidRDefault="00C6626C" w:rsidP="00C6626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>Hy Lạp, Đặc khu hành chính Hồng Kông, Nhật Bản, Liberia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cao</w:t>
      </w: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 xml:space="preserve"> nhất), Malta, Quần đảo Marshall và Singapore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là nơi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có hơn 53% đội tàu thế giới được đăng ký (theo UN Trade and Development) – tiếp tục cho thấy các chỉ số hiệu suất hoàn toàn xanh trên bảng mới nhất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>ICS.</w:t>
      </w:r>
    </w:p>
    <w:p w:rsidR="00C6626C" w:rsidRPr="00C6626C" w:rsidRDefault="00C6626C" w:rsidP="00C6626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6C">
        <w:rPr>
          <w:rFonts w:ascii="Times New Roman" w:eastAsia="Times New Roman" w:hAnsi="Times New Roman" w:cs="Times New Roman"/>
          <w:b/>
          <w:sz w:val="26"/>
          <w:szCs w:val="26"/>
        </w:rPr>
        <w:t>Bahamas, Trung Quốc Cộng hòa Nhân dân Trung Hoa và Panama,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cũng nằm trong top mười theo </w:t>
      </w:r>
      <w:r>
        <w:rPr>
          <w:rFonts w:ascii="Times New Roman" w:eastAsia="Times New Roman" w:hAnsi="Times New Roman" w:cs="Times New Roman"/>
          <w:sz w:val="26"/>
          <w:szCs w:val="26"/>
        </w:rPr>
        <w:t>dung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tải, cũng cho thấy hiệu suất rất tốt và cam kết nghiêm ngặt đối với quy định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về 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>hàng hải t</w:t>
      </w:r>
      <w:r>
        <w:rPr>
          <w:rFonts w:ascii="Times New Roman" w:eastAsia="Times New Roman" w:hAnsi="Times New Roman" w:cs="Times New Roman"/>
          <w:sz w:val="26"/>
          <w:szCs w:val="26"/>
        </w:rPr>
        <w:t>rên t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>oàn cầu.</w:t>
      </w:r>
    </w:p>
    <w:p w:rsidR="00C6626C" w:rsidRPr="00BC2586" w:rsidRDefault="00C6626C" w:rsidP="00C662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Để biết thêm thông tin, hãy nhấp vào </w:t>
      </w:r>
      <w:r>
        <w:rPr>
          <w:rFonts w:ascii="Times New Roman" w:eastAsia="Times New Roman" w:hAnsi="Times New Roman" w:cs="Times New Roman"/>
          <w:sz w:val="26"/>
          <w:szCs w:val="26"/>
        </w:rPr>
        <w:t>liên kết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bên dưới để tải xuống Bảng hiệu suất 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C6626C">
        <w:rPr>
          <w:rFonts w:ascii="Times New Roman" w:eastAsia="Times New Roman" w:hAnsi="Times New Roman" w:cs="Times New Roman"/>
          <w:sz w:val="26"/>
          <w:szCs w:val="26"/>
        </w:rPr>
        <w:t xml:space="preserve"> của ICS 2024/2025:</w:t>
      </w:r>
    </w:p>
    <w:p w:rsidR="00AB13A3" w:rsidRPr="00C6626C" w:rsidRDefault="00AB13A3">
      <w:pPr>
        <w:rPr>
          <w:sz w:val="24"/>
          <w:szCs w:val="24"/>
        </w:rPr>
      </w:pPr>
      <w:hyperlink r:id="rId8" w:history="1">
        <w:r w:rsidRPr="00C6626C">
          <w:rPr>
            <w:rStyle w:val="Hyperlink"/>
            <w:sz w:val="24"/>
            <w:szCs w:val="24"/>
          </w:rPr>
          <w:t>https://maritimecyprus.com/wp-content/uploads/2025/02/ICS-Flag-State-Performance-Table-2024-2025c.pdf</w:t>
        </w:r>
      </w:hyperlink>
      <w:r w:rsidR="00C6626C" w:rsidRPr="00C6626C">
        <w:rPr>
          <w:sz w:val="24"/>
          <w:szCs w:val="24"/>
        </w:rPr>
        <w:t>.</w:t>
      </w:r>
    </w:p>
    <w:p w:rsidR="00C6626C" w:rsidRDefault="00C6626C" w:rsidP="00C6626C">
      <w:pPr>
        <w:jc w:val="center"/>
      </w:pPr>
      <w:r>
        <w:t>---------------------------------------------</w:t>
      </w:r>
    </w:p>
    <w:p w:rsidR="00AB13A3" w:rsidRDefault="00AB13A3"/>
    <w:sectPr w:rsidR="00AB13A3" w:rsidSect="00AB13A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064"/>
    <w:multiLevelType w:val="multilevel"/>
    <w:tmpl w:val="CAD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A4F2F"/>
    <w:multiLevelType w:val="hybridMultilevel"/>
    <w:tmpl w:val="F9083754"/>
    <w:lvl w:ilvl="0" w:tplc="41B885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03A03"/>
    <w:multiLevelType w:val="hybridMultilevel"/>
    <w:tmpl w:val="63E8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CAB"/>
    <w:multiLevelType w:val="hybridMultilevel"/>
    <w:tmpl w:val="935CAD94"/>
    <w:lvl w:ilvl="0" w:tplc="41B885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A3"/>
    <w:rsid w:val="000E31F1"/>
    <w:rsid w:val="002D362A"/>
    <w:rsid w:val="00AB13A3"/>
    <w:rsid w:val="00BC2586"/>
    <w:rsid w:val="00C6626C"/>
    <w:rsid w:val="00E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3D0"/>
  <w15:chartTrackingRefBased/>
  <w15:docId w15:val="{62373ACC-FFB8-4AEC-9C7B-2CD77DB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1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1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B13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1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B13A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13A3"/>
    <w:rPr>
      <w:color w:val="0000FF"/>
      <w:u w:val="single"/>
    </w:rPr>
  </w:style>
  <w:style w:type="character" w:customStyle="1" w:styleId="td-post-date">
    <w:name w:val="td-post-date"/>
    <w:basedOn w:val="DefaultParagraphFont"/>
    <w:rsid w:val="00AB13A3"/>
  </w:style>
  <w:style w:type="character" w:customStyle="1" w:styleId="td-nr-views-39983">
    <w:name w:val="td-nr-views-39983"/>
    <w:basedOn w:val="DefaultParagraphFont"/>
    <w:rsid w:val="00AB13A3"/>
  </w:style>
  <w:style w:type="paragraph" w:styleId="NormalWeb">
    <w:name w:val="Normal (Web)"/>
    <w:basedOn w:val="Normal"/>
    <w:uiPriority w:val="99"/>
    <w:semiHidden/>
    <w:unhideWhenUsed/>
    <w:rsid w:val="00AB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13A3"/>
    <w:rPr>
      <w:b/>
      <w:bCs/>
    </w:rPr>
  </w:style>
  <w:style w:type="paragraph" w:styleId="ListParagraph">
    <w:name w:val="List Paragraph"/>
    <w:basedOn w:val="Normal"/>
    <w:uiPriority w:val="34"/>
    <w:qFormat/>
    <w:rsid w:val="00BC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667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92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2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42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25/02/ICS-Flag-State-Performance-Table-2024-2025c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ritimecyprus.com/author/maritimecypr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2025-02-21T06:28:00Z</dcterms:created>
  <dcterms:modified xsi:type="dcterms:W3CDTF">2025-02-21T06:59:00Z</dcterms:modified>
</cp:coreProperties>
</file>