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E3" w:rsidRPr="005A7CE3" w:rsidRDefault="005A7CE3" w:rsidP="005A7CE3">
      <w:pPr>
        <w:spacing w:after="120" w:line="240" w:lineRule="auto"/>
        <w:jc w:val="center"/>
        <w:outlineLvl w:val="0"/>
        <w:rPr>
          <w:rFonts w:ascii="Times New Roman" w:eastAsia="Times New Roman" w:hAnsi="Times New Roman" w:cs="Times New Roman"/>
          <w:b/>
          <w:color w:val="000000"/>
          <w:kern w:val="36"/>
          <w:sz w:val="40"/>
          <w:szCs w:val="40"/>
        </w:rPr>
      </w:pPr>
      <w:bookmarkStart w:id="0" w:name="_GoBack"/>
      <w:r>
        <w:rPr>
          <w:rFonts w:ascii="Times New Roman" w:eastAsia="Times New Roman" w:hAnsi="Times New Roman" w:cs="Times New Roman"/>
          <w:b/>
          <w:color w:val="000000"/>
          <w:kern w:val="36"/>
          <w:sz w:val="40"/>
          <w:szCs w:val="40"/>
        </w:rPr>
        <w:t>Các quy định mới về Quản lý nước dằn</w:t>
      </w:r>
      <w:r w:rsidRPr="005A7CE3">
        <w:rPr>
          <w:rFonts w:ascii="Times New Roman" w:eastAsia="Times New Roman" w:hAnsi="Times New Roman" w:cs="Times New Roman"/>
          <w:b/>
          <w:color w:val="000000"/>
          <w:kern w:val="36"/>
          <w:sz w:val="40"/>
          <w:szCs w:val="40"/>
        </w:rPr>
        <w:t xml:space="preserve"> </w:t>
      </w:r>
    </w:p>
    <w:bookmarkEnd w:id="0"/>
    <w:p w:rsidR="005A7CE3" w:rsidRPr="005A7CE3" w:rsidRDefault="005A7CE3" w:rsidP="005A7CE3">
      <w:pPr>
        <w:spacing w:before="120" w:after="120" w:line="240" w:lineRule="auto"/>
        <w:jc w:val="right"/>
        <w:rPr>
          <w:rFonts w:ascii="Merriweather Sans" w:eastAsia="Times New Roman" w:hAnsi="Merriweather Sans" w:cs="Times New Roman"/>
          <w:color w:val="4472C4" w:themeColor="accent1"/>
          <w:sz w:val="24"/>
          <w:szCs w:val="24"/>
        </w:rPr>
      </w:pPr>
      <w:r w:rsidRPr="005A7CE3">
        <w:rPr>
          <w:rFonts w:ascii="Merriweather Sans" w:eastAsia="Times New Roman" w:hAnsi="Merriweather Sans" w:cs="Times New Roman"/>
          <w:color w:val="4472C4" w:themeColor="accent1"/>
          <w:sz w:val="24"/>
          <w:szCs w:val="24"/>
        </w:rPr>
        <w:t>Theo  </w:t>
      </w:r>
      <w:hyperlink r:id="rId5" w:history="1">
        <w:r w:rsidRPr="005A7CE3">
          <w:rPr>
            <w:rFonts w:ascii="Merriweather Sans" w:eastAsia="Times New Roman" w:hAnsi="Merriweather Sans" w:cs="Times New Roman"/>
            <w:b/>
            <w:bCs/>
            <w:color w:val="4472C4" w:themeColor="accent1"/>
            <w:sz w:val="24"/>
            <w:szCs w:val="24"/>
            <w:u w:val="single"/>
          </w:rPr>
          <w:t>maritimecyprus</w:t>
        </w:r>
      </w:hyperlink>
    </w:p>
    <w:p w:rsidR="005A7CE3" w:rsidRPr="005A7CE3" w:rsidRDefault="005A7CE3" w:rsidP="005A7CE3">
      <w:pPr>
        <w:spacing w:after="0" w:line="240" w:lineRule="auto"/>
        <w:rPr>
          <w:rFonts w:ascii="Merriweather Sans" w:eastAsia="Times New Roman" w:hAnsi="Merriweather Sans" w:cs="Times New Roman"/>
          <w:color w:val="222222"/>
          <w:sz w:val="23"/>
          <w:szCs w:val="23"/>
        </w:rPr>
      </w:pPr>
      <w:r w:rsidRPr="005A7CE3">
        <w:rPr>
          <w:rFonts w:ascii="Merriweather Sans" w:eastAsia="Times New Roman" w:hAnsi="Merriweather Sans" w:cs="Times New Roman"/>
          <w:noProof/>
          <w:color w:val="222222"/>
          <w:sz w:val="23"/>
          <w:szCs w:val="23"/>
        </w:rPr>
        <w:drawing>
          <wp:inline distT="0" distB="0" distL="0" distR="0">
            <wp:extent cx="5966460" cy="3360420"/>
            <wp:effectExtent l="0" t="0" r="0" b="0"/>
            <wp:docPr id="2" name="Picture 2" descr="https://maritimecyprus.com/wp-content/uploads/2024/12/BWM-new-requirements-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12/BWM-new-requirements-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6804" cy="3371878"/>
                    </a:xfrm>
                    <a:prstGeom prst="rect">
                      <a:avLst/>
                    </a:prstGeom>
                    <a:noFill/>
                    <a:ln>
                      <a:noFill/>
                    </a:ln>
                  </pic:spPr>
                </pic:pic>
              </a:graphicData>
            </a:graphic>
          </wp:inline>
        </w:drawing>
      </w:r>
    </w:p>
    <w:p w:rsidR="005A7CE3" w:rsidRPr="005A7CE3" w:rsidRDefault="005A7CE3" w:rsidP="005A7CE3">
      <w:pPr>
        <w:spacing w:before="120" w:after="120" w:line="240" w:lineRule="auto"/>
        <w:jc w:val="both"/>
        <w:rPr>
          <w:rFonts w:ascii="Merriweather Sans" w:eastAsia="Times New Roman" w:hAnsi="Merriweather Sans" w:cs="Times New Roman"/>
          <w:color w:val="0070C0"/>
          <w:sz w:val="23"/>
          <w:szCs w:val="23"/>
        </w:rPr>
      </w:pPr>
      <w:r w:rsidRPr="005A7CE3">
        <w:rPr>
          <w:rFonts w:ascii="Times New Roman" w:eastAsia="Times New Roman" w:hAnsi="Times New Roman" w:cs="Times New Roman"/>
          <w:color w:val="0070C0"/>
          <w:sz w:val="26"/>
          <w:szCs w:val="26"/>
        </w:rPr>
        <w:t>Tổ chức Hàng hải Quốc tế (IMO) đã đưa ra những cập nhật quan trọng cho Công ước quốc tế về Quản lý nước dằn (BWM) thông qua việc thông qua ba thông tư sửa đổi vào ngày 24 tháng 10 năm 2024. Những sửa đổi này cung cấp hướng dẫn cập nhật về các khía cạnh quan trọng của quản lý nước dằn, bao gồm lưu giữ hồ sơ, quy trình phê duyệt loại và sử dụng các chất hoạt tính trong hệ thống quản lý nước dằn (BWMS). Các bản sửa đổi nhằm mục đích tăng cường tuân thủ Công ước BWM và giải quyết những thách thức đang phát triển trong bối cảnh của vận hành và kỹ thuật. Chủ tàu, người khai thác tàu và nhà sản xuất BWMS được khuyến khích xem xét những thay đổi này để đảm bảo tuân thủ các yêu cầu và thực tiễn tốt đã được cập nhật</w:t>
      </w:r>
      <w:r w:rsidRPr="005A7CE3">
        <w:rPr>
          <w:rFonts w:ascii="Merriweather Sans" w:eastAsia="Times New Roman" w:hAnsi="Merriweather Sans" w:cs="Times New Roman"/>
          <w:color w:val="0070C0"/>
          <w:sz w:val="23"/>
          <w:szCs w:val="23"/>
        </w:rPr>
        <w:t>.</w:t>
      </w:r>
    </w:p>
    <w:p w:rsidR="005A7CE3" w:rsidRPr="005A7CE3" w:rsidRDefault="005A7CE3" w:rsidP="005A7CE3">
      <w:pPr>
        <w:spacing w:after="0" w:line="240" w:lineRule="auto"/>
        <w:rPr>
          <w:rFonts w:ascii="Merriweather Sans" w:eastAsia="Times New Roman" w:hAnsi="Merriweather Sans" w:cs="Times New Roman"/>
          <w:color w:val="222222"/>
          <w:sz w:val="23"/>
          <w:szCs w:val="23"/>
        </w:rPr>
      </w:pPr>
      <w:r w:rsidRPr="005A7CE3">
        <w:rPr>
          <w:rFonts w:ascii="Merriweather Sans" w:eastAsia="Times New Roman" w:hAnsi="Merriweather Sans" w:cs="Times New Roman"/>
          <w:color w:val="0070C0"/>
          <w:sz w:val="23"/>
          <w:szCs w:val="23"/>
        </w:rPr>
        <w:pict>
          <v:rect id="_x0000_i1026" style="width:0;height:0" o:hralign="center" o:hrstd="t" o:hr="t" fillcolor="#a0a0a0" stroked="f"/>
        </w:pict>
      </w:r>
    </w:p>
    <w:p w:rsidR="005A7CE3" w:rsidRPr="005A7CE3" w:rsidRDefault="005A7CE3" w:rsidP="005A7CE3">
      <w:pPr>
        <w:spacing w:after="120" w:line="240" w:lineRule="auto"/>
        <w:rPr>
          <w:rFonts w:ascii="Times New Roman" w:eastAsia="Times New Roman" w:hAnsi="Times New Roman" w:cs="Times New Roman"/>
          <w:sz w:val="26"/>
          <w:szCs w:val="26"/>
        </w:rPr>
      </w:pPr>
      <w:r w:rsidRPr="005A7CE3">
        <w:rPr>
          <w:rFonts w:ascii="Times New Roman" w:eastAsia="Times New Roman" w:hAnsi="Times New Roman" w:cs="Times New Roman"/>
          <w:sz w:val="26"/>
          <w:szCs w:val="26"/>
        </w:rPr>
        <w:t>IMO đã thông qua ba sửa đổi đối với các thông tư hiện hành liên quan đến Công ước Quản lý nước dằn (BWM) như sau:</w:t>
      </w:r>
    </w:p>
    <w:p w:rsidR="005A7CE3" w:rsidRPr="005A7CE3" w:rsidRDefault="005A7CE3" w:rsidP="005A7CE3">
      <w:pPr>
        <w:numPr>
          <w:ilvl w:val="0"/>
          <w:numId w:val="1"/>
        </w:numPr>
        <w:spacing w:before="120" w:after="120" w:line="240" w:lineRule="auto"/>
        <w:jc w:val="both"/>
        <w:rPr>
          <w:rFonts w:ascii="Times New Roman" w:eastAsia="Times New Roman" w:hAnsi="Times New Roman" w:cs="Times New Roman"/>
          <w:sz w:val="26"/>
          <w:szCs w:val="26"/>
        </w:rPr>
      </w:pPr>
      <w:hyperlink r:id="rId7" w:tgtFrame="_blank" w:history="1">
        <w:r w:rsidRPr="005A7CE3">
          <w:rPr>
            <w:rFonts w:ascii="Times New Roman" w:eastAsia="Times New Roman" w:hAnsi="Times New Roman" w:cs="Times New Roman"/>
            <w:color w:val="4472C4" w:themeColor="accent1"/>
            <w:sz w:val="26"/>
            <w:szCs w:val="26"/>
            <w:u w:val="single"/>
          </w:rPr>
          <w:t>IMO – BWM.2/Circ.80/Rev.1</w:t>
        </w:r>
      </w:hyperlink>
      <w:r w:rsidRPr="005A7CE3">
        <w:rPr>
          <w:rFonts w:ascii="Times New Roman" w:eastAsia="Times New Roman" w:hAnsi="Times New Roman" w:cs="Times New Roman"/>
          <w:sz w:val="26"/>
          <w:szCs w:val="26"/>
        </w:rPr>
        <w:t xml:space="preserve"> –Hướng dẫn năm 2024 về việc lưu giữ hồ sơ </w:t>
      </w:r>
      <w:r w:rsidRPr="005A7CE3">
        <w:rPr>
          <w:rFonts w:ascii="Times New Roman" w:eastAsia="Times New Roman" w:hAnsi="Times New Roman" w:cs="Times New Roman"/>
          <w:sz w:val="26"/>
          <w:szCs w:val="26"/>
        </w:rPr>
        <w:t xml:space="preserve">và báo cáo </w:t>
      </w:r>
      <w:r w:rsidRPr="005A7CE3">
        <w:rPr>
          <w:rFonts w:ascii="Times New Roman" w:eastAsia="Times New Roman" w:hAnsi="Times New Roman" w:cs="Times New Roman"/>
          <w:sz w:val="26"/>
          <w:szCs w:val="26"/>
        </w:rPr>
        <w:t>về nước dằn (được thông qua vào ngày 24 tháng 10 năm 2024)</w:t>
      </w:r>
    </w:p>
    <w:p w:rsidR="005A7CE3" w:rsidRPr="005A7CE3" w:rsidRDefault="005A7CE3" w:rsidP="005A7CE3">
      <w:pPr>
        <w:numPr>
          <w:ilvl w:val="0"/>
          <w:numId w:val="1"/>
        </w:numPr>
        <w:spacing w:before="120" w:after="120" w:line="240" w:lineRule="auto"/>
        <w:jc w:val="both"/>
        <w:rPr>
          <w:rFonts w:ascii="Times New Roman" w:eastAsia="Times New Roman" w:hAnsi="Times New Roman" w:cs="Times New Roman"/>
          <w:sz w:val="26"/>
          <w:szCs w:val="26"/>
        </w:rPr>
      </w:pPr>
      <w:hyperlink r:id="rId8" w:tgtFrame="_blank" w:history="1">
        <w:r w:rsidRPr="005A7CE3">
          <w:rPr>
            <w:rFonts w:ascii="Times New Roman" w:eastAsia="Times New Roman" w:hAnsi="Times New Roman" w:cs="Times New Roman"/>
            <w:color w:val="4472C4" w:themeColor="accent1"/>
            <w:sz w:val="26"/>
            <w:szCs w:val="26"/>
            <w:u w:val="single"/>
          </w:rPr>
          <w:t>IMO – BWM.2/Circ.43/Rev.2</w:t>
        </w:r>
      </w:hyperlink>
      <w:r w:rsidRPr="005A7CE3">
        <w:rPr>
          <w:rFonts w:ascii="Times New Roman" w:eastAsia="Times New Roman" w:hAnsi="Times New Roman" w:cs="Times New Roman"/>
          <w:sz w:val="26"/>
          <w:szCs w:val="26"/>
        </w:rPr>
        <w:t> –Hướng dẫn năm 2024 cho các chính phủ về quy trình phê duyệt loại cho hệ thống quản lý nước dằn (được thông qua vào ngày 24 tháng 10 năm 2024)</w:t>
      </w:r>
    </w:p>
    <w:p w:rsidR="005A7CE3" w:rsidRPr="005A7CE3" w:rsidRDefault="005A7CE3" w:rsidP="005A7CE3">
      <w:pPr>
        <w:numPr>
          <w:ilvl w:val="0"/>
          <w:numId w:val="1"/>
        </w:numPr>
        <w:spacing w:before="120" w:after="120" w:line="240" w:lineRule="auto"/>
        <w:jc w:val="both"/>
        <w:rPr>
          <w:rFonts w:ascii="Times New Roman" w:eastAsia="Times New Roman" w:hAnsi="Times New Roman" w:cs="Times New Roman"/>
          <w:sz w:val="26"/>
          <w:szCs w:val="26"/>
        </w:rPr>
      </w:pPr>
      <w:hyperlink r:id="rId9" w:tgtFrame="_blank" w:history="1">
        <w:r w:rsidRPr="005A7CE3">
          <w:rPr>
            <w:rFonts w:ascii="Times New Roman" w:eastAsia="Times New Roman" w:hAnsi="Times New Roman" w:cs="Times New Roman"/>
            <w:color w:val="4472C4" w:themeColor="accent1"/>
            <w:sz w:val="26"/>
            <w:szCs w:val="26"/>
            <w:u w:val="single"/>
          </w:rPr>
          <w:t>IMO – BWM.2/Circ.34/Rev.13</w:t>
        </w:r>
      </w:hyperlink>
      <w:r w:rsidRPr="005A7CE3">
        <w:rPr>
          <w:rFonts w:ascii="Times New Roman" w:eastAsia="Times New Roman" w:hAnsi="Times New Roman" w:cs="Times New Roman"/>
          <w:sz w:val="26"/>
          <w:szCs w:val="26"/>
        </w:rPr>
        <w:t> –Danh sách các hệ thống quản lý nước dằn sử dụng Chất hoạt tính đã được Phê duyệt cơ bản và Phê duyệt cuối cùng (được thông qua vào ngày 24 tháng 10 năm 2024)</w:t>
      </w:r>
    </w:p>
    <w:p w:rsidR="005A7CE3" w:rsidRPr="005A7CE3" w:rsidRDefault="005A7CE3" w:rsidP="005A7CE3">
      <w:pPr>
        <w:spacing w:before="120" w:after="120" w:line="240" w:lineRule="auto"/>
        <w:jc w:val="both"/>
        <w:rPr>
          <w:rFonts w:ascii="Times New Roman" w:eastAsia="Times New Roman" w:hAnsi="Times New Roman" w:cs="Times New Roman"/>
          <w:b/>
          <w:color w:val="222222"/>
          <w:sz w:val="26"/>
          <w:szCs w:val="26"/>
        </w:rPr>
      </w:pPr>
      <w:r w:rsidRPr="005A7CE3">
        <w:rPr>
          <w:rFonts w:ascii="Times New Roman" w:eastAsia="Times New Roman" w:hAnsi="Times New Roman" w:cs="Times New Roman"/>
          <w:b/>
          <w:color w:val="222222"/>
          <w:sz w:val="26"/>
          <w:szCs w:val="26"/>
        </w:rPr>
        <w:lastRenderedPageBreak/>
        <w:t xml:space="preserve">BWM.2/Circ.80/Rev.1 </w:t>
      </w:r>
      <w:r>
        <w:rPr>
          <w:rFonts w:ascii="Times New Roman" w:eastAsia="Times New Roman" w:hAnsi="Times New Roman" w:cs="Times New Roman"/>
          <w:b/>
          <w:color w:val="222222"/>
          <w:sz w:val="26"/>
          <w:szCs w:val="26"/>
        </w:rPr>
        <w:t xml:space="preserve">của </w:t>
      </w:r>
      <w:r w:rsidRPr="005A7CE3">
        <w:rPr>
          <w:rFonts w:ascii="Times New Roman" w:eastAsia="Times New Roman" w:hAnsi="Times New Roman" w:cs="Times New Roman"/>
          <w:b/>
          <w:color w:val="222222"/>
          <w:sz w:val="26"/>
          <w:szCs w:val="26"/>
        </w:rPr>
        <w:t xml:space="preserve">IMO –– Hướng dẫn năm 2024 về việc lưu giữ hồ sơ và báo cáo </w:t>
      </w:r>
      <w:r>
        <w:rPr>
          <w:rFonts w:ascii="Times New Roman" w:eastAsia="Times New Roman" w:hAnsi="Times New Roman" w:cs="Times New Roman"/>
          <w:b/>
          <w:color w:val="222222"/>
          <w:sz w:val="26"/>
          <w:szCs w:val="26"/>
        </w:rPr>
        <w:t xml:space="preserve">về </w:t>
      </w:r>
      <w:r w:rsidRPr="005A7CE3">
        <w:rPr>
          <w:rFonts w:ascii="Times New Roman" w:eastAsia="Times New Roman" w:hAnsi="Times New Roman" w:cs="Times New Roman"/>
          <w:b/>
          <w:color w:val="222222"/>
          <w:sz w:val="26"/>
          <w:szCs w:val="26"/>
        </w:rPr>
        <w:t>nước dằn</w:t>
      </w:r>
    </w:p>
    <w:p w:rsidR="005A7CE3" w:rsidRPr="005A7CE3" w:rsidRDefault="005A7CE3" w:rsidP="005A7CE3">
      <w:pPr>
        <w:spacing w:before="120" w:after="120" w:line="240" w:lineRule="auto"/>
        <w:jc w:val="both"/>
        <w:rPr>
          <w:rFonts w:ascii="Times New Roman" w:eastAsia="Times New Roman" w:hAnsi="Times New Roman" w:cs="Times New Roman"/>
          <w:color w:val="222222"/>
          <w:sz w:val="26"/>
          <w:szCs w:val="26"/>
        </w:rPr>
      </w:pPr>
      <w:r w:rsidRPr="005A7CE3">
        <w:rPr>
          <w:rFonts w:ascii="Times New Roman" w:eastAsia="Times New Roman" w:hAnsi="Times New Roman" w:cs="Times New Roman"/>
          <w:color w:val="222222"/>
          <w:sz w:val="26"/>
          <w:szCs w:val="26"/>
        </w:rPr>
        <w:t xml:space="preserve">Thông tư sửa đổi này </w:t>
      </w:r>
      <w:r>
        <w:rPr>
          <w:rFonts w:ascii="Times New Roman" w:eastAsia="Times New Roman" w:hAnsi="Times New Roman" w:cs="Times New Roman"/>
          <w:color w:val="222222"/>
          <w:sz w:val="26"/>
          <w:szCs w:val="26"/>
        </w:rPr>
        <w:t>đưa ra các</w:t>
      </w:r>
      <w:r w:rsidRPr="005A7CE3">
        <w:rPr>
          <w:rFonts w:ascii="Times New Roman" w:eastAsia="Times New Roman" w:hAnsi="Times New Roman" w:cs="Times New Roman"/>
          <w:color w:val="222222"/>
          <w:sz w:val="26"/>
          <w:szCs w:val="26"/>
        </w:rPr>
        <w:t xml:space="preserve"> hướng dẫn cập nhật về việc lưu giữ hồ sơ </w:t>
      </w:r>
      <w:r w:rsidR="006C623E" w:rsidRPr="005A7CE3">
        <w:rPr>
          <w:rFonts w:ascii="Times New Roman" w:eastAsia="Times New Roman" w:hAnsi="Times New Roman" w:cs="Times New Roman"/>
          <w:color w:val="222222"/>
          <w:sz w:val="26"/>
          <w:szCs w:val="26"/>
        </w:rPr>
        <w:t>và báo cáo</w:t>
      </w:r>
      <w:r w:rsidR="006C623E">
        <w:rPr>
          <w:rFonts w:ascii="Times New Roman" w:eastAsia="Times New Roman" w:hAnsi="Times New Roman" w:cs="Times New Roman"/>
          <w:color w:val="222222"/>
          <w:sz w:val="26"/>
          <w:szCs w:val="26"/>
        </w:rPr>
        <w:t xml:space="preserve"> về</w:t>
      </w:r>
      <w:r w:rsidR="006C623E" w:rsidRPr="005A7CE3">
        <w:rPr>
          <w:rFonts w:ascii="Times New Roman" w:eastAsia="Times New Roman" w:hAnsi="Times New Roman" w:cs="Times New Roman"/>
          <w:color w:val="222222"/>
          <w:sz w:val="26"/>
          <w:szCs w:val="26"/>
        </w:rPr>
        <w:t xml:space="preserve"> </w:t>
      </w:r>
      <w:r w:rsidRPr="005A7CE3">
        <w:rPr>
          <w:rFonts w:ascii="Times New Roman" w:eastAsia="Times New Roman" w:hAnsi="Times New Roman" w:cs="Times New Roman"/>
          <w:color w:val="222222"/>
          <w:sz w:val="26"/>
          <w:szCs w:val="26"/>
        </w:rPr>
        <w:t xml:space="preserve">nước dằn, nhấn mạnh việc đưa vào các kịch bản hoạt động liên quan đến các điều kiện chất lượng nước </w:t>
      </w:r>
      <w:r w:rsidR="006C623E">
        <w:rPr>
          <w:rFonts w:ascii="Times New Roman" w:eastAsia="Times New Roman" w:hAnsi="Times New Roman" w:cs="Times New Roman"/>
          <w:color w:val="222222"/>
          <w:sz w:val="26"/>
          <w:szCs w:val="26"/>
        </w:rPr>
        <w:t>kém</w:t>
      </w:r>
      <w:r w:rsidRPr="005A7CE3">
        <w:rPr>
          <w:rFonts w:ascii="Times New Roman" w:eastAsia="Times New Roman" w:hAnsi="Times New Roman" w:cs="Times New Roman"/>
          <w:color w:val="222222"/>
          <w:sz w:val="26"/>
          <w:szCs w:val="26"/>
        </w:rPr>
        <w:t xml:space="preserve">. Phù hợp với “Hướng dẫn tạm thời về việc áp dụng Công ước BWM đối với các tàu hoạt động trong điều kiện chất lượng nước </w:t>
      </w:r>
      <w:r w:rsidR="006C623E">
        <w:rPr>
          <w:rFonts w:ascii="Times New Roman" w:eastAsia="Times New Roman" w:hAnsi="Times New Roman" w:cs="Times New Roman"/>
          <w:color w:val="222222"/>
          <w:sz w:val="26"/>
          <w:szCs w:val="26"/>
        </w:rPr>
        <w:t>kém</w:t>
      </w:r>
      <w:r w:rsidRPr="005A7CE3">
        <w:rPr>
          <w:rFonts w:ascii="Times New Roman" w:eastAsia="Times New Roman" w:hAnsi="Times New Roman" w:cs="Times New Roman"/>
          <w:color w:val="222222"/>
          <w:sz w:val="26"/>
          <w:szCs w:val="26"/>
        </w:rPr>
        <w:t xml:space="preserve">” (Nghị quyết MEPC.387(81)), thông tư yêu cầu các kịch bản như vậy phải được ghi chép chính xác </w:t>
      </w:r>
      <w:r w:rsidR="006C623E">
        <w:rPr>
          <w:rFonts w:ascii="Times New Roman" w:eastAsia="Times New Roman" w:hAnsi="Times New Roman" w:cs="Times New Roman"/>
          <w:color w:val="222222"/>
          <w:sz w:val="26"/>
          <w:szCs w:val="26"/>
        </w:rPr>
        <w:t xml:space="preserve">lại </w:t>
      </w:r>
      <w:r w:rsidRPr="005A7CE3">
        <w:rPr>
          <w:rFonts w:ascii="Times New Roman" w:eastAsia="Times New Roman" w:hAnsi="Times New Roman" w:cs="Times New Roman"/>
          <w:color w:val="222222"/>
          <w:sz w:val="26"/>
          <w:szCs w:val="26"/>
        </w:rPr>
        <w:t xml:space="preserve">trong Sổ </w:t>
      </w:r>
      <w:r w:rsidR="006C623E">
        <w:rPr>
          <w:rFonts w:ascii="Times New Roman" w:eastAsia="Times New Roman" w:hAnsi="Times New Roman" w:cs="Times New Roman"/>
          <w:color w:val="222222"/>
          <w:sz w:val="26"/>
          <w:szCs w:val="26"/>
        </w:rPr>
        <w:t>nhật ký</w:t>
      </w:r>
      <w:r w:rsidRPr="005A7CE3">
        <w:rPr>
          <w:rFonts w:ascii="Times New Roman" w:eastAsia="Times New Roman" w:hAnsi="Times New Roman" w:cs="Times New Roman"/>
          <w:color w:val="222222"/>
          <w:sz w:val="26"/>
          <w:szCs w:val="26"/>
        </w:rPr>
        <w:t xml:space="preserve"> nước dằn. Điều này đảm bảo tuân thủ </w:t>
      </w:r>
      <w:r w:rsidR="006C623E">
        <w:rPr>
          <w:rFonts w:ascii="Times New Roman" w:eastAsia="Times New Roman" w:hAnsi="Times New Roman" w:cs="Times New Roman"/>
          <w:color w:val="222222"/>
          <w:sz w:val="26"/>
          <w:szCs w:val="26"/>
        </w:rPr>
        <w:t xml:space="preserve">các quy định </w:t>
      </w:r>
      <w:r w:rsidRPr="005A7CE3">
        <w:rPr>
          <w:rFonts w:ascii="Times New Roman" w:eastAsia="Times New Roman" w:hAnsi="Times New Roman" w:cs="Times New Roman"/>
          <w:color w:val="222222"/>
          <w:sz w:val="26"/>
          <w:szCs w:val="26"/>
        </w:rPr>
        <w:t xml:space="preserve">trong khi giải quyết các thách thức thực tế trong hoạt động, giúp người vận hành tàu quản lý hiệu quả </w:t>
      </w:r>
      <w:r w:rsidR="006C623E">
        <w:rPr>
          <w:rFonts w:ascii="Times New Roman" w:eastAsia="Times New Roman" w:hAnsi="Times New Roman" w:cs="Times New Roman"/>
          <w:color w:val="222222"/>
          <w:sz w:val="26"/>
          <w:szCs w:val="26"/>
        </w:rPr>
        <w:t xml:space="preserve">trong </w:t>
      </w:r>
      <w:r w:rsidRPr="005A7CE3">
        <w:rPr>
          <w:rFonts w:ascii="Times New Roman" w:eastAsia="Times New Roman" w:hAnsi="Times New Roman" w:cs="Times New Roman"/>
          <w:color w:val="222222"/>
          <w:sz w:val="26"/>
          <w:szCs w:val="26"/>
        </w:rPr>
        <w:t>các điều kiện chất lượng nước phức tạp.</w:t>
      </w:r>
    </w:p>
    <w:p w:rsidR="005A7CE3" w:rsidRPr="005A7CE3" w:rsidRDefault="005A7CE3" w:rsidP="005A7CE3">
      <w:pPr>
        <w:spacing w:after="390" w:line="240" w:lineRule="auto"/>
        <w:rPr>
          <w:rFonts w:ascii="Merriweather Sans" w:eastAsia="Times New Roman" w:hAnsi="Merriweather Sans" w:cs="Times New Roman"/>
          <w:color w:val="222222"/>
          <w:sz w:val="23"/>
          <w:szCs w:val="23"/>
        </w:rPr>
      </w:pPr>
      <w:r w:rsidRPr="005A7CE3">
        <w:rPr>
          <w:rFonts w:ascii="Merriweather Sans" w:eastAsia="Times New Roman" w:hAnsi="Merriweather Sans" w:cs="Times New Roman"/>
          <w:noProof/>
          <w:color w:val="222222"/>
          <w:sz w:val="23"/>
          <w:szCs w:val="23"/>
        </w:rPr>
        <w:drawing>
          <wp:inline distT="0" distB="0" distL="0" distR="0">
            <wp:extent cx="6096000" cy="3328874"/>
            <wp:effectExtent l="0" t="0" r="0" b="5080"/>
            <wp:docPr id="1" name="Picture 1" descr="https://maritimecyprus.com/wp-content/uploads/2016/10/ballast-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6/10/ballast-wat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2414" cy="3337838"/>
                    </a:xfrm>
                    <a:prstGeom prst="rect">
                      <a:avLst/>
                    </a:prstGeom>
                    <a:noFill/>
                    <a:ln>
                      <a:noFill/>
                    </a:ln>
                  </pic:spPr>
                </pic:pic>
              </a:graphicData>
            </a:graphic>
          </wp:inline>
        </w:drawing>
      </w:r>
    </w:p>
    <w:p w:rsidR="006C623E" w:rsidRPr="006C623E" w:rsidRDefault="006C623E" w:rsidP="006C623E">
      <w:pPr>
        <w:spacing w:before="120" w:after="120" w:line="240" w:lineRule="auto"/>
        <w:jc w:val="both"/>
        <w:rPr>
          <w:rFonts w:ascii="Times New Roman" w:eastAsia="Times New Roman" w:hAnsi="Times New Roman" w:cs="Times New Roman"/>
          <w:b/>
          <w:sz w:val="26"/>
          <w:szCs w:val="26"/>
        </w:rPr>
      </w:pPr>
      <w:r w:rsidRPr="006C623E">
        <w:rPr>
          <w:rFonts w:ascii="Times New Roman" w:eastAsia="Times New Roman" w:hAnsi="Times New Roman" w:cs="Times New Roman"/>
          <w:b/>
          <w:sz w:val="26"/>
          <w:szCs w:val="26"/>
        </w:rPr>
        <w:t xml:space="preserve">BWM.2/Circ.43/Rev.2 </w:t>
      </w:r>
      <w:r w:rsidRPr="006C623E">
        <w:rPr>
          <w:rFonts w:ascii="Times New Roman" w:eastAsia="Times New Roman" w:hAnsi="Times New Roman" w:cs="Times New Roman"/>
          <w:b/>
          <w:sz w:val="26"/>
          <w:szCs w:val="26"/>
        </w:rPr>
        <w:t xml:space="preserve">của </w:t>
      </w:r>
      <w:r w:rsidRPr="006C623E">
        <w:rPr>
          <w:rFonts w:ascii="Times New Roman" w:eastAsia="Times New Roman" w:hAnsi="Times New Roman" w:cs="Times New Roman"/>
          <w:b/>
          <w:sz w:val="26"/>
          <w:szCs w:val="26"/>
        </w:rPr>
        <w:t xml:space="preserve">IMO –– Hướng dẫn năm 2024 cho các </w:t>
      </w:r>
      <w:r w:rsidRPr="006C623E">
        <w:rPr>
          <w:rFonts w:ascii="Times New Roman" w:eastAsia="Times New Roman" w:hAnsi="Times New Roman" w:cs="Times New Roman"/>
          <w:b/>
          <w:sz w:val="26"/>
          <w:szCs w:val="26"/>
        </w:rPr>
        <w:t>chính phủ</w:t>
      </w:r>
      <w:r w:rsidRPr="006C623E">
        <w:rPr>
          <w:rFonts w:ascii="Times New Roman" w:eastAsia="Times New Roman" w:hAnsi="Times New Roman" w:cs="Times New Roman"/>
          <w:b/>
          <w:sz w:val="26"/>
          <w:szCs w:val="26"/>
        </w:rPr>
        <w:t xml:space="preserve"> về Quy trình phê duyệt kiểu cho Hệ thống quản lý nước dằn</w:t>
      </w:r>
    </w:p>
    <w:p w:rsidR="006C623E" w:rsidRPr="006C623E" w:rsidRDefault="006C623E" w:rsidP="006C623E">
      <w:pPr>
        <w:spacing w:before="120" w:after="120" w:line="240" w:lineRule="auto"/>
        <w:jc w:val="both"/>
        <w:rPr>
          <w:rFonts w:ascii="Times New Roman" w:eastAsia="Times New Roman" w:hAnsi="Times New Roman" w:cs="Times New Roman"/>
          <w:sz w:val="26"/>
          <w:szCs w:val="26"/>
        </w:rPr>
      </w:pPr>
      <w:r w:rsidRPr="006C623E">
        <w:rPr>
          <w:rFonts w:ascii="Times New Roman" w:eastAsia="Times New Roman" w:hAnsi="Times New Roman" w:cs="Times New Roman"/>
          <w:sz w:val="26"/>
          <w:szCs w:val="26"/>
        </w:rPr>
        <w:t xml:space="preserve">Thông tư này giới thiệu các bản cập nhật thiết yếu cho quy trình phê duyệt kiểu cho hệ thống quản lý nước dằn (BWMS). Cụ thể, thông tư này nêu rõ các </w:t>
      </w:r>
      <w:r>
        <w:rPr>
          <w:rFonts w:ascii="Times New Roman" w:eastAsia="Times New Roman" w:hAnsi="Times New Roman" w:cs="Times New Roman"/>
          <w:sz w:val="26"/>
          <w:szCs w:val="26"/>
        </w:rPr>
        <w:t>quy trình</w:t>
      </w:r>
      <w:r w:rsidRPr="006C623E">
        <w:rPr>
          <w:rFonts w:ascii="Times New Roman" w:eastAsia="Times New Roman" w:hAnsi="Times New Roman" w:cs="Times New Roman"/>
          <w:sz w:val="26"/>
          <w:szCs w:val="26"/>
        </w:rPr>
        <w:t xml:space="preserve"> đánh giá và phê duyệt các sửa đổi, dù lớn hay nhỏ, đối với BWMS đã được phê duyệt kiểu theo đề xuất của các nhà sản xuất. Hướng dẫn này nhằm mục đích hợp lý hóa quy trình phê duyệt đồng thời đảm bảo rằng các sửa đổi vẫn tuân thủ các tiêu chuẩn nghiêm ngặt của Công ước BWM, </w:t>
      </w:r>
      <w:r>
        <w:rPr>
          <w:rFonts w:ascii="Times New Roman" w:eastAsia="Times New Roman" w:hAnsi="Times New Roman" w:cs="Times New Roman"/>
          <w:sz w:val="26"/>
          <w:szCs w:val="26"/>
        </w:rPr>
        <w:t>qua</w:t>
      </w:r>
      <w:r w:rsidRPr="006C623E">
        <w:rPr>
          <w:rFonts w:ascii="Times New Roman" w:eastAsia="Times New Roman" w:hAnsi="Times New Roman" w:cs="Times New Roman"/>
          <w:sz w:val="26"/>
          <w:szCs w:val="26"/>
        </w:rPr>
        <w:t xml:space="preserve"> đó tăng cường khả năng thích ứng và độ tin cậy của BWMS trong bối cảnh hoạt động đang thay đổi.</w:t>
      </w:r>
    </w:p>
    <w:p w:rsidR="006C623E" w:rsidRPr="006C623E" w:rsidRDefault="006C623E" w:rsidP="006C623E">
      <w:pPr>
        <w:spacing w:before="120" w:after="120" w:line="240" w:lineRule="auto"/>
        <w:jc w:val="both"/>
        <w:rPr>
          <w:rFonts w:ascii="Times New Roman" w:eastAsia="Times New Roman" w:hAnsi="Times New Roman" w:cs="Times New Roman"/>
          <w:b/>
          <w:sz w:val="26"/>
          <w:szCs w:val="26"/>
        </w:rPr>
      </w:pPr>
      <w:r w:rsidRPr="006C623E">
        <w:rPr>
          <w:rFonts w:ascii="Times New Roman" w:eastAsia="Times New Roman" w:hAnsi="Times New Roman" w:cs="Times New Roman"/>
          <w:b/>
          <w:sz w:val="26"/>
          <w:szCs w:val="26"/>
        </w:rPr>
        <w:t xml:space="preserve">BWM.2/Circ.34/Rev.13 </w:t>
      </w:r>
      <w:r w:rsidRPr="006C623E">
        <w:rPr>
          <w:rFonts w:ascii="Times New Roman" w:eastAsia="Times New Roman" w:hAnsi="Times New Roman" w:cs="Times New Roman"/>
          <w:b/>
          <w:sz w:val="26"/>
          <w:szCs w:val="26"/>
        </w:rPr>
        <w:t xml:space="preserve">của </w:t>
      </w:r>
      <w:r w:rsidRPr="006C623E">
        <w:rPr>
          <w:rFonts w:ascii="Times New Roman" w:eastAsia="Times New Roman" w:hAnsi="Times New Roman" w:cs="Times New Roman"/>
          <w:b/>
          <w:sz w:val="26"/>
          <w:szCs w:val="26"/>
        </w:rPr>
        <w:t>IMO– Danh sách các hệ thống quản lý nước dằn sử dụng các chất hoạt tính</w:t>
      </w:r>
    </w:p>
    <w:p w:rsidR="006C623E" w:rsidRPr="006C623E" w:rsidRDefault="006C623E" w:rsidP="006C623E">
      <w:pPr>
        <w:spacing w:before="120" w:after="120" w:line="240" w:lineRule="auto"/>
        <w:jc w:val="both"/>
        <w:rPr>
          <w:rFonts w:ascii="Times New Roman" w:eastAsia="Times New Roman" w:hAnsi="Times New Roman" w:cs="Times New Roman"/>
          <w:sz w:val="26"/>
          <w:szCs w:val="26"/>
        </w:rPr>
      </w:pPr>
      <w:r w:rsidRPr="006C623E">
        <w:rPr>
          <w:rFonts w:ascii="Times New Roman" w:eastAsia="Times New Roman" w:hAnsi="Times New Roman" w:cs="Times New Roman"/>
          <w:sz w:val="26"/>
          <w:szCs w:val="26"/>
        </w:rPr>
        <w:t xml:space="preserve">Bản sửa đổi mới nhất của thông tư này cung cấp danh sách cập nhật hàng năm về các hệ thống quản lý nước dằn sử dụng các chất hoạt tính đã nhận được Phê duyệt cơ bản hoặc </w:t>
      </w:r>
      <w:r w:rsidRPr="006C623E">
        <w:rPr>
          <w:rFonts w:ascii="Times New Roman" w:eastAsia="Times New Roman" w:hAnsi="Times New Roman" w:cs="Times New Roman"/>
          <w:sz w:val="26"/>
          <w:szCs w:val="26"/>
        </w:rPr>
        <w:lastRenderedPageBreak/>
        <w:t>Phê duyệt cuối cùng theo quy trình đánh giá nghiêm ngặt của IMO. Danh sách này đóng vai trò là nguồn tài nguyên quan trọng cho chủ tàu và người vận hành tàu, cung cấp thông tin rõ ràng về các hệ thống đã được phê duyệt có trên thị trường và đảm bảo rằng các hệ thống được chọn tuân thủ các yêu cầu về môi trường và an toàn của Công ước BWM.</w:t>
      </w:r>
    </w:p>
    <w:p w:rsidR="006C623E" w:rsidRPr="006C623E" w:rsidRDefault="006C623E" w:rsidP="006C623E">
      <w:pPr>
        <w:spacing w:before="120" w:after="120" w:line="240" w:lineRule="auto"/>
        <w:jc w:val="both"/>
        <w:rPr>
          <w:rFonts w:ascii="Times New Roman" w:eastAsia="Times New Roman" w:hAnsi="Times New Roman" w:cs="Times New Roman"/>
          <w:b/>
          <w:sz w:val="26"/>
          <w:szCs w:val="26"/>
        </w:rPr>
      </w:pPr>
      <w:r w:rsidRPr="006C623E">
        <w:rPr>
          <w:rFonts w:ascii="Times New Roman" w:eastAsia="Times New Roman" w:hAnsi="Times New Roman" w:cs="Times New Roman"/>
          <w:b/>
          <w:sz w:val="26"/>
          <w:szCs w:val="26"/>
        </w:rPr>
        <w:t>Chủ tàu và Người quản lý tàu nên tiến hành như thế nào?</w:t>
      </w:r>
    </w:p>
    <w:p w:rsidR="006C623E" w:rsidRPr="005A7CE3" w:rsidRDefault="006C623E" w:rsidP="006C623E">
      <w:pPr>
        <w:spacing w:before="120" w:after="120" w:line="240" w:lineRule="auto"/>
        <w:jc w:val="both"/>
        <w:rPr>
          <w:rFonts w:ascii="Times New Roman" w:eastAsia="Times New Roman" w:hAnsi="Times New Roman" w:cs="Times New Roman"/>
          <w:sz w:val="26"/>
          <w:szCs w:val="26"/>
        </w:rPr>
      </w:pPr>
      <w:r w:rsidRPr="006C623E">
        <w:rPr>
          <w:rFonts w:ascii="Times New Roman" w:eastAsia="Times New Roman" w:hAnsi="Times New Roman" w:cs="Times New Roman"/>
          <w:sz w:val="26"/>
          <w:szCs w:val="26"/>
        </w:rPr>
        <w:t xml:space="preserve">Chủ tàu, người quản lý tàu và nhà sản xuất BWMS được khuyến cáo nên làm quen với </w:t>
      </w:r>
      <w:r>
        <w:rPr>
          <w:rFonts w:ascii="Times New Roman" w:eastAsia="Times New Roman" w:hAnsi="Times New Roman" w:cs="Times New Roman"/>
          <w:sz w:val="26"/>
          <w:szCs w:val="26"/>
        </w:rPr>
        <w:t xml:space="preserve">các </w:t>
      </w:r>
      <w:r w:rsidRPr="006C623E">
        <w:rPr>
          <w:rFonts w:ascii="Times New Roman" w:eastAsia="Times New Roman" w:hAnsi="Times New Roman" w:cs="Times New Roman"/>
          <w:sz w:val="26"/>
          <w:szCs w:val="26"/>
        </w:rPr>
        <w:t>hướng dẫn mới</w:t>
      </w:r>
      <w:r>
        <w:rPr>
          <w:rFonts w:ascii="Times New Roman" w:eastAsia="Times New Roman" w:hAnsi="Times New Roman" w:cs="Times New Roman"/>
          <w:sz w:val="26"/>
          <w:szCs w:val="26"/>
        </w:rPr>
        <w:t xml:space="preserve"> này</w:t>
      </w:r>
      <w:r w:rsidRPr="006C623E">
        <w:rPr>
          <w:rFonts w:ascii="Times New Roman" w:eastAsia="Times New Roman" w:hAnsi="Times New Roman" w:cs="Times New Roman"/>
          <w:sz w:val="26"/>
          <w:szCs w:val="26"/>
        </w:rPr>
        <w:t>.</w:t>
      </w:r>
    </w:p>
    <w:p w:rsidR="005A7CE3" w:rsidRPr="005A7CE3" w:rsidRDefault="006C623E" w:rsidP="006C623E">
      <w:pPr>
        <w:spacing w:after="12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41"/>
          <w:szCs w:val="41"/>
        </w:rPr>
        <w:t>-----------------------------</w:t>
      </w:r>
    </w:p>
    <w:p w:rsidR="00B553C3" w:rsidRDefault="00B553C3"/>
    <w:sectPr w:rsidR="00B553C3" w:rsidSect="005A7CE3">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30F0C"/>
    <w:multiLevelType w:val="multilevel"/>
    <w:tmpl w:val="BF4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E3"/>
    <w:rsid w:val="005A7CE3"/>
    <w:rsid w:val="006C623E"/>
    <w:rsid w:val="00B5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E8F5"/>
  <w15:chartTrackingRefBased/>
  <w15:docId w15:val="{FE851186-FB41-4BCC-A10C-BE970300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7C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7C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7C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C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7C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7CE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A7CE3"/>
    <w:rPr>
      <w:color w:val="0000FF"/>
      <w:u w:val="single"/>
    </w:rPr>
  </w:style>
  <w:style w:type="character" w:customStyle="1" w:styleId="td-post-date">
    <w:name w:val="td-post-date"/>
    <w:basedOn w:val="DefaultParagraphFont"/>
    <w:rsid w:val="005A7CE3"/>
  </w:style>
  <w:style w:type="character" w:customStyle="1" w:styleId="td-nr-views-39597">
    <w:name w:val="td-nr-views-39597"/>
    <w:basedOn w:val="DefaultParagraphFont"/>
    <w:rsid w:val="005A7CE3"/>
  </w:style>
  <w:style w:type="paragraph" w:styleId="NormalWeb">
    <w:name w:val="Normal (Web)"/>
    <w:basedOn w:val="Normal"/>
    <w:uiPriority w:val="99"/>
    <w:semiHidden/>
    <w:unhideWhenUsed/>
    <w:rsid w:val="005A7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CE3"/>
    <w:rPr>
      <w:b/>
      <w:bCs/>
    </w:rPr>
  </w:style>
  <w:style w:type="paragraph" w:customStyle="1" w:styleId="rich-textpar--introductory">
    <w:name w:val="rich-text__par--introductory"/>
    <w:basedOn w:val="Normal"/>
    <w:rsid w:val="005A7C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80686">
      <w:bodyDiv w:val="1"/>
      <w:marLeft w:val="0"/>
      <w:marRight w:val="0"/>
      <w:marTop w:val="0"/>
      <w:marBottom w:val="0"/>
      <w:divBdr>
        <w:top w:val="none" w:sz="0" w:space="0" w:color="auto"/>
        <w:left w:val="none" w:sz="0" w:space="0" w:color="auto"/>
        <w:bottom w:val="none" w:sz="0" w:space="0" w:color="auto"/>
        <w:right w:val="none" w:sz="0" w:space="0" w:color="auto"/>
      </w:divBdr>
      <w:divsChild>
        <w:div w:id="1463425031">
          <w:marLeft w:val="0"/>
          <w:marRight w:val="0"/>
          <w:marTop w:val="0"/>
          <w:marBottom w:val="0"/>
          <w:divBdr>
            <w:top w:val="none" w:sz="0" w:space="0" w:color="auto"/>
            <w:left w:val="none" w:sz="0" w:space="0" w:color="auto"/>
            <w:bottom w:val="none" w:sz="0" w:space="0" w:color="auto"/>
            <w:right w:val="none" w:sz="0" w:space="0" w:color="auto"/>
          </w:divBdr>
          <w:divsChild>
            <w:div w:id="1509566265">
              <w:marLeft w:val="0"/>
              <w:marRight w:val="0"/>
              <w:marTop w:val="0"/>
              <w:marBottom w:val="240"/>
              <w:divBdr>
                <w:top w:val="none" w:sz="0" w:space="0" w:color="auto"/>
                <w:left w:val="none" w:sz="0" w:space="0" w:color="auto"/>
                <w:bottom w:val="none" w:sz="0" w:space="0" w:color="auto"/>
                <w:right w:val="none" w:sz="0" w:space="0" w:color="auto"/>
              </w:divBdr>
              <w:divsChild>
                <w:div w:id="2145853568">
                  <w:marLeft w:val="0"/>
                  <w:marRight w:val="0"/>
                  <w:marTop w:val="0"/>
                  <w:marBottom w:val="0"/>
                  <w:divBdr>
                    <w:top w:val="none" w:sz="0" w:space="0" w:color="auto"/>
                    <w:left w:val="none" w:sz="0" w:space="0" w:color="auto"/>
                    <w:bottom w:val="none" w:sz="0" w:space="0" w:color="auto"/>
                    <w:right w:val="none" w:sz="0" w:space="0" w:color="auto"/>
                  </w:divBdr>
                  <w:divsChild>
                    <w:div w:id="35740758">
                      <w:marLeft w:val="0"/>
                      <w:marRight w:val="30"/>
                      <w:marTop w:val="0"/>
                      <w:marBottom w:val="0"/>
                      <w:divBdr>
                        <w:top w:val="none" w:sz="0" w:space="0" w:color="auto"/>
                        <w:left w:val="none" w:sz="0" w:space="0" w:color="auto"/>
                        <w:bottom w:val="none" w:sz="0" w:space="0" w:color="auto"/>
                        <w:right w:val="none" w:sz="0" w:space="0" w:color="auto"/>
                      </w:divBdr>
                    </w:div>
                    <w:div w:id="2055347529">
                      <w:marLeft w:val="0"/>
                      <w:marRight w:val="30"/>
                      <w:marTop w:val="0"/>
                      <w:marBottom w:val="0"/>
                      <w:divBdr>
                        <w:top w:val="none" w:sz="0" w:space="0" w:color="auto"/>
                        <w:left w:val="none" w:sz="0" w:space="0" w:color="auto"/>
                        <w:bottom w:val="none" w:sz="0" w:space="0" w:color="auto"/>
                        <w:right w:val="none" w:sz="0" w:space="0" w:color="auto"/>
                      </w:divBdr>
                    </w:div>
                  </w:divsChild>
                </w:div>
                <w:div w:id="1301572955">
                  <w:marLeft w:val="330"/>
                  <w:marRight w:val="0"/>
                  <w:marTop w:val="0"/>
                  <w:marBottom w:val="0"/>
                  <w:divBdr>
                    <w:top w:val="none" w:sz="0" w:space="0" w:color="auto"/>
                    <w:left w:val="none" w:sz="0" w:space="0" w:color="auto"/>
                    <w:bottom w:val="none" w:sz="0" w:space="0" w:color="auto"/>
                    <w:right w:val="none" w:sz="0" w:space="0" w:color="auto"/>
                  </w:divBdr>
                </w:div>
                <w:div w:id="17873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0280">
          <w:marLeft w:val="0"/>
          <w:marRight w:val="0"/>
          <w:marTop w:val="315"/>
          <w:marBottom w:val="0"/>
          <w:divBdr>
            <w:top w:val="none" w:sz="0" w:space="0" w:color="auto"/>
            <w:left w:val="none" w:sz="0" w:space="0" w:color="auto"/>
            <w:bottom w:val="none" w:sz="0" w:space="0" w:color="auto"/>
            <w:right w:val="none" w:sz="0" w:space="0" w:color="auto"/>
          </w:divBdr>
          <w:divsChild>
            <w:div w:id="14681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4/12/BWM.2_Circ.43_Rev.2_2024_Guidance_for_Administrations_.pdf" TargetMode="External"/><Relationship Id="rId3" Type="http://schemas.openxmlformats.org/officeDocument/2006/relationships/settings" Target="settings.xml"/><Relationship Id="rId7" Type="http://schemas.openxmlformats.org/officeDocument/2006/relationships/hyperlink" Target="https://maritimecyprus.com/wp-content/uploads/2024/12/BWM.2_Circ.80_Rev.1_2024_Guidance_on_ballast_water_record_.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aritimecyprus.com/author/maritimecyprus/"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maritimecyprus.com/wp-content/uploads/2024/12/BWM.2_Circ.34_Rev.13_List_of_ballast_water_management_systems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2024-12-20T08:28:00Z</dcterms:created>
  <dcterms:modified xsi:type="dcterms:W3CDTF">2024-12-20T08:44:00Z</dcterms:modified>
</cp:coreProperties>
</file>