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CEE" w:rsidRPr="00622CEE" w:rsidRDefault="00622CEE" w:rsidP="00622CEE">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622CEE">
        <w:rPr>
          <w:rFonts w:ascii="Times New Roman" w:eastAsia="Times New Roman" w:hAnsi="Times New Roman" w:cs="Times New Roman"/>
          <w:b/>
          <w:bCs/>
          <w:color w:val="111111"/>
          <w:spacing w:val="-10"/>
          <w:kern w:val="36"/>
          <w:sz w:val="40"/>
          <w:szCs w:val="40"/>
        </w:rPr>
        <w:t xml:space="preserve">ESPO: Hơn một nửa </w:t>
      </w:r>
      <w:r>
        <w:rPr>
          <w:rFonts w:ascii="Times New Roman" w:eastAsia="Times New Roman" w:hAnsi="Times New Roman" w:cs="Times New Roman"/>
          <w:b/>
          <w:bCs/>
          <w:color w:val="111111"/>
          <w:spacing w:val="-10"/>
          <w:kern w:val="36"/>
          <w:sz w:val="40"/>
          <w:szCs w:val="40"/>
        </w:rPr>
        <w:t>số</w:t>
      </w:r>
      <w:r w:rsidRPr="00622CEE">
        <w:rPr>
          <w:rFonts w:ascii="Times New Roman" w:eastAsia="Times New Roman" w:hAnsi="Times New Roman" w:cs="Times New Roman"/>
          <w:b/>
          <w:bCs/>
          <w:color w:val="111111"/>
          <w:spacing w:val="-10"/>
          <w:kern w:val="36"/>
          <w:sz w:val="40"/>
          <w:szCs w:val="40"/>
        </w:rPr>
        <w:t xml:space="preserve"> cảng </w:t>
      </w:r>
      <w:r>
        <w:rPr>
          <w:rFonts w:ascii="Times New Roman" w:eastAsia="Times New Roman" w:hAnsi="Times New Roman" w:cs="Times New Roman"/>
          <w:b/>
          <w:bCs/>
          <w:color w:val="111111"/>
          <w:spacing w:val="-10"/>
          <w:kern w:val="36"/>
          <w:sz w:val="40"/>
          <w:szCs w:val="40"/>
        </w:rPr>
        <w:t xml:space="preserve">ở </w:t>
      </w:r>
      <w:r w:rsidRPr="00622CEE">
        <w:rPr>
          <w:rFonts w:ascii="Times New Roman" w:eastAsia="Times New Roman" w:hAnsi="Times New Roman" w:cs="Times New Roman"/>
          <w:b/>
          <w:bCs/>
          <w:color w:val="111111"/>
          <w:spacing w:val="-10"/>
          <w:kern w:val="36"/>
          <w:sz w:val="40"/>
          <w:szCs w:val="40"/>
        </w:rPr>
        <w:t xml:space="preserve">châu Âu cung cấp </w:t>
      </w:r>
      <w:r>
        <w:rPr>
          <w:rFonts w:ascii="Times New Roman" w:eastAsia="Times New Roman" w:hAnsi="Times New Roman" w:cs="Times New Roman"/>
          <w:b/>
          <w:bCs/>
          <w:color w:val="111111"/>
          <w:spacing w:val="-10"/>
          <w:kern w:val="36"/>
          <w:sz w:val="40"/>
          <w:szCs w:val="40"/>
        </w:rPr>
        <w:t>điện</w:t>
      </w:r>
      <w:r w:rsidRPr="00622CEE">
        <w:rPr>
          <w:rFonts w:ascii="Times New Roman" w:eastAsia="Times New Roman" w:hAnsi="Times New Roman" w:cs="Times New Roman"/>
          <w:b/>
          <w:bCs/>
          <w:color w:val="111111"/>
          <w:spacing w:val="-10"/>
          <w:kern w:val="36"/>
          <w:sz w:val="40"/>
          <w:szCs w:val="40"/>
        </w:rPr>
        <w:t xml:space="preserve"> bờ</w:t>
      </w:r>
    </w:p>
    <w:p w:rsidR="00622CEE" w:rsidRPr="00622CEE" w:rsidRDefault="00622CEE" w:rsidP="00622CEE">
      <w:pPr>
        <w:shd w:val="clear" w:color="auto" w:fill="FFFFFF"/>
        <w:spacing w:line="240" w:lineRule="auto"/>
        <w:jc w:val="right"/>
        <w:textAlignment w:val="baseline"/>
        <w:rPr>
          <w:rFonts w:ascii="Times New Roman" w:eastAsia="Times New Roman" w:hAnsi="Times New Roman" w:cs="Times New Roman"/>
          <w:color w:val="0070C0"/>
          <w:sz w:val="24"/>
          <w:szCs w:val="24"/>
        </w:rPr>
      </w:pPr>
      <w:r w:rsidRPr="00622CEE">
        <w:rPr>
          <w:rFonts w:ascii="Times New Roman" w:eastAsia="Times New Roman" w:hAnsi="Times New Roman" w:cs="Times New Roman"/>
          <w:color w:val="0070C0"/>
          <w:sz w:val="24"/>
          <w:szCs w:val="24"/>
          <w:bdr w:val="none" w:sz="0" w:space="0" w:color="auto" w:frame="1"/>
        </w:rPr>
        <w:t>Theo Safety4sea</w:t>
      </w:r>
    </w:p>
    <w:p w:rsidR="00622CEE" w:rsidRPr="00622CEE" w:rsidRDefault="00622CEE" w:rsidP="00622CEE">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622CEE">
        <w:rPr>
          <w:rFonts w:ascii="Helvetica" w:eastAsia="Times New Roman" w:hAnsi="Helvetica" w:cs="Times New Roman"/>
          <w:color w:val="333333"/>
          <w:sz w:val="21"/>
          <w:szCs w:val="21"/>
        </w:rPr>
        <w:fldChar w:fldCharType="begin"/>
      </w:r>
      <w:r w:rsidRPr="00622CEE">
        <w:rPr>
          <w:rFonts w:ascii="Helvetica" w:eastAsia="Times New Roman" w:hAnsi="Helvetica" w:cs="Times New Roman"/>
          <w:color w:val="333333"/>
          <w:sz w:val="21"/>
          <w:szCs w:val="21"/>
        </w:rPr>
        <w:instrText xml:space="preserve"> HYPERLINK "https://safety4sea.com/wp-content/uploads/2024/10/shutterstock_2117290253.jpg" </w:instrText>
      </w:r>
      <w:r w:rsidRPr="00622CEE">
        <w:rPr>
          <w:rFonts w:ascii="Helvetica" w:eastAsia="Times New Roman" w:hAnsi="Helvetica" w:cs="Times New Roman"/>
          <w:color w:val="333333"/>
          <w:sz w:val="21"/>
          <w:szCs w:val="21"/>
        </w:rPr>
        <w:fldChar w:fldCharType="separate"/>
      </w:r>
    </w:p>
    <w:p w:rsidR="00622CEE" w:rsidRPr="00622CEE" w:rsidRDefault="00622CEE" w:rsidP="00622CEE">
      <w:pPr>
        <w:shd w:val="clear" w:color="auto" w:fill="FFFFFF"/>
        <w:spacing w:after="0" w:line="240" w:lineRule="auto"/>
        <w:textAlignment w:val="baseline"/>
        <w:rPr>
          <w:rFonts w:ascii="Times New Roman" w:eastAsia="Times New Roman" w:hAnsi="Times New Roman" w:cs="Times New Roman"/>
          <w:sz w:val="24"/>
          <w:szCs w:val="24"/>
        </w:rPr>
      </w:pPr>
      <w:r w:rsidRPr="00622CEE">
        <w:rPr>
          <w:rFonts w:ascii="Helvetica" w:eastAsia="Times New Roman" w:hAnsi="Helvetica" w:cs="Times New Roman"/>
          <w:noProof/>
          <w:color w:val="0087CD"/>
          <w:sz w:val="21"/>
          <w:szCs w:val="21"/>
          <w:bdr w:val="none" w:sz="0" w:space="0" w:color="auto" w:frame="1"/>
        </w:rPr>
        <w:drawing>
          <wp:inline distT="0" distB="0" distL="0" distR="0">
            <wp:extent cx="5958840" cy="2982600"/>
            <wp:effectExtent l="0" t="0" r="3810" b="8255"/>
            <wp:docPr id="2" name="Picture 2" descr="ESP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4119" cy="2995253"/>
                    </a:xfrm>
                    <a:prstGeom prst="rect">
                      <a:avLst/>
                    </a:prstGeom>
                    <a:noFill/>
                    <a:ln>
                      <a:noFill/>
                    </a:ln>
                  </pic:spPr>
                </pic:pic>
              </a:graphicData>
            </a:graphic>
          </wp:inline>
        </w:drawing>
      </w:r>
      <w:bookmarkStart w:id="0" w:name="_GoBack"/>
      <w:bookmarkEnd w:id="0"/>
    </w:p>
    <w:p w:rsidR="00622CEE" w:rsidRPr="00622CEE" w:rsidRDefault="00622CEE" w:rsidP="00622CEE">
      <w:pPr>
        <w:shd w:val="clear" w:color="auto" w:fill="FFFFFF"/>
        <w:spacing w:before="120" w:after="120" w:line="240" w:lineRule="auto"/>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22CEE">
        <w:rPr>
          <w:rFonts w:ascii="Helvetica" w:eastAsia="Times New Roman" w:hAnsi="Helvetica" w:cs="Times New Roman"/>
          <w:color w:val="333333"/>
          <w:sz w:val="21"/>
          <w:szCs w:val="21"/>
        </w:rPr>
        <w:fldChar w:fldCharType="end"/>
      </w:r>
      <w:r w:rsidRPr="00622CEE">
        <w:rPr>
          <w:rFonts w:ascii="Times New Roman" w:eastAsia="Times New Roman" w:hAnsi="Times New Roman" w:cs="Times New Roman"/>
          <w:color w:val="000000"/>
          <w:sz w:val="26"/>
          <w:szCs w:val="26"/>
          <w:bdr w:val="none" w:sz="0" w:space="0" w:color="auto" w:frame="1"/>
          <w:shd w:val="clear" w:color="auto" w:fill="FFFFFF"/>
        </w:rPr>
        <w:t>N</w:t>
      </w:r>
      <w:r w:rsidRPr="00622CEE">
        <w:rPr>
          <w:rFonts w:ascii="Times New Roman" w:eastAsia="Times New Roman" w:hAnsi="Times New Roman" w:cs="Times New Roman"/>
          <w:color w:val="000000"/>
          <w:sz w:val="26"/>
          <w:szCs w:val="26"/>
          <w:bdr w:val="none" w:sz="0" w:space="0" w:color="auto" w:frame="1"/>
          <w:shd w:val="clear" w:color="auto" w:fill="FFFFFF"/>
        </w:rPr>
        <w:t xml:space="preserve">gày 24 tháng 10, Tổ chức </w:t>
      </w:r>
      <w:r>
        <w:rPr>
          <w:rFonts w:ascii="Times New Roman" w:eastAsia="Times New Roman" w:hAnsi="Times New Roman" w:cs="Times New Roman"/>
          <w:color w:val="000000"/>
          <w:sz w:val="26"/>
          <w:szCs w:val="26"/>
          <w:bdr w:val="none" w:sz="0" w:space="0" w:color="auto" w:frame="1"/>
          <w:shd w:val="clear" w:color="auto" w:fill="FFFFFF"/>
        </w:rPr>
        <w:t xml:space="preserve">các </w:t>
      </w:r>
      <w:r w:rsidRPr="00622CEE">
        <w:rPr>
          <w:rFonts w:ascii="Times New Roman" w:eastAsia="Times New Roman" w:hAnsi="Times New Roman" w:cs="Times New Roman"/>
          <w:color w:val="000000"/>
          <w:sz w:val="26"/>
          <w:szCs w:val="26"/>
          <w:bdr w:val="none" w:sz="0" w:space="0" w:color="auto" w:frame="1"/>
          <w:shd w:val="clear" w:color="auto" w:fill="FFFFFF"/>
        </w:rPr>
        <w:t xml:space="preserve">cảng biển châu Âu (ESPO) đã </w:t>
      </w:r>
      <w:r>
        <w:rPr>
          <w:rFonts w:ascii="Times New Roman" w:eastAsia="Times New Roman" w:hAnsi="Times New Roman" w:cs="Times New Roman"/>
          <w:color w:val="000000"/>
          <w:sz w:val="26"/>
          <w:szCs w:val="26"/>
          <w:bdr w:val="none" w:sz="0" w:space="0" w:color="auto" w:frame="1"/>
          <w:shd w:val="clear" w:color="auto" w:fill="FFFFFF"/>
        </w:rPr>
        <w:t>đưa ra</w:t>
      </w:r>
      <w:r w:rsidRPr="00622CEE">
        <w:rPr>
          <w:rFonts w:ascii="Times New Roman" w:eastAsia="Times New Roman" w:hAnsi="Times New Roman" w:cs="Times New Roman"/>
          <w:color w:val="000000"/>
          <w:sz w:val="26"/>
          <w:szCs w:val="26"/>
          <w:bdr w:val="none" w:sz="0" w:space="0" w:color="auto" w:frame="1"/>
          <w:shd w:val="clear" w:color="auto" w:fill="FFFFFF"/>
        </w:rPr>
        <w:t xml:space="preserve"> báo cáo môi trường hàng năm của mình, cho thấy 58% </w:t>
      </w:r>
      <w:r>
        <w:rPr>
          <w:rFonts w:ascii="Times New Roman" w:eastAsia="Times New Roman" w:hAnsi="Times New Roman" w:cs="Times New Roman"/>
          <w:color w:val="000000"/>
          <w:sz w:val="26"/>
          <w:szCs w:val="26"/>
          <w:bdr w:val="none" w:sz="0" w:space="0" w:color="auto" w:frame="1"/>
          <w:shd w:val="clear" w:color="auto" w:fill="FFFFFF"/>
        </w:rPr>
        <w:t xml:space="preserve">số </w:t>
      </w:r>
      <w:r w:rsidRPr="00622CEE">
        <w:rPr>
          <w:rFonts w:ascii="Times New Roman" w:eastAsia="Times New Roman" w:hAnsi="Times New Roman" w:cs="Times New Roman"/>
          <w:color w:val="000000"/>
          <w:sz w:val="26"/>
          <w:szCs w:val="26"/>
          <w:bdr w:val="none" w:sz="0" w:space="0" w:color="auto" w:frame="1"/>
          <w:shd w:val="clear" w:color="auto" w:fill="FFFFFF"/>
        </w:rPr>
        <w:t>cảng hiện cung cấp nguồn điện bờ (OPS) tại một hoặc nhiều bến</w:t>
      </w:r>
      <w:r>
        <w:rPr>
          <w:rFonts w:ascii="Times New Roman" w:eastAsia="Times New Roman" w:hAnsi="Times New Roman" w:cs="Times New Roman"/>
          <w:color w:val="000000"/>
          <w:sz w:val="26"/>
          <w:szCs w:val="26"/>
          <w:bdr w:val="none" w:sz="0" w:space="0" w:color="auto" w:frame="1"/>
          <w:shd w:val="clear" w:color="auto" w:fill="FFFFFF"/>
        </w:rPr>
        <w:t xml:space="preserve"> của mình</w:t>
      </w:r>
      <w:r w:rsidRPr="00622CEE">
        <w:rPr>
          <w:rFonts w:ascii="Times New Roman" w:eastAsia="Times New Roman" w:hAnsi="Times New Roman" w:cs="Times New Roman"/>
          <w:color w:val="000000"/>
          <w:sz w:val="26"/>
          <w:szCs w:val="26"/>
          <w:bdr w:val="none" w:sz="0" w:space="0" w:color="auto" w:frame="1"/>
          <w:shd w:val="clear" w:color="auto" w:fill="FFFFFF"/>
        </w:rPr>
        <w:t>.</w:t>
      </w:r>
    </w:p>
    <w:p w:rsidR="00622CEE" w:rsidRPr="00622CEE" w:rsidRDefault="00622CEE" w:rsidP="00622CE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22CEE">
        <w:rPr>
          <w:rFonts w:ascii="Times New Roman" w:eastAsia="Times New Roman" w:hAnsi="Times New Roman" w:cs="Times New Roman"/>
          <w:color w:val="000000"/>
          <w:sz w:val="26"/>
          <w:szCs w:val="26"/>
          <w:bdr w:val="none" w:sz="0" w:space="0" w:color="auto" w:frame="1"/>
          <w:shd w:val="clear" w:color="auto" w:fill="FFFFFF"/>
        </w:rPr>
        <w:t xml:space="preserve">Năm nay, phiên bản báo cáo môi trường của ESPO, được công bố trong Đại hội Greenport do cảng Haropa tại Le Havre tổ chức, dựa trên dữ liệu được thu thập từ 83 cảng </w:t>
      </w:r>
      <w:r>
        <w:rPr>
          <w:rFonts w:ascii="Times New Roman" w:eastAsia="Times New Roman" w:hAnsi="Times New Roman" w:cs="Times New Roman"/>
          <w:color w:val="000000"/>
          <w:sz w:val="26"/>
          <w:szCs w:val="26"/>
          <w:bdr w:val="none" w:sz="0" w:space="0" w:color="auto" w:frame="1"/>
          <w:shd w:val="clear" w:color="auto" w:fill="FFFFFF"/>
        </w:rPr>
        <w:t xml:space="preserve">ở </w:t>
      </w:r>
      <w:r w:rsidRPr="00622CEE">
        <w:rPr>
          <w:rFonts w:ascii="Times New Roman" w:eastAsia="Times New Roman" w:hAnsi="Times New Roman" w:cs="Times New Roman"/>
          <w:color w:val="000000"/>
          <w:sz w:val="26"/>
          <w:szCs w:val="26"/>
          <w:bdr w:val="none" w:sz="0" w:space="0" w:color="auto" w:frame="1"/>
          <w:shd w:val="clear" w:color="auto" w:fill="FFFFFF"/>
        </w:rPr>
        <w:t xml:space="preserve">châu Âu trên 21 quốc gia. Thông qua phương pháp tự </w:t>
      </w:r>
      <w:r>
        <w:rPr>
          <w:rFonts w:ascii="Times New Roman" w:eastAsia="Times New Roman" w:hAnsi="Times New Roman" w:cs="Times New Roman"/>
          <w:color w:val="000000"/>
          <w:sz w:val="26"/>
          <w:szCs w:val="26"/>
          <w:bdr w:val="none" w:sz="0" w:space="0" w:color="auto" w:frame="1"/>
          <w:shd w:val="clear" w:color="auto" w:fill="FFFFFF"/>
        </w:rPr>
        <w:t>đánh giá</w:t>
      </w:r>
      <w:r w:rsidRPr="00622CEE">
        <w:rPr>
          <w:rFonts w:ascii="Times New Roman" w:eastAsia="Times New Roman" w:hAnsi="Times New Roman" w:cs="Times New Roman"/>
          <w:color w:val="000000"/>
          <w:sz w:val="26"/>
          <w:szCs w:val="26"/>
          <w:bdr w:val="none" w:sz="0" w:space="0" w:color="auto" w:frame="1"/>
          <w:shd w:val="clear" w:color="auto" w:fill="FFFFFF"/>
        </w:rPr>
        <w:t xml:space="preserve"> ECOPORTS (SDM), các </w:t>
      </w:r>
      <w:r>
        <w:rPr>
          <w:rFonts w:ascii="Times New Roman" w:eastAsia="Times New Roman" w:hAnsi="Times New Roman" w:cs="Times New Roman"/>
          <w:color w:val="000000"/>
          <w:sz w:val="26"/>
          <w:szCs w:val="26"/>
          <w:bdr w:val="none" w:sz="0" w:space="0" w:color="auto" w:frame="1"/>
          <w:shd w:val="clear" w:color="auto" w:fill="FFFFFF"/>
        </w:rPr>
        <w:t>cảng</w:t>
      </w:r>
      <w:r w:rsidRPr="00622CEE">
        <w:rPr>
          <w:rFonts w:ascii="Times New Roman" w:eastAsia="Times New Roman" w:hAnsi="Times New Roman" w:cs="Times New Roman"/>
          <w:color w:val="000000"/>
          <w:sz w:val="26"/>
          <w:szCs w:val="26"/>
          <w:bdr w:val="none" w:sz="0" w:space="0" w:color="auto" w:frame="1"/>
          <w:shd w:val="clear" w:color="auto" w:fill="FFFFFF"/>
        </w:rPr>
        <w:t xml:space="preserve"> gửi một loạt dữ liệu </w:t>
      </w:r>
      <w:r>
        <w:rPr>
          <w:rFonts w:ascii="Times New Roman" w:eastAsia="Times New Roman" w:hAnsi="Times New Roman" w:cs="Times New Roman"/>
          <w:color w:val="000000"/>
          <w:sz w:val="26"/>
          <w:szCs w:val="26"/>
          <w:bdr w:val="none" w:sz="0" w:space="0" w:color="auto" w:frame="1"/>
          <w:shd w:val="clear" w:color="auto" w:fill="FFFFFF"/>
        </w:rPr>
        <w:t xml:space="preserve">về </w:t>
      </w:r>
      <w:r w:rsidRPr="00622CEE">
        <w:rPr>
          <w:rFonts w:ascii="Times New Roman" w:eastAsia="Times New Roman" w:hAnsi="Times New Roman" w:cs="Times New Roman"/>
          <w:color w:val="000000"/>
          <w:sz w:val="26"/>
          <w:szCs w:val="26"/>
          <w:bdr w:val="none" w:sz="0" w:space="0" w:color="auto" w:frame="1"/>
          <w:shd w:val="clear" w:color="auto" w:fill="FFFFFF"/>
        </w:rPr>
        <w:t>môi trường, cung cấp cơ sở cho báo cáo</w:t>
      </w:r>
      <w:r>
        <w:rPr>
          <w:rFonts w:ascii="Times New Roman" w:eastAsia="Times New Roman" w:hAnsi="Times New Roman" w:cs="Times New Roman"/>
          <w:color w:val="000000"/>
          <w:sz w:val="26"/>
          <w:szCs w:val="26"/>
          <w:bdr w:val="none" w:sz="0" w:space="0" w:color="auto" w:frame="1"/>
          <w:shd w:val="clear" w:color="auto" w:fill="FFFFFF"/>
        </w:rPr>
        <w:t xml:space="preserve"> này</w:t>
      </w:r>
      <w:r w:rsidRPr="00622CEE">
        <w:rPr>
          <w:rFonts w:ascii="Times New Roman" w:eastAsia="Times New Roman" w:hAnsi="Times New Roman" w:cs="Times New Roman"/>
          <w:color w:val="000000"/>
          <w:sz w:val="26"/>
          <w:szCs w:val="26"/>
          <w:bdr w:val="none" w:sz="0" w:space="0" w:color="auto" w:frame="1"/>
          <w:shd w:val="clear" w:color="auto" w:fill="FFFFFF"/>
        </w:rPr>
        <w:t>.</w:t>
      </w:r>
    </w:p>
    <w:p w:rsidR="00622CEE" w:rsidRPr="00622CEE" w:rsidRDefault="00622CEE" w:rsidP="00622CE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22CEE">
        <w:rPr>
          <w:rFonts w:ascii="Times New Roman" w:eastAsia="Times New Roman" w:hAnsi="Times New Roman" w:cs="Times New Roman"/>
          <w:color w:val="000000"/>
          <w:sz w:val="26"/>
          <w:szCs w:val="26"/>
          <w:bdr w:val="none" w:sz="0" w:space="0" w:color="auto" w:frame="1"/>
          <w:shd w:val="clear" w:color="auto" w:fill="FFFFFF"/>
        </w:rPr>
        <w:t xml:space="preserve">Theo báo cáo, 58% </w:t>
      </w:r>
      <w:r>
        <w:rPr>
          <w:rFonts w:ascii="Times New Roman" w:eastAsia="Times New Roman" w:hAnsi="Times New Roman" w:cs="Times New Roman"/>
          <w:color w:val="000000"/>
          <w:sz w:val="26"/>
          <w:szCs w:val="26"/>
          <w:bdr w:val="none" w:sz="0" w:space="0" w:color="auto" w:frame="1"/>
          <w:shd w:val="clear" w:color="auto" w:fill="FFFFFF"/>
        </w:rPr>
        <w:t>số</w:t>
      </w:r>
      <w:r w:rsidRPr="00622CEE">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cảng</w:t>
      </w:r>
      <w:r w:rsidRPr="00622CEE">
        <w:rPr>
          <w:rFonts w:ascii="Times New Roman" w:eastAsia="Times New Roman" w:hAnsi="Times New Roman" w:cs="Times New Roman"/>
          <w:color w:val="000000"/>
          <w:sz w:val="26"/>
          <w:szCs w:val="26"/>
          <w:bdr w:val="none" w:sz="0" w:space="0" w:color="auto" w:frame="1"/>
          <w:shd w:val="clear" w:color="auto" w:fill="FFFFFF"/>
        </w:rPr>
        <w:t xml:space="preserve"> đáng chú ý hiện </w:t>
      </w:r>
      <w:r>
        <w:rPr>
          <w:rFonts w:ascii="Times New Roman" w:eastAsia="Times New Roman" w:hAnsi="Times New Roman" w:cs="Times New Roman"/>
          <w:color w:val="000000"/>
          <w:sz w:val="26"/>
          <w:szCs w:val="26"/>
          <w:bdr w:val="none" w:sz="0" w:space="0" w:color="auto" w:frame="1"/>
          <w:shd w:val="clear" w:color="auto" w:fill="FFFFFF"/>
        </w:rPr>
        <w:t>đã</w:t>
      </w:r>
      <w:r w:rsidRPr="00622CEE">
        <w:rPr>
          <w:rFonts w:ascii="Times New Roman" w:eastAsia="Times New Roman" w:hAnsi="Times New Roman" w:cs="Times New Roman"/>
          <w:color w:val="000000"/>
          <w:sz w:val="26"/>
          <w:szCs w:val="26"/>
          <w:bdr w:val="none" w:sz="0" w:space="0" w:color="auto" w:frame="1"/>
          <w:shd w:val="clear" w:color="auto" w:fill="FFFFFF"/>
        </w:rPr>
        <w:t xml:space="preserve"> cấp nguồn điện bờ (OPS) tại một hoặc nhiều bến</w:t>
      </w:r>
      <w:r>
        <w:rPr>
          <w:rFonts w:ascii="Times New Roman" w:eastAsia="Times New Roman" w:hAnsi="Times New Roman" w:cs="Times New Roman"/>
          <w:color w:val="000000"/>
          <w:sz w:val="26"/>
          <w:szCs w:val="26"/>
          <w:bdr w:val="none" w:sz="0" w:space="0" w:color="auto" w:frame="1"/>
          <w:shd w:val="clear" w:color="auto" w:fill="FFFFFF"/>
        </w:rPr>
        <w:t xml:space="preserve"> của họ</w:t>
      </w:r>
      <w:r w:rsidRPr="00622CEE">
        <w:rPr>
          <w:rFonts w:ascii="Times New Roman" w:eastAsia="Times New Roman" w:hAnsi="Times New Roman" w:cs="Times New Roman"/>
          <w:color w:val="000000"/>
          <w:sz w:val="26"/>
          <w:szCs w:val="26"/>
          <w:bdr w:val="none" w:sz="0" w:space="0" w:color="auto" w:frame="1"/>
          <w:shd w:val="clear" w:color="auto" w:fill="FFFFFF"/>
        </w:rPr>
        <w:t xml:space="preserve">, với 56% trong số </w:t>
      </w:r>
      <w:r>
        <w:rPr>
          <w:rFonts w:ascii="Times New Roman" w:eastAsia="Times New Roman" w:hAnsi="Times New Roman" w:cs="Times New Roman"/>
          <w:color w:val="000000"/>
          <w:sz w:val="26"/>
          <w:szCs w:val="26"/>
          <w:bdr w:val="none" w:sz="0" w:space="0" w:color="auto" w:frame="1"/>
          <w:shd w:val="clear" w:color="auto" w:fill="FFFFFF"/>
        </w:rPr>
        <w:t>đó</w:t>
      </w:r>
      <w:r w:rsidRPr="00622CEE">
        <w:rPr>
          <w:rFonts w:ascii="Times New Roman" w:eastAsia="Times New Roman" w:hAnsi="Times New Roman" w:cs="Times New Roman"/>
          <w:color w:val="000000"/>
          <w:sz w:val="26"/>
          <w:szCs w:val="26"/>
          <w:bdr w:val="none" w:sz="0" w:space="0" w:color="auto" w:frame="1"/>
          <w:shd w:val="clear" w:color="auto" w:fill="FFFFFF"/>
        </w:rPr>
        <w:t xml:space="preserve"> cung cấp các tùy chọn </w:t>
      </w:r>
      <w:r>
        <w:rPr>
          <w:rFonts w:ascii="Times New Roman" w:eastAsia="Times New Roman" w:hAnsi="Times New Roman" w:cs="Times New Roman"/>
          <w:color w:val="000000"/>
          <w:sz w:val="26"/>
          <w:szCs w:val="26"/>
          <w:bdr w:val="none" w:sz="0" w:space="0" w:color="auto" w:frame="1"/>
          <w:shd w:val="clear" w:color="auto" w:fill="FFFFFF"/>
        </w:rPr>
        <w:t xml:space="preserve">về </w:t>
      </w:r>
      <w:r w:rsidRPr="00622CEE">
        <w:rPr>
          <w:rFonts w:ascii="Times New Roman" w:eastAsia="Times New Roman" w:hAnsi="Times New Roman" w:cs="Times New Roman"/>
          <w:color w:val="000000"/>
          <w:sz w:val="26"/>
          <w:szCs w:val="26"/>
          <w:bdr w:val="none" w:sz="0" w:space="0" w:color="auto" w:frame="1"/>
          <w:shd w:val="clear" w:color="auto" w:fill="FFFFFF"/>
        </w:rPr>
        <w:t xml:space="preserve">điện áp cao. Bất </w:t>
      </w:r>
      <w:r>
        <w:rPr>
          <w:rFonts w:ascii="Times New Roman" w:eastAsia="Times New Roman" w:hAnsi="Times New Roman" w:cs="Times New Roman"/>
          <w:color w:val="000000"/>
          <w:sz w:val="26"/>
          <w:szCs w:val="26"/>
          <w:bdr w:val="none" w:sz="0" w:space="0" w:color="auto" w:frame="1"/>
          <w:shd w:val="clear" w:color="auto" w:fill="FFFFFF"/>
        </w:rPr>
        <w:t>kể</w:t>
      </w:r>
      <w:r w:rsidRPr="00622CEE">
        <w:rPr>
          <w:rFonts w:ascii="Times New Roman" w:eastAsia="Times New Roman" w:hAnsi="Times New Roman" w:cs="Times New Roman"/>
          <w:color w:val="000000"/>
          <w:sz w:val="26"/>
          <w:szCs w:val="26"/>
          <w:bdr w:val="none" w:sz="0" w:space="0" w:color="auto" w:frame="1"/>
          <w:shd w:val="clear" w:color="auto" w:fill="FFFFFF"/>
        </w:rPr>
        <w:t xml:space="preserve"> sự tiến bộ này, những thách thức như không </w:t>
      </w:r>
      <w:r>
        <w:rPr>
          <w:rFonts w:ascii="Times New Roman" w:eastAsia="Times New Roman" w:hAnsi="Times New Roman" w:cs="Times New Roman"/>
          <w:color w:val="000000"/>
          <w:sz w:val="26"/>
          <w:szCs w:val="26"/>
          <w:bdr w:val="none" w:sz="0" w:space="0" w:color="auto" w:frame="1"/>
          <w:shd w:val="clear" w:color="auto" w:fill="FFFFFF"/>
        </w:rPr>
        <w:t xml:space="preserve">có </w:t>
      </w:r>
      <w:r w:rsidRPr="00622CEE">
        <w:rPr>
          <w:rFonts w:ascii="Times New Roman" w:eastAsia="Times New Roman" w:hAnsi="Times New Roman" w:cs="Times New Roman"/>
          <w:color w:val="000000"/>
          <w:sz w:val="26"/>
          <w:szCs w:val="26"/>
          <w:bdr w:val="none" w:sz="0" w:space="0" w:color="auto" w:frame="1"/>
          <w:shd w:val="clear" w:color="auto" w:fill="FFFFFF"/>
        </w:rPr>
        <w:t xml:space="preserve">đủ cơ sở hạ tầng lưới và năng lực lưới </w:t>
      </w:r>
      <w:r>
        <w:rPr>
          <w:rFonts w:ascii="Times New Roman" w:eastAsia="Times New Roman" w:hAnsi="Times New Roman" w:cs="Times New Roman"/>
          <w:color w:val="000000"/>
          <w:sz w:val="26"/>
          <w:szCs w:val="26"/>
          <w:bdr w:val="none" w:sz="0" w:space="0" w:color="auto" w:frame="1"/>
          <w:shd w:val="clear" w:color="auto" w:fill="FFFFFF"/>
        </w:rPr>
        <w:t xml:space="preserve">điện </w:t>
      </w:r>
      <w:r w:rsidRPr="00622CEE">
        <w:rPr>
          <w:rFonts w:ascii="Times New Roman" w:eastAsia="Times New Roman" w:hAnsi="Times New Roman" w:cs="Times New Roman"/>
          <w:color w:val="000000"/>
          <w:sz w:val="26"/>
          <w:szCs w:val="26"/>
          <w:bdr w:val="none" w:sz="0" w:space="0" w:color="auto" w:frame="1"/>
          <w:shd w:val="clear" w:color="auto" w:fill="FFFFFF"/>
        </w:rPr>
        <w:t>không đủ vẫn tồn tại.</w:t>
      </w:r>
    </w:p>
    <w:p w:rsidR="00622CEE" w:rsidRPr="00622CEE" w:rsidRDefault="00622CEE" w:rsidP="00622CE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22CEE">
        <w:rPr>
          <w:rFonts w:ascii="Times New Roman" w:eastAsia="Times New Roman" w:hAnsi="Times New Roman" w:cs="Times New Roman"/>
          <w:color w:val="000000"/>
          <w:sz w:val="26"/>
          <w:szCs w:val="26"/>
          <w:bdr w:val="none" w:sz="0" w:space="0" w:color="auto" w:frame="1"/>
          <w:shd w:val="clear" w:color="auto" w:fill="FFFFFF"/>
        </w:rPr>
        <w:t xml:space="preserve">Các cơ sở </w:t>
      </w:r>
      <w:r>
        <w:rPr>
          <w:rFonts w:ascii="Times New Roman" w:eastAsia="Times New Roman" w:hAnsi="Times New Roman" w:cs="Times New Roman"/>
          <w:color w:val="000000"/>
          <w:sz w:val="26"/>
          <w:szCs w:val="26"/>
          <w:bdr w:val="none" w:sz="0" w:space="0" w:color="auto" w:frame="1"/>
          <w:shd w:val="clear" w:color="auto" w:fill="FFFFFF"/>
        </w:rPr>
        <w:t>cấp nhiên liệu</w:t>
      </w:r>
      <w:r w:rsidRPr="00622CEE">
        <w:rPr>
          <w:rFonts w:ascii="Times New Roman" w:eastAsia="Times New Roman" w:hAnsi="Times New Roman" w:cs="Times New Roman"/>
          <w:color w:val="000000"/>
          <w:sz w:val="26"/>
          <w:szCs w:val="26"/>
          <w:bdr w:val="none" w:sz="0" w:space="0" w:color="auto" w:frame="1"/>
          <w:shd w:val="clear" w:color="auto" w:fill="FFFFFF"/>
        </w:rPr>
        <w:t xml:space="preserve"> LNG </w:t>
      </w:r>
      <w:r>
        <w:rPr>
          <w:rFonts w:ascii="Times New Roman" w:eastAsia="Times New Roman" w:hAnsi="Times New Roman" w:cs="Times New Roman"/>
          <w:color w:val="000000"/>
          <w:sz w:val="26"/>
          <w:szCs w:val="26"/>
          <w:bdr w:val="none" w:sz="0" w:space="0" w:color="auto" w:frame="1"/>
          <w:shd w:val="clear" w:color="auto" w:fill="FFFFFF"/>
        </w:rPr>
        <w:t xml:space="preserve">đã </w:t>
      </w:r>
      <w:r w:rsidRPr="00622CEE">
        <w:rPr>
          <w:rFonts w:ascii="Times New Roman" w:eastAsia="Times New Roman" w:hAnsi="Times New Roman" w:cs="Times New Roman"/>
          <w:color w:val="000000"/>
          <w:sz w:val="26"/>
          <w:szCs w:val="26"/>
          <w:bdr w:val="none" w:sz="0" w:space="0" w:color="auto" w:frame="1"/>
          <w:shd w:val="clear" w:color="auto" w:fill="FFFFFF"/>
        </w:rPr>
        <w:t xml:space="preserve">có sẵn tại 48% </w:t>
      </w:r>
      <w:r>
        <w:rPr>
          <w:rFonts w:ascii="Times New Roman" w:eastAsia="Times New Roman" w:hAnsi="Times New Roman" w:cs="Times New Roman"/>
          <w:color w:val="000000"/>
          <w:sz w:val="26"/>
          <w:szCs w:val="26"/>
          <w:bdr w:val="none" w:sz="0" w:space="0" w:color="auto" w:frame="1"/>
          <w:shd w:val="clear" w:color="auto" w:fill="FFFFFF"/>
        </w:rPr>
        <w:t>số cảng</w:t>
      </w:r>
      <w:r w:rsidRPr="00622CEE">
        <w:rPr>
          <w:rFonts w:ascii="Times New Roman" w:eastAsia="Times New Roman" w:hAnsi="Times New Roman" w:cs="Times New Roman"/>
          <w:color w:val="000000"/>
          <w:sz w:val="26"/>
          <w:szCs w:val="26"/>
          <w:bdr w:val="none" w:sz="0" w:space="0" w:color="auto" w:frame="1"/>
          <w:shd w:val="clear" w:color="auto" w:fill="FFFFFF"/>
        </w:rPr>
        <w:t xml:space="preserve">, với kế hoạch </w:t>
      </w:r>
      <w:r>
        <w:rPr>
          <w:rFonts w:ascii="Times New Roman" w:eastAsia="Times New Roman" w:hAnsi="Times New Roman" w:cs="Times New Roman"/>
          <w:color w:val="000000"/>
          <w:sz w:val="26"/>
          <w:szCs w:val="26"/>
          <w:bdr w:val="none" w:sz="0" w:space="0" w:color="auto" w:frame="1"/>
          <w:shd w:val="clear" w:color="auto" w:fill="FFFFFF"/>
        </w:rPr>
        <w:t xml:space="preserve">có </w:t>
      </w:r>
      <w:r w:rsidRPr="00622CEE">
        <w:rPr>
          <w:rFonts w:ascii="Times New Roman" w:eastAsia="Times New Roman" w:hAnsi="Times New Roman" w:cs="Times New Roman"/>
          <w:color w:val="000000"/>
          <w:sz w:val="26"/>
          <w:szCs w:val="26"/>
          <w:bdr w:val="none" w:sz="0" w:space="0" w:color="auto" w:frame="1"/>
          <w:shd w:val="clear" w:color="auto" w:fill="FFFFFF"/>
        </w:rPr>
        <w:t xml:space="preserve">thêm 16% để </w:t>
      </w:r>
      <w:r>
        <w:rPr>
          <w:rFonts w:ascii="Times New Roman" w:eastAsia="Times New Roman" w:hAnsi="Times New Roman" w:cs="Times New Roman"/>
          <w:color w:val="000000"/>
          <w:sz w:val="26"/>
          <w:szCs w:val="26"/>
          <w:bdr w:val="none" w:sz="0" w:space="0" w:color="auto" w:frame="1"/>
          <w:shd w:val="clear" w:color="auto" w:fill="FFFFFF"/>
        </w:rPr>
        <w:t>đưa</w:t>
      </w:r>
      <w:r w:rsidRPr="00622CEE">
        <w:rPr>
          <w:rFonts w:ascii="Times New Roman" w:eastAsia="Times New Roman" w:hAnsi="Times New Roman" w:cs="Times New Roman"/>
          <w:color w:val="000000"/>
          <w:sz w:val="26"/>
          <w:szCs w:val="26"/>
          <w:bdr w:val="none" w:sz="0" w:space="0" w:color="auto" w:frame="1"/>
          <w:shd w:val="clear" w:color="auto" w:fill="FFFFFF"/>
        </w:rPr>
        <w:t xml:space="preserve"> chúng </w:t>
      </w:r>
      <w:r>
        <w:rPr>
          <w:rFonts w:ascii="Times New Roman" w:eastAsia="Times New Roman" w:hAnsi="Times New Roman" w:cs="Times New Roman"/>
          <w:color w:val="000000"/>
          <w:sz w:val="26"/>
          <w:szCs w:val="26"/>
          <w:bdr w:val="none" w:sz="0" w:space="0" w:color="auto" w:frame="1"/>
          <w:shd w:val="clear" w:color="auto" w:fill="FFFFFF"/>
        </w:rPr>
        <w:t xml:space="preserve">vào hoạt động </w:t>
      </w:r>
      <w:r w:rsidRPr="00622CEE">
        <w:rPr>
          <w:rFonts w:ascii="Times New Roman" w:eastAsia="Times New Roman" w:hAnsi="Times New Roman" w:cs="Times New Roman"/>
          <w:color w:val="000000"/>
          <w:sz w:val="26"/>
          <w:szCs w:val="26"/>
          <w:bdr w:val="none" w:sz="0" w:space="0" w:color="auto" w:frame="1"/>
          <w:shd w:val="clear" w:color="auto" w:fill="FFFFFF"/>
        </w:rPr>
        <w:t xml:space="preserve">trong vòng hai năm tới. Các dự án hydro cũng đang đạt được </w:t>
      </w:r>
      <w:r>
        <w:rPr>
          <w:rFonts w:ascii="Times New Roman" w:eastAsia="Times New Roman" w:hAnsi="Times New Roman" w:cs="Times New Roman"/>
          <w:color w:val="000000"/>
          <w:sz w:val="26"/>
          <w:szCs w:val="26"/>
          <w:bdr w:val="none" w:sz="0" w:space="0" w:color="auto" w:frame="1"/>
          <w:shd w:val="clear" w:color="auto" w:fill="FFFFFF"/>
        </w:rPr>
        <w:t xml:space="preserve">động </w:t>
      </w:r>
      <w:r w:rsidRPr="00622CEE">
        <w:rPr>
          <w:rFonts w:ascii="Times New Roman" w:eastAsia="Times New Roman" w:hAnsi="Times New Roman" w:cs="Times New Roman"/>
          <w:color w:val="000000"/>
          <w:sz w:val="26"/>
          <w:szCs w:val="26"/>
          <w:bdr w:val="none" w:sz="0" w:space="0" w:color="auto" w:frame="1"/>
          <w:shd w:val="clear" w:color="auto" w:fill="FFFFFF"/>
        </w:rPr>
        <w:t xml:space="preserve">lực, với 44% </w:t>
      </w:r>
      <w:r>
        <w:rPr>
          <w:rFonts w:ascii="Times New Roman" w:eastAsia="Times New Roman" w:hAnsi="Times New Roman" w:cs="Times New Roman"/>
          <w:color w:val="000000"/>
          <w:sz w:val="26"/>
          <w:szCs w:val="26"/>
          <w:bdr w:val="none" w:sz="0" w:space="0" w:color="auto" w:frame="1"/>
          <w:shd w:val="clear" w:color="auto" w:fill="FFFFFF"/>
        </w:rPr>
        <w:t>số</w:t>
      </w:r>
      <w:r w:rsidRPr="00622CEE">
        <w:rPr>
          <w:rFonts w:ascii="Times New Roman" w:eastAsia="Times New Roman" w:hAnsi="Times New Roman" w:cs="Times New Roman"/>
          <w:color w:val="000000"/>
          <w:sz w:val="26"/>
          <w:szCs w:val="26"/>
          <w:bdr w:val="none" w:sz="0" w:space="0" w:color="auto" w:frame="1"/>
          <w:shd w:val="clear" w:color="auto" w:fill="FFFFFF"/>
        </w:rPr>
        <w:t xml:space="preserve"> cảng tích cực tham gia vào </w:t>
      </w:r>
      <w:r>
        <w:rPr>
          <w:rFonts w:ascii="Times New Roman" w:eastAsia="Times New Roman" w:hAnsi="Times New Roman" w:cs="Times New Roman"/>
          <w:color w:val="000000"/>
          <w:sz w:val="26"/>
          <w:szCs w:val="26"/>
          <w:bdr w:val="none" w:sz="0" w:space="0" w:color="auto" w:frame="1"/>
          <w:shd w:val="clear" w:color="auto" w:fill="FFFFFF"/>
        </w:rPr>
        <w:t>lĩnh</w:t>
      </w:r>
      <w:r w:rsidRPr="00622CEE">
        <w:rPr>
          <w:rFonts w:ascii="Times New Roman" w:eastAsia="Times New Roman" w:hAnsi="Times New Roman" w:cs="Times New Roman"/>
          <w:color w:val="000000"/>
          <w:sz w:val="26"/>
          <w:szCs w:val="26"/>
          <w:bdr w:val="none" w:sz="0" w:space="0" w:color="auto" w:frame="1"/>
          <w:shd w:val="clear" w:color="auto" w:fill="FFFFFF"/>
        </w:rPr>
        <w:t xml:space="preserve"> vực này, làm nổi bật tiềm năng của hydro, như một nhiên liệu sạch thay thế chính.</w:t>
      </w:r>
    </w:p>
    <w:p w:rsidR="00622CEE" w:rsidRPr="00622CEE" w:rsidRDefault="00622CEE" w:rsidP="00622CEE">
      <w:pPr>
        <w:shd w:val="clear" w:color="auto" w:fill="FFFFFF"/>
        <w:spacing w:before="120" w:after="12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622CEE">
        <w:rPr>
          <w:rFonts w:ascii="Times New Roman" w:eastAsia="Times New Roman" w:hAnsi="Times New Roman" w:cs="Times New Roman"/>
          <w:color w:val="000000"/>
          <w:sz w:val="26"/>
          <w:szCs w:val="26"/>
          <w:bdr w:val="none" w:sz="0" w:space="0" w:color="auto" w:frame="1"/>
          <w:shd w:val="clear" w:color="auto" w:fill="FFFFFF"/>
        </w:rPr>
        <w:lastRenderedPageBreak/>
        <w:t xml:space="preserve">Ngoài ra, 61% </w:t>
      </w:r>
      <w:r>
        <w:rPr>
          <w:rFonts w:ascii="Times New Roman" w:eastAsia="Times New Roman" w:hAnsi="Times New Roman" w:cs="Times New Roman"/>
          <w:color w:val="000000"/>
          <w:sz w:val="26"/>
          <w:szCs w:val="26"/>
          <w:bdr w:val="none" w:sz="0" w:space="0" w:color="auto" w:frame="1"/>
          <w:shd w:val="clear" w:color="auto" w:fill="FFFFFF"/>
        </w:rPr>
        <w:t>số</w:t>
      </w:r>
      <w:r w:rsidRPr="00622CEE">
        <w:rPr>
          <w:rFonts w:ascii="Times New Roman" w:eastAsia="Times New Roman" w:hAnsi="Times New Roman" w:cs="Times New Roman"/>
          <w:color w:val="000000"/>
          <w:sz w:val="26"/>
          <w:szCs w:val="26"/>
          <w:bdr w:val="none" w:sz="0" w:space="0" w:color="auto" w:frame="1"/>
          <w:shd w:val="clear" w:color="auto" w:fill="FFFFFF"/>
        </w:rPr>
        <w:t xml:space="preserve"> cảng </w:t>
      </w:r>
      <w:r>
        <w:rPr>
          <w:rFonts w:ascii="Times New Roman" w:eastAsia="Times New Roman" w:hAnsi="Times New Roman" w:cs="Times New Roman"/>
          <w:color w:val="000000"/>
          <w:sz w:val="26"/>
          <w:szCs w:val="26"/>
          <w:bdr w:val="none" w:sz="0" w:space="0" w:color="auto" w:frame="1"/>
          <w:shd w:val="clear" w:color="auto" w:fill="FFFFFF"/>
        </w:rPr>
        <w:t>đưa ra</w:t>
      </w:r>
      <w:r w:rsidRPr="00622CEE">
        <w:rPr>
          <w:rFonts w:ascii="Times New Roman" w:eastAsia="Times New Roman" w:hAnsi="Times New Roman" w:cs="Times New Roman"/>
          <w:color w:val="000000"/>
          <w:sz w:val="26"/>
          <w:szCs w:val="26"/>
          <w:bdr w:val="none" w:sz="0" w:space="0" w:color="auto" w:frame="1"/>
          <w:shd w:val="clear" w:color="auto" w:fill="FFFFFF"/>
        </w:rPr>
        <w:t xml:space="preserve"> các khoản phí khác </w:t>
      </w:r>
      <w:r>
        <w:rPr>
          <w:rFonts w:ascii="Times New Roman" w:eastAsia="Times New Roman" w:hAnsi="Times New Roman" w:cs="Times New Roman"/>
          <w:color w:val="000000"/>
          <w:sz w:val="26"/>
          <w:szCs w:val="26"/>
          <w:bdr w:val="none" w:sz="0" w:space="0" w:color="auto" w:frame="1"/>
          <w:shd w:val="clear" w:color="auto" w:fill="FFFFFF"/>
        </w:rPr>
        <w:t>nhau</w:t>
      </w:r>
      <w:r w:rsidRPr="00622CEE">
        <w:rPr>
          <w:rFonts w:ascii="Times New Roman" w:eastAsia="Times New Roman" w:hAnsi="Times New Roman" w:cs="Times New Roman"/>
          <w:color w:val="000000"/>
          <w:sz w:val="26"/>
          <w:szCs w:val="26"/>
          <w:bdr w:val="none" w:sz="0" w:space="0" w:color="auto" w:frame="1"/>
          <w:shd w:val="clear" w:color="auto" w:fill="FFFFFF"/>
        </w:rPr>
        <w:t xml:space="preserve"> về môi trường để khuyến khích các hoạt động bền vững trong vận </w:t>
      </w:r>
      <w:r>
        <w:rPr>
          <w:rFonts w:ascii="Times New Roman" w:eastAsia="Times New Roman" w:hAnsi="Times New Roman" w:cs="Times New Roman"/>
          <w:color w:val="000000"/>
          <w:sz w:val="26"/>
          <w:szCs w:val="26"/>
          <w:bdr w:val="none" w:sz="0" w:space="0" w:color="auto" w:frame="1"/>
          <w:shd w:val="clear" w:color="auto" w:fill="FFFFFF"/>
        </w:rPr>
        <w:t>tải biển</w:t>
      </w:r>
      <w:r w:rsidRPr="00622CEE">
        <w:rPr>
          <w:rFonts w:ascii="Times New Roman" w:eastAsia="Times New Roman" w:hAnsi="Times New Roman" w:cs="Times New Roman"/>
          <w:color w:val="000000"/>
          <w:sz w:val="26"/>
          <w:szCs w:val="26"/>
          <w:bdr w:val="none" w:sz="0" w:space="0" w:color="auto" w:frame="1"/>
          <w:shd w:val="clear" w:color="auto" w:fill="FFFFFF"/>
        </w:rPr>
        <w:t>, với các chương trình giảm phát thải khí</w:t>
      </w:r>
      <w:r>
        <w:rPr>
          <w:rFonts w:ascii="Times New Roman" w:eastAsia="Times New Roman" w:hAnsi="Times New Roman" w:cs="Times New Roman"/>
          <w:color w:val="000000"/>
          <w:sz w:val="26"/>
          <w:szCs w:val="26"/>
          <w:bdr w:val="none" w:sz="0" w:space="0" w:color="auto" w:frame="1"/>
          <w:shd w:val="clear" w:color="auto" w:fill="FFFFFF"/>
        </w:rPr>
        <w:t xml:space="preserve"> thải</w:t>
      </w:r>
      <w:r w:rsidRPr="00622CEE">
        <w:rPr>
          <w:rFonts w:ascii="Times New Roman" w:eastAsia="Times New Roman" w:hAnsi="Times New Roman" w:cs="Times New Roman"/>
          <w:color w:val="000000"/>
          <w:sz w:val="26"/>
          <w:szCs w:val="26"/>
          <w:bdr w:val="none" w:sz="0" w:space="0" w:color="auto" w:frame="1"/>
          <w:shd w:val="clear" w:color="auto" w:fill="FFFFFF"/>
        </w:rPr>
        <w:t xml:space="preserve"> là ưu đãi được thực hiện nhiều nhất, có sẵn ở mức 67% trong số các </w:t>
      </w:r>
      <w:r w:rsidR="00586CFB">
        <w:rPr>
          <w:rFonts w:ascii="Times New Roman" w:eastAsia="Times New Roman" w:hAnsi="Times New Roman" w:cs="Times New Roman"/>
          <w:color w:val="000000"/>
          <w:sz w:val="26"/>
          <w:szCs w:val="26"/>
          <w:bdr w:val="none" w:sz="0" w:space="0" w:color="auto" w:frame="1"/>
          <w:shd w:val="clear" w:color="auto" w:fill="FFFFFF"/>
        </w:rPr>
        <w:t>cảng</w:t>
      </w:r>
      <w:r w:rsidRPr="00622CEE">
        <w:rPr>
          <w:rFonts w:ascii="Times New Roman" w:eastAsia="Times New Roman" w:hAnsi="Times New Roman" w:cs="Times New Roman"/>
          <w:color w:val="000000"/>
          <w:sz w:val="26"/>
          <w:szCs w:val="26"/>
          <w:bdr w:val="none" w:sz="0" w:space="0" w:color="auto" w:frame="1"/>
          <w:shd w:val="clear" w:color="auto" w:fill="FFFFFF"/>
        </w:rPr>
        <w:t xml:space="preserve"> này.</w:t>
      </w:r>
    </w:p>
    <w:p w:rsidR="00622CEE" w:rsidRPr="00622CEE" w:rsidRDefault="00622CEE" w:rsidP="00622CEE">
      <w:pPr>
        <w:shd w:val="clear" w:color="auto" w:fill="FFFFFF"/>
        <w:spacing w:after="0" w:line="390" w:lineRule="atLeast"/>
        <w:textAlignment w:val="baseline"/>
        <w:rPr>
          <w:rFonts w:ascii="inherit" w:eastAsia="Times New Roman" w:hAnsi="inherit" w:cs="Times New Roman"/>
          <w:color w:val="333333"/>
          <w:sz w:val="24"/>
          <w:szCs w:val="24"/>
        </w:rPr>
      </w:pPr>
      <w:r w:rsidRPr="00622CEE">
        <w:rPr>
          <w:rFonts w:ascii="inherit" w:eastAsia="Times New Roman" w:hAnsi="inherit" w:cs="Times New Roman"/>
          <w:noProof/>
          <w:color w:val="A0A0A0"/>
          <w:sz w:val="24"/>
          <w:szCs w:val="24"/>
          <w:bdr w:val="none" w:sz="0" w:space="0" w:color="auto" w:frame="1"/>
        </w:rPr>
        <w:drawing>
          <wp:inline distT="0" distB="0" distL="0" distR="0">
            <wp:extent cx="5989320" cy="2768693"/>
            <wp:effectExtent l="0" t="0" r="0" b="0"/>
            <wp:docPr id="1" name="Picture 1" descr="ESPO: More than half of European ports provide shore powe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PO: More than half of European ports provide shore pow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568" cy="2787299"/>
                    </a:xfrm>
                    <a:prstGeom prst="rect">
                      <a:avLst/>
                    </a:prstGeom>
                    <a:noFill/>
                    <a:ln>
                      <a:noFill/>
                    </a:ln>
                  </pic:spPr>
                </pic:pic>
              </a:graphicData>
            </a:graphic>
          </wp:inline>
        </w:drawing>
      </w:r>
    </w:p>
    <w:p w:rsidR="00586CFB" w:rsidRPr="00586CFB" w:rsidRDefault="00586CFB" w:rsidP="00586CFB">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586CFB">
        <w:rPr>
          <w:rFonts w:ascii="Times New Roman" w:eastAsia="Times New Roman" w:hAnsi="Times New Roman" w:cs="Times New Roman"/>
          <w:color w:val="333333"/>
          <w:sz w:val="26"/>
          <w:szCs w:val="26"/>
        </w:rPr>
        <w:t xml:space="preserve">Một trong những </w:t>
      </w:r>
      <w:r>
        <w:rPr>
          <w:rFonts w:ascii="Times New Roman" w:eastAsia="Times New Roman" w:hAnsi="Times New Roman" w:cs="Times New Roman"/>
          <w:color w:val="333333"/>
          <w:sz w:val="26"/>
          <w:szCs w:val="26"/>
        </w:rPr>
        <w:t>đặc tính</w:t>
      </w:r>
      <w:r w:rsidRPr="00586CFB">
        <w:rPr>
          <w:rFonts w:ascii="Times New Roman" w:eastAsia="Times New Roman" w:hAnsi="Times New Roman" w:cs="Times New Roman"/>
          <w:color w:val="333333"/>
          <w:sz w:val="26"/>
          <w:szCs w:val="26"/>
        </w:rPr>
        <w:t xml:space="preserve"> chính của báo cáo này vẫn là 10 ưu tiên môi trường hàng đầu, </w:t>
      </w:r>
      <w:r>
        <w:rPr>
          <w:rFonts w:ascii="Times New Roman" w:eastAsia="Times New Roman" w:hAnsi="Times New Roman" w:cs="Times New Roman"/>
          <w:color w:val="333333"/>
          <w:sz w:val="26"/>
          <w:szCs w:val="26"/>
        </w:rPr>
        <w:t xml:space="preserve">là </w:t>
      </w:r>
      <w:r w:rsidRPr="00586CFB">
        <w:rPr>
          <w:rFonts w:ascii="Times New Roman" w:eastAsia="Times New Roman" w:hAnsi="Times New Roman" w:cs="Times New Roman"/>
          <w:color w:val="333333"/>
          <w:sz w:val="26"/>
          <w:szCs w:val="26"/>
        </w:rPr>
        <w:t xml:space="preserve">một danh sách làm sáng tỏ những thách thức </w:t>
      </w:r>
      <w:r>
        <w:rPr>
          <w:rFonts w:ascii="Times New Roman" w:eastAsia="Times New Roman" w:hAnsi="Times New Roman" w:cs="Times New Roman"/>
          <w:color w:val="333333"/>
          <w:sz w:val="26"/>
          <w:szCs w:val="26"/>
        </w:rPr>
        <w:t xml:space="preserve">về </w:t>
      </w:r>
      <w:r w:rsidRPr="00586CFB">
        <w:rPr>
          <w:rFonts w:ascii="Times New Roman" w:eastAsia="Times New Roman" w:hAnsi="Times New Roman" w:cs="Times New Roman"/>
          <w:color w:val="333333"/>
          <w:sz w:val="26"/>
          <w:szCs w:val="26"/>
        </w:rPr>
        <w:t xml:space="preserve">môi trường mà các cảng </w:t>
      </w:r>
      <w:r>
        <w:rPr>
          <w:rFonts w:ascii="Times New Roman" w:eastAsia="Times New Roman" w:hAnsi="Times New Roman" w:cs="Times New Roman"/>
          <w:color w:val="333333"/>
          <w:sz w:val="26"/>
          <w:szCs w:val="26"/>
        </w:rPr>
        <w:t xml:space="preserve">ở </w:t>
      </w:r>
      <w:r w:rsidRPr="00586CFB">
        <w:rPr>
          <w:rFonts w:ascii="Times New Roman" w:eastAsia="Times New Roman" w:hAnsi="Times New Roman" w:cs="Times New Roman"/>
          <w:color w:val="333333"/>
          <w:sz w:val="26"/>
          <w:szCs w:val="26"/>
        </w:rPr>
        <w:t xml:space="preserve">châu Âu phải đối mặt. Bảng xếp hạng này cung cấp cho cả các nhà hoạch định chính sách ESPO và châu Âu những hiểu biết quan trọng cần thiết để đưa ra quyết định sáng suốt. Trong năm thứ ba liên tiếp, biến đổi khí hậu duy trì vị thế là mối quan tâm môi trường quan trọng nhất đối với các cảng </w:t>
      </w:r>
      <w:r>
        <w:rPr>
          <w:rFonts w:ascii="Times New Roman" w:eastAsia="Times New Roman" w:hAnsi="Times New Roman" w:cs="Times New Roman"/>
          <w:color w:val="333333"/>
          <w:sz w:val="26"/>
          <w:szCs w:val="26"/>
        </w:rPr>
        <w:t xml:space="preserve">ở </w:t>
      </w:r>
      <w:r w:rsidRPr="00586CFB">
        <w:rPr>
          <w:rFonts w:ascii="Times New Roman" w:eastAsia="Times New Roman" w:hAnsi="Times New Roman" w:cs="Times New Roman"/>
          <w:color w:val="333333"/>
          <w:sz w:val="26"/>
          <w:szCs w:val="26"/>
        </w:rPr>
        <w:t>châu 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01"/>
        <w:gridCol w:w="844"/>
        <w:gridCol w:w="836"/>
        <w:gridCol w:w="836"/>
        <w:gridCol w:w="855"/>
        <w:gridCol w:w="867"/>
        <w:gridCol w:w="844"/>
        <w:gridCol w:w="861"/>
        <w:gridCol w:w="1506"/>
      </w:tblGrid>
      <w:tr w:rsidR="00586CFB" w:rsidRPr="00622CEE" w:rsidTr="00586CFB">
        <w:trPr>
          <w:tblHeader/>
        </w:trPr>
        <w:tc>
          <w:tcPr>
            <w:tcW w:w="0" w:type="auto"/>
            <w:tcMar>
              <w:top w:w="120" w:type="dxa"/>
              <w:left w:w="300" w:type="dxa"/>
              <w:bottom w:w="120" w:type="dxa"/>
              <w:right w:w="300" w:type="dxa"/>
            </w:tcMar>
            <w:vAlign w:val="center"/>
            <w:hideMark/>
          </w:tcPr>
          <w:p w:rsidR="00622CEE" w:rsidRPr="00622CEE" w:rsidRDefault="00586CFB" w:rsidP="00622CEE">
            <w:pPr>
              <w:spacing w:after="0" w:line="240" w:lineRule="auto"/>
              <w:rPr>
                <w:rFonts w:ascii="inherit" w:eastAsia="Times New Roman" w:hAnsi="inherit" w:cs="Times New Roman"/>
                <w:b/>
                <w:bCs/>
                <w:sz w:val="20"/>
                <w:szCs w:val="20"/>
              </w:rPr>
            </w:pPr>
            <w:r>
              <w:rPr>
                <w:rFonts w:ascii="inherit" w:eastAsia="Times New Roman" w:hAnsi="inherit" w:cs="Times New Roman"/>
                <w:b/>
                <w:bCs/>
                <w:sz w:val="20"/>
                <w:szCs w:val="20"/>
              </w:rPr>
              <w:t>Chỉ số</w:t>
            </w:r>
          </w:p>
        </w:tc>
        <w:tc>
          <w:tcPr>
            <w:tcW w:w="0" w:type="auto"/>
            <w:tcMar>
              <w:top w:w="120" w:type="dxa"/>
              <w:left w:w="300" w:type="dxa"/>
              <w:bottom w:w="120" w:type="dxa"/>
              <w:right w:w="300" w:type="dxa"/>
            </w:tcMar>
            <w:vAlign w:val="center"/>
            <w:hideMark/>
          </w:tcPr>
          <w:p w:rsidR="00622CEE" w:rsidRPr="00622CEE" w:rsidRDefault="00622CEE" w:rsidP="00586CFB">
            <w:pPr>
              <w:spacing w:after="0" w:line="240" w:lineRule="auto"/>
              <w:ind w:left="-174" w:right="-228"/>
              <w:rPr>
                <w:rFonts w:ascii="inherit" w:eastAsia="Times New Roman" w:hAnsi="inherit" w:cs="Times New Roman"/>
                <w:b/>
                <w:bCs/>
                <w:sz w:val="20"/>
                <w:szCs w:val="20"/>
              </w:rPr>
            </w:pPr>
            <w:r w:rsidRPr="00622CEE">
              <w:rPr>
                <w:rFonts w:ascii="inherit" w:eastAsia="Times New Roman" w:hAnsi="inherit" w:cs="Times New Roman"/>
                <w:b/>
                <w:bCs/>
                <w:sz w:val="20"/>
                <w:szCs w:val="20"/>
              </w:rPr>
              <w:t>2013 (%)</w:t>
            </w:r>
          </w:p>
        </w:tc>
        <w:tc>
          <w:tcPr>
            <w:tcW w:w="0" w:type="auto"/>
            <w:tcMar>
              <w:top w:w="120" w:type="dxa"/>
              <w:left w:w="300" w:type="dxa"/>
              <w:bottom w:w="120" w:type="dxa"/>
              <w:right w:w="300" w:type="dxa"/>
            </w:tcMar>
            <w:vAlign w:val="center"/>
            <w:hideMark/>
          </w:tcPr>
          <w:p w:rsidR="00622CEE" w:rsidRPr="00622CEE" w:rsidRDefault="00622CEE" w:rsidP="00586CFB">
            <w:pPr>
              <w:spacing w:after="0" w:line="240" w:lineRule="auto"/>
              <w:ind w:left="-192" w:right="-210"/>
              <w:rPr>
                <w:rFonts w:ascii="inherit" w:eastAsia="Times New Roman" w:hAnsi="inherit" w:cs="Times New Roman"/>
                <w:b/>
                <w:bCs/>
                <w:sz w:val="20"/>
                <w:szCs w:val="20"/>
              </w:rPr>
            </w:pPr>
            <w:r w:rsidRPr="00622CEE">
              <w:rPr>
                <w:rFonts w:ascii="inherit" w:eastAsia="Times New Roman" w:hAnsi="inherit" w:cs="Times New Roman"/>
                <w:b/>
                <w:bCs/>
                <w:sz w:val="20"/>
                <w:szCs w:val="20"/>
              </w:rPr>
              <w:t>2019 (%)</w:t>
            </w:r>
          </w:p>
        </w:tc>
        <w:tc>
          <w:tcPr>
            <w:tcW w:w="0" w:type="auto"/>
            <w:tcMar>
              <w:top w:w="120" w:type="dxa"/>
              <w:left w:w="300" w:type="dxa"/>
              <w:bottom w:w="120" w:type="dxa"/>
              <w:right w:w="300" w:type="dxa"/>
            </w:tcMar>
            <w:vAlign w:val="center"/>
            <w:hideMark/>
          </w:tcPr>
          <w:p w:rsidR="00622CEE" w:rsidRPr="00622CEE" w:rsidRDefault="00622CEE" w:rsidP="00586CFB">
            <w:pPr>
              <w:spacing w:after="0" w:line="240" w:lineRule="auto"/>
              <w:ind w:left="-210" w:right="-168"/>
              <w:rPr>
                <w:rFonts w:ascii="inherit" w:eastAsia="Times New Roman" w:hAnsi="inherit" w:cs="Times New Roman"/>
                <w:b/>
                <w:bCs/>
                <w:sz w:val="20"/>
                <w:szCs w:val="20"/>
              </w:rPr>
            </w:pPr>
            <w:r w:rsidRPr="00622CEE">
              <w:rPr>
                <w:rFonts w:ascii="inherit" w:eastAsia="Times New Roman" w:hAnsi="inherit" w:cs="Times New Roman"/>
                <w:b/>
                <w:bCs/>
                <w:sz w:val="20"/>
                <w:szCs w:val="20"/>
              </w:rPr>
              <w:t>2020 (%)</w:t>
            </w:r>
          </w:p>
        </w:tc>
        <w:tc>
          <w:tcPr>
            <w:tcW w:w="0" w:type="auto"/>
            <w:tcMar>
              <w:top w:w="120" w:type="dxa"/>
              <w:left w:w="300" w:type="dxa"/>
              <w:bottom w:w="120" w:type="dxa"/>
              <w:right w:w="300" w:type="dxa"/>
            </w:tcMar>
            <w:vAlign w:val="center"/>
            <w:hideMark/>
          </w:tcPr>
          <w:p w:rsidR="00622CEE" w:rsidRPr="00622CEE" w:rsidRDefault="00622CEE" w:rsidP="00586CFB">
            <w:pPr>
              <w:spacing w:after="0" w:line="240" w:lineRule="auto"/>
              <w:ind w:left="-162" w:right="-180"/>
              <w:rPr>
                <w:rFonts w:ascii="inherit" w:eastAsia="Times New Roman" w:hAnsi="inherit" w:cs="Times New Roman"/>
                <w:b/>
                <w:bCs/>
                <w:sz w:val="20"/>
                <w:szCs w:val="20"/>
              </w:rPr>
            </w:pPr>
            <w:r w:rsidRPr="00622CEE">
              <w:rPr>
                <w:rFonts w:ascii="inherit" w:eastAsia="Times New Roman" w:hAnsi="inherit" w:cs="Times New Roman"/>
                <w:b/>
                <w:bCs/>
                <w:sz w:val="20"/>
                <w:szCs w:val="20"/>
              </w:rPr>
              <w:t>2021 (%)</w:t>
            </w:r>
          </w:p>
        </w:tc>
        <w:tc>
          <w:tcPr>
            <w:tcW w:w="0" w:type="auto"/>
            <w:tcMar>
              <w:top w:w="120" w:type="dxa"/>
              <w:left w:w="300" w:type="dxa"/>
              <w:bottom w:w="120" w:type="dxa"/>
              <w:right w:w="300" w:type="dxa"/>
            </w:tcMar>
            <w:vAlign w:val="center"/>
            <w:hideMark/>
          </w:tcPr>
          <w:p w:rsidR="00622CEE" w:rsidRPr="00622CEE" w:rsidRDefault="00622CEE" w:rsidP="00586CFB">
            <w:pPr>
              <w:spacing w:after="0" w:line="240" w:lineRule="auto"/>
              <w:ind w:left="-150" w:right="-156"/>
              <w:rPr>
                <w:rFonts w:ascii="inherit" w:eastAsia="Times New Roman" w:hAnsi="inherit" w:cs="Times New Roman"/>
                <w:b/>
                <w:bCs/>
                <w:sz w:val="20"/>
                <w:szCs w:val="20"/>
              </w:rPr>
            </w:pPr>
            <w:r w:rsidRPr="00622CEE">
              <w:rPr>
                <w:rFonts w:ascii="inherit" w:eastAsia="Times New Roman" w:hAnsi="inherit" w:cs="Times New Roman"/>
                <w:b/>
                <w:bCs/>
                <w:sz w:val="20"/>
                <w:szCs w:val="20"/>
              </w:rPr>
              <w:t>2022 (%)</w:t>
            </w:r>
          </w:p>
        </w:tc>
        <w:tc>
          <w:tcPr>
            <w:tcW w:w="0" w:type="auto"/>
            <w:tcMar>
              <w:top w:w="120" w:type="dxa"/>
              <w:left w:w="300" w:type="dxa"/>
              <w:bottom w:w="120" w:type="dxa"/>
              <w:right w:w="300" w:type="dxa"/>
            </w:tcMar>
            <w:vAlign w:val="center"/>
            <w:hideMark/>
          </w:tcPr>
          <w:p w:rsidR="00622CEE" w:rsidRPr="00622CEE" w:rsidRDefault="00622CEE" w:rsidP="00586CFB">
            <w:pPr>
              <w:spacing w:after="0" w:line="240" w:lineRule="auto"/>
              <w:ind w:left="-174" w:right="-84"/>
              <w:rPr>
                <w:rFonts w:ascii="inherit" w:eastAsia="Times New Roman" w:hAnsi="inherit" w:cs="Times New Roman"/>
                <w:b/>
                <w:bCs/>
                <w:sz w:val="20"/>
                <w:szCs w:val="20"/>
              </w:rPr>
            </w:pPr>
            <w:r w:rsidRPr="00622CEE">
              <w:rPr>
                <w:rFonts w:ascii="inherit" w:eastAsia="Times New Roman" w:hAnsi="inherit" w:cs="Times New Roman"/>
                <w:b/>
                <w:bCs/>
                <w:sz w:val="20"/>
                <w:szCs w:val="20"/>
              </w:rPr>
              <w:t>2023 (%)</w:t>
            </w:r>
          </w:p>
        </w:tc>
        <w:tc>
          <w:tcPr>
            <w:tcW w:w="0" w:type="auto"/>
            <w:tcMar>
              <w:top w:w="120" w:type="dxa"/>
              <w:left w:w="300" w:type="dxa"/>
              <w:bottom w:w="120" w:type="dxa"/>
              <w:right w:w="300" w:type="dxa"/>
            </w:tcMar>
            <w:vAlign w:val="center"/>
            <w:hideMark/>
          </w:tcPr>
          <w:p w:rsidR="00622CEE" w:rsidRPr="00622CEE" w:rsidRDefault="00622CEE" w:rsidP="00586CFB">
            <w:pPr>
              <w:spacing w:after="0" w:line="240" w:lineRule="auto"/>
              <w:ind w:left="-156" w:right="-168"/>
              <w:rPr>
                <w:rFonts w:ascii="inherit" w:eastAsia="Times New Roman" w:hAnsi="inherit" w:cs="Times New Roman"/>
                <w:b/>
                <w:bCs/>
                <w:sz w:val="20"/>
                <w:szCs w:val="20"/>
              </w:rPr>
            </w:pPr>
            <w:r w:rsidRPr="00622CEE">
              <w:rPr>
                <w:rFonts w:ascii="inherit" w:eastAsia="Times New Roman" w:hAnsi="inherit" w:cs="Times New Roman"/>
                <w:b/>
                <w:bCs/>
                <w:sz w:val="20"/>
                <w:szCs w:val="20"/>
              </w:rPr>
              <w:t>2024 (%)</w:t>
            </w:r>
          </w:p>
        </w:tc>
        <w:tc>
          <w:tcPr>
            <w:tcW w:w="0" w:type="auto"/>
            <w:tcMar>
              <w:top w:w="120" w:type="dxa"/>
              <w:left w:w="300" w:type="dxa"/>
              <w:bottom w:w="120" w:type="dxa"/>
              <w:right w:w="300" w:type="dxa"/>
            </w:tcMar>
            <w:vAlign w:val="center"/>
            <w:hideMark/>
          </w:tcPr>
          <w:p w:rsidR="00622CEE" w:rsidRPr="00622CEE" w:rsidRDefault="00622CEE" w:rsidP="00586CFB">
            <w:pPr>
              <w:spacing w:after="0" w:line="240" w:lineRule="auto"/>
              <w:ind w:right="-120"/>
              <w:rPr>
                <w:rFonts w:ascii="inherit" w:eastAsia="Times New Roman" w:hAnsi="inherit" w:cs="Times New Roman"/>
                <w:b/>
                <w:bCs/>
                <w:sz w:val="20"/>
                <w:szCs w:val="20"/>
              </w:rPr>
            </w:pPr>
            <w:r w:rsidRPr="00622CEE">
              <w:rPr>
                <w:rFonts w:ascii="inherit" w:eastAsia="Times New Roman" w:hAnsi="inherit" w:cs="Times New Roman"/>
                <w:b/>
                <w:bCs/>
                <w:sz w:val="20"/>
                <w:szCs w:val="20"/>
              </w:rPr>
              <w:t>% CHANGE 13–24</w:t>
            </w:r>
          </w:p>
        </w:tc>
      </w:tr>
      <w:tr w:rsidR="00586CFB" w:rsidRPr="00622CEE" w:rsidTr="00586CFB">
        <w:tc>
          <w:tcPr>
            <w:tcW w:w="0" w:type="auto"/>
            <w:tcMar>
              <w:top w:w="120" w:type="dxa"/>
              <w:left w:w="300" w:type="dxa"/>
              <w:bottom w:w="120" w:type="dxa"/>
              <w:right w:w="300" w:type="dxa"/>
            </w:tcMar>
            <w:vAlign w:val="bottom"/>
            <w:hideMark/>
          </w:tcPr>
          <w:p w:rsidR="00622CEE" w:rsidRPr="00622CEE" w:rsidRDefault="00622CEE" w:rsidP="00586CFB">
            <w:pPr>
              <w:spacing w:after="0" w:line="240" w:lineRule="auto"/>
              <w:ind w:left="-210" w:right="-198"/>
              <w:rPr>
                <w:rFonts w:ascii="inherit" w:eastAsia="Times New Roman" w:hAnsi="inherit" w:cs="Times New Roman"/>
                <w:sz w:val="20"/>
                <w:szCs w:val="20"/>
              </w:rPr>
            </w:pPr>
            <w:r w:rsidRPr="00622CEE">
              <w:rPr>
                <w:rFonts w:ascii="inherit" w:eastAsia="Times New Roman" w:hAnsi="inherit" w:cs="Times New Roman"/>
                <w:sz w:val="20"/>
                <w:szCs w:val="20"/>
              </w:rPr>
              <w:t>1. Existence of a certified Environmental Management System (EMS) – ISO, EMAS or PERS</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54</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71</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65</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75</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75</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69</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75</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+21</w:t>
            </w:r>
          </w:p>
        </w:tc>
      </w:tr>
      <w:tr w:rsidR="00586CFB" w:rsidRPr="00622CEE" w:rsidTr="00586CFB">
        <w:tc>
          <w:tcPr>
            <w:tcW w:w="0" w:type="auto"/>
            <w:tcMar>
              <w:top w:w="120" w:type="dxa"/>
              <w:left w:w="300" w:type="dxa"/>
              <w:bottom w:w="120" w:type="dxa"/>
              <w:right w:w="300" w:type="dxa"/>
            </w:tcMar>
            <w:vAlign w:val="bottom"/>
            <w:hideMark/>
          </w:tcPr>
          <w:p w:rsidR="00622CEE" w:rsidRPr="00622CEE" w:rsidRDefault="00622CEE" w:rsidP="00586CFB">
            <w:pPr>
              <w:spacing w:after="0" w:line="240" w:lineRule="auto"/>
              <w:ind w:left="-210" w:right="-132"/>
              <w:rPr>
                <w:rFonts w:ascii="inherit" w:eastAsia="Times New Roman" w:hAnsi="inherit" w:cs="Times New Roman"/>
                <w:sz w:val="20"/>
                <w:szCs w:val="20"/>
              </w:rPr>
            </w:pPr>
            <w:r w:rsidRPr="00622CEE">
              <w:rPr>
                <w:rFonts w:ascii="inherit" w:eastAsia="Times New Roman" w:hAnsi="inherit" w:cs="Times New Roman"/>
                <w:sz w:val="20"/>
                <w:szCs w:val="20"/>
              </w:rPr>
              <w:t>2. Existence of an Environmental Policy</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90</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95</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96</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93</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90</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92</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98</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w:t>
            </w:r>
          </w:p>
        </w:tc>
      </w:tr>
      <w:tr w:rsidR="00586CFB" w:rsidRPr="00622CEE" w:rsidTr="00586CFB">
        <w:tc>
          <w:tcPr>
            <w:tcW w:w="0" w:type="auto"/>
            <w:tcMar>
              <w:top w:w="120" w:type="dxa"/>
              <w:left w:w="300" w:type="dxa"/>
              <w:bottom w:w="120" w:type="dxa"/>
              <w:right w:w="300" w:type="dxa"/>
            </w:tcMar>
            <w:vAlign w:val="bottom"/>
            <w:hideMark/>
          </w:tcPr>
          <w:p w:rsidR="00622CEE" w:rsidRPr="00622CEE" w:rsidRDefault="00622CEE" w:rsidP="00586CFB">
            <w:pPr>
              <w:spacing w:after="0" w:line="240" w:lineRule="auto"/>
              <w:ind w:left="-210" w:right="-222"/>
              <w:rPr>
                <w:rFonts w:ascii="inherit" w:eastAsia="Times New Roman" w:hAnsi="inherit" w:cs="Times New Roman"/>
                <w:sz w:val="20"/>
                <w:szCs w:val="20"/>
              </w:rPr>
            </w:pPr>
            <w:r w:rsidRPr="00622CEE">
              <w:rPr>
                <w:rFonts w:ascii="inherit" w:eastAsia="Times New Roman" w:hAnsi="inherit" w:cs="Times New Roman"/>
                <w:sz w:val="20"/>
                <w:szCs w:val="20"/>
              </w:rPr>
              <w:t xml:space="preserve">3. </w:t>
            </w:r>
            <w:r w:rsidR="00586CFB">
              <w:rPr>
                <w:rFonts w:ascii="inherit" w:eastAsia="Times New Roman" w:hAnsi="inherit" w:cs="Times New Roman"/>
                <w:sz w:val="20"/>
                <w:szCs w:val="20"/>
              </w:rPr>
              <w:t>E</w:t>
            </w:r>
            <w:r w:rsidRPr="00622CEE">
              <w:rPr>
                <w:rFonts w:ascii="inherit" w:eastAsia="Times New Roman" w:hAnsi="inherit" w:cs="Times New Roman"/>
                <w:sz w:val="20"/>
                <w:szCs w:val="20"/>
              </w:rPr>
              <w:t xml:space="preserve">nvironmental Policy makes </w:t>
            </w:r>
            <w:r w:rsidR="00586CFB">
              <w:rPr>
                <w:rFonts w:ascii="inherit" w:eastAsia="Times New Roman" w:hAnsi="inherit" w:cs="Times New Roman"/>
                <w:sz w:val="20"/>
                <w:szCs w:val="20"/>
              </w:rPr>
              <w:t>r</w:t>
            </w:r>
            <w:r w:rsidRPr="00622CEE">
              <w:rPr>
                <w:rFonts w:ascii="inherit" w:eastAsia="Times New Roman" w:hAnsi="inherit" w:cs="Times New Roman"/>
                <w:sz w:val="20"/>
                <w:szCs w:val="20"/>
              </w:rPr>
              <w:t xml:space="preserve">eference to international and/or national port </w:t>
            </w:r>
            <w:r w:rsidRPr="00622CEE">
              <w:rPr>
                <w:rFonts w:ascii="inherit" w:eastAsia="Times New Roman" w:hAnsi="inherit" w:cs="Times New Roman"/>
                <w:sz w:val="20"/>
                <w:szCs w:val="20"/>
              </w:rPr>
              <w:lastRenderedPageBreak/>
              <w:t>environmental policy guidelines</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lastRenderedPageBreak/>
              <w:t>38</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38</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43</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39</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46</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53</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53</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+15</w:t>
            </w:r>
          </w:p>
        </w:tc>
      </w:tr>
      <w:tr w:rsidR="00586CFB" w:rsidRPr="00622CEE" w:rsidTr="00586CFB">
        <w:tc>
          <w:tcPr>
            <w:tcW w:w="0" w:type="auto"/>
            <w:tcMar>
              <w:top w:w="120" w:type="dxa"/>
              <w:left w:w="300" w:type="dxa"/>
              <w:bottom w:w="120" w:type="dxa"/>
              <w:right w:w="300" w:type="dxa"/>
            </w:tcMar>
            <w:vAlign w:val="bottom"/>
            <w:hideMark/>
          </w:tcPr>
          <w:p w:rsidR="00622CEE" w:rsidRPr="00622CEE" w:rsidRDefault="00622CEE" w:rsidP="00586CFB">
            <w:pPr>
              <w:spacing w:after="0" w:line="240" w:lineRule="auto"/>
              <w:ind w:left="-210" w:right="-222"/>
              <w:rPr>
                <w:rFonts w:ascii="inherit" w:eastAsia="Times New Roman" w:hAnsi="inherit" w:cs="Times New Roman"/>
                <w:sz w:val="20"/>
                <w:szCs w:val="20"/>
              </w:rPr>
            </w:pPr>
            <w:r w:rsidRPr="00622CEE">
              <w:rPr>
                <w:rFonts w:ascii="inherit" w:eastAsia="Times New Roman" w:hAnsi="inherit" w:cs="Times New Roman"/>
                <w:sz w:val="20"/>
                <w:szCs w:val="20"/>
              </w:rPr>
              <w:lastRenderedPageBreak/>
              <w:t>4. Existence of an inventory of relevant environmental legislation</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90</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96</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91</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88</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90</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93</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98</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w:t>
            </w:r>
          </w:p>
        </w:tc>
      </w:tr>
      <w:tr w:rsidR="00586CFB" w:rsidRPr="00622CEE" w:rsidTr="00586CFB">
        <w:tc>
          <w:tcPr>
            <w:tcW w:w="0" w:type="auto"/>
            <w:tcMar>
              <w:top w:w="120" w:type="dxa"/>
              <w:left w:w="300" w:type="dxa"/>
              <w:bottom w:w="120" w:type="dxa"/>
              <w:right w:w="300" w:type="dxa"/>
            </w:tcMar>
            <w:vAlign w:val="bottom"/>
            <w:hideMark/>
          </w:tcPr>
          <w:p w:rsidR="00622CEE" w:rsidRPr="00622CEE" w:rsidRDefault="00622CEE" w:rsidP="00586CFB">
            <w:pPr>
              <w:spacing w:after="0" w:line="240" w:lineRule="auto"/>
              <w:ind w:left="-210" w:right="-222"/>
              <w:rPr>
                <w:rFonts w:ascii="inherit" w:eastAsia="Times New Roman" w:hAnsi="inherit" w:cs="Times New Roman"/>
                <w:sz w:val="20"/>
                <w:szCs w:val="20"/>
              </w:rPr>
            </w:pPr>
            <w:r w:rsidRPr="00622CEE">
              <w:rPr>
                <w:rFonts w:ascii="inherit" w:eastAsia="Times New Roman" w:hAnsi="inherit" w:cs="Times New Roman"/>
                <w:sz w:val="20"/>
                <w:szCs w:val="20"/>
              </w:rPr>
              <w:t>5. Existence of an inventory of Significant Environmental Aspects (SEA)</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84</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89</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92</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92</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90</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92</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96</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+12</w:t>
            </w:r>
          </w:p>
        </w:tc>
      </w:tr>
      <w:tr w:rsidR="00586CFB" w:rsidRPr="00622CEE" w:rsidTr="00586CFB">
        <w:tc>
          <w:tcPr>
            <w:tcW w:w="0" w:type="auto"/>
            <w:tcMar>
              <w:top w:w="120" w:type="dxa"/>
              <w:left w:w="300" w:type="dxa"/>
              <w:bottom w:w="120" w:type="dxa"/>
              <w:right w:w="300" w:type="dxa"/>
            </w:tcMar>
            <w:vAlign w:val="bottom"/>
            <w:hideMark/>
          </w:tcPr>
          <w:p w:rsidR="00622CEE" w:rsidRPr="00622CEE" w:rsidRDefault="00622CEE" w:rsidP="00586CFB">
            <w:pPr>
              <w:spacing w:after="0" w:line="240" w:lineRule="auto"/>
              <w:ind w:left="-120" w:right="-132"/>
              <w:rPr>
                <w:rFonts w:ascii="inherit" w:eastAsia="Times New Roman" w:hAnsi="inherit" w:cs="Times New Roman"/>
                <w:sz w:val="20"/>
                <w:szCs w:val="20"/>
              </w:rPr>
            </w:pPr>
            <w:r w:rsidRPr="00622CEE">
              <w:rPr>
                <w:rFonts w:ascii="inherit" w:eastAsia="Times New Roman" w:hAnsi="inherit" w:cs="Times New Roman"/>
                <w:sz w:val="20"/>
                <w:szCs w:val="20"/>
              </w:rPr>
              <w:t>6. Definition of objectives for environmental improvement</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84</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90</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88</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87</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88</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90</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98</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+14</w:t>
            </w:r>
          </w:p>
        </w:tc>
      </w:tr>
      <w:tr w:rsidR="00586CFB" w:rsidRPr="00622CEE" w:rsidTr="00586CFB">
        <w:tc>
          <w:tcPr>
            <w:tcW w:w="0" w:type="auto"/>
            <w:tcMar>
              <w:top w:w="120" w:type="dxa"/>
              <w:left w:w="300" w:type="dxa"/>
              <w:bottom w:w="120" w:type="dxa"/>
              <w:right w:w="300" w:type="dxa"/>
            </w:tcMar>
            <w:vAlign w:val="bottom"/>
            <w:hideMark/>
          </w:tcPr>
          <w:p w:rsidR="00622CEE" w:rsidRPr="00622CEE" w:rsidRDefault="00622CEE" w:rsidP="00586CFB">
            <w:pPr>
              <w:spacing w:after="0" w:line="240" w:lineRule="auto"/>
              <w:ind w:left="-120" w:right="-132"/>
              <w:rPr>
                <w:rFonts w:ascii="inherit" w:eastAsia="Times New Roman" w:hAnsi="inherit" w:cs="Times New Roman"/>
                <w:sz w:val="20"/>
                <w:szCs w:val="20"/>
              </w:rPr>
            </w:pPr>
            <w:r w:rsidRPr="00622CEE">
              <w:rPr>
                <w:rFonts w:ascii="inherit" w:eastAsia="Times New Roman" w:hAnsi="inherit" w:cs="Times New Roman"/>
                <w:sz w:val="20"/>
                <w:szCs w:val="20"/>
              </w:rPr>
              <w:t>7. Existence of an environmental training program for port employees</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66</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53</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55</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56</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49</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49</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59</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-7</w:t>
            </w:r>
          </w:p>
        </w:tc>
      </w:tr>
      <w:tr w:rsidR="00586CFB" w:rsidRPr="00622CEE" w:rsidTr="00586CFB">
        <w:tc>
          <w:tcPr>
            <w:tcW w:w="0" w:type="auto"/>
            <w:tcMar>
              <w:top w:w="120" w:type="dxa"/>
              <w:left w:w="300" w:type="dxa"/>
              <w:bottom w:w="120" w:type="dxa"/>
              <w:right w:w="300" w:type="dxa"/>
            </w:tcMar>
            <w:vAlign w:val="bottom"/>
            <w:hideMark/>
          </w:tcPr>
          <w:p w:rsidR="00622CEE" w:rsidRPr="00622CEE" w:rsidRDefault="00622CEE" w:rsidP="00586CFB">
            <w:pPr>
              <w:spacing w:after="0" w:line="240" w:lineRule="auto"/>
              <w:ind w:left="-120" w:right="-132"/>
              <w:rPr>
                <w:rFonts w:ascii="inherit" w:eastAsia="Times New Roman" w:hAnsi="inherit" w:cs="Times New Roman"/>
                <w:sz w:val="20"/>
                <w:szCs w:val="20"/>
              </w:rPr>
            </w:pPr>
            <w:r w:rsidRPr="00622CEE">
              <w:rPr>
                <w:rFonts w:ascii="inherit" w:eastAsia="Times New Roman" w:hAnsi="inherit" w:cs="Times New Roman"/>
                <w:sz w:val="20"/>
                <w:szCs w:val="20"/>
              </w:rPr>
              <w:t>8. Existence of an environmental monitoring program</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79</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82</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81</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86</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90</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92</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95</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+16</w:t>
            </w:r>
          </w:p>
        </w:tc>
      </w:tr>
      <w:tr w:rsidR="00586CFB" w:rsidRPr="00622CEE" w:rsidTr="00586CFB">
        <w:tc>
          <w:tcPr>
            <w:tcW w:w="0" w:type="auto"/>
            <w:tcMar>
              <w:top w:w="120" w:type="dxa"/>
              <w:left w:w="300" w:type="dxa"/>
              <w:bottom w:w="120" w:type="dxa"/>
              <w:right w:w="300" w:type="dxa"/>
            </w:tcMar>
            <w:vAlign w:val="bottom"/>
            <w:hideMark/>
          </w:tcPr>
          <w:p w:rsidR="00622CEE" w:rsidRPr="00622CEE" w:rsidRDefault="00622CEE" w:rsidP="00586CFB">
            <w:pPr>
              <w:spacing w:after="0" w:line="240" w:lineRule="auto"/>
              <w:ind w:left="-210" w:right="-156"/>
              <w:rPr>
                <w:rFonts w:ascii="inherit" w:eastAsia="Times New Roman" w:hAnsi="inherit" w:cs="Times New Roman"/>
                <w:sz w:val="20"/>
                <w:szCs w:val="20"/>
              </w:rPr>
            </w:pPr>
            <w:r w:rsidRPr="00622CEE">
              <w:rPr>
                <w:rFonts w:ascii="inherit" w:eastAsia="Times New Roman" w:hAnsi="inherit" w:cs="Times New Roman"/>
                <w:sz w:val="20"/>
                <w:szCs w:val="20"/>
              </w:rPr>
              <w:t>9. Environmental responsibilities of key personnel are documented</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71</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85</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85</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82</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88</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89</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93</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+22</w:t>
            </w:r>
          </w:p>
        </w:tc>
      </w:tr>
      <w:tr w:rsidR="00586CFB" w:rsidRPr="00622CEE" w:rsidTr="00586CFB">
        <w:tc>
          <w:tcPr>
            <w:tcW w:w="0" w:type="auto"/>
            <w:tcMar>
              <w:top w:w="120" w:type="dxa"/>
              <w:left w:w="300" w:type="dxa"/>
              <w:bottom w:w="120" w:type="dxa"/>
              <w:right w:w="300" w:type="dxa"/>
            </w:tcMar>
            <w:vAlign w:val="bottom"/>
            <w:hideMark/>
          </w:tcPr>
          <w:p w:rsidR="00622CEE" w:rsidRPr="00622CEE" w:rsidRDefault="00622CEE" w:rsidP="00586CFB">
            <w:pPr>
              <w:spacing w:after="0" w:line="240" w:lineRule="auto"/>
              <w:ind w:left="-120" w:right="-192"/>
              <w:rPr>
                <w:rFonts w:ascii="inherit" w:eastAsia="Times New Roman" w:hAnsi="inherit" w:cs="Times New Roman"/>
                <w:sz w:val="20"/>
                <w:szCs w:val="20"/>
              </w:rPr>
            </w:pPr>
            <w:r w:rsidRPr="00622CEE">
              <w:rPr>
                <w:rFonts w:ascii="inherit" w:eastAsia="Times New Roman" w:hAnsi="inherit" w:cs="Times New Roman"/>
                <w:sz w:val="20"/>
                <w:szCs w:val="20"/>
              </w:rPr>
              <w:t>10. Publication of a publicly available environmental report</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62</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65</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69</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68</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74</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76</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82</w:t>
            </w:r>
          </w:p>
        </w:tc>
        <w:tc>
          <w:tcPr>
            <w:tcW w:w="0" w:type="auto"/>
            <w:tcMar>
              <w:top w:w="120" w:type="dxa"/>
              <w:left w:w="300" w:type="dxa"/>
              <w:bottom w:w="120" w:type="dxa"/>
              <w:right w:w="300" w:type="dxa"/>
            </w:tcMar>
            <w:vAlign w:val="bottom"/>
            <w:hideMark/>
          </w:tcPr>
          <w:p w:rsidR="00622CEE" w:rsidRPr="00622CEE" w:rsidRDefault="00622CEE" w:rsidP="00622CEE">
            <w:pPr>
              <w:spacing w:after="0" w:line="240" w:lineRule="auto"/>
              <w:rPr>
                <w:rFonts w:ascii="inherit" w:eastAsia="Times New Roman" w:hAnsi="inherit" w:cs="Times New Roman"/>
              </w:rPr>
            </w:pPr>
            <w:r w:rsidRPr="00622CEE">
              <w:rPr>
                <w:rFonts w:ascii="inherit" w:eastAsia="Times New Roman" w:hAnsi="inherit" w:cs="Times New Roman"/>
              </w:rPr>
              <w:t>+20</w:t>
            </w:r>
          </w:p>
        </w:tc>
      </w:tr>
    </w:tbl>
    <w:p w:rsidR="00586CFB" w:rsidRPr="00586CFB" w:rsidRDefault="00EA28E7" w:rsidP="00EA28E7">
      <w:pPr>
        <w:shd w:val="clear" w:color="auto" w:fill="FFFFFF"/>
        <w:spacing w:before="120" w:after="0" w:line="360" w:lineRule="atLeast"/>
        <w:jc w:val="center"/>
        <w:textAlignment w:val="baseline"/>
        <w:rPr>
          <w:rFonts w:ascii="inherit" w:eastAsia="Times New Roman" w:hAnsi="inherit" w:cs="Times New Roman"/>
          <w:color w:val="111111"/>
          <w:sz w:val="36"/>
          <w:szCs w:val="36"/>
        </w:rPr>
      </w:pPr>
      <w:r>
        <w:rPr>
          <w:rFonts w:ascii="Arial" w:eastAsia="Times New Roman" w:hAnsi="Arial" w:cs="Arial"/>
          <w:sz w:val="28"/>
          <w:szCs w:val="28"/>
        </w:rPr>
        <w:t>“</w:t>
      </w:r>
      <w:r w:rsidR="00586CFB" w:rsidRPr="00586CFB">
        <w:rPr>
          <w:rFonts w:ascii="Arial" w:eastAsia="Times New Roman" w:hAnsi="Arial" w:cs="Arial"/>
          <w:sz w:val="28"/>
          <w:szCs w:val="28"/>
        </w:rPr>
        <w:t xml:space="preserve">Top 10 </w:t>
      </w:r>
      <w:r>
        <w:rPr>
          <w:rFonts w:ascii="Arial" w:eastAsia="Times New Roman" w:hAnsi="Arial" w:cs="Arial"/>
          <w:sz w:val="28"/>
          <w:szCs w:val="28"/>
        </w:rPr>
        <w:t xml:space="preserve">mối quan tâm </w:t>
      </w:r>
      <w:r w:rsidR="00586CFB" w:rsidRPr="00586CFB">
        <w:rPr>
          <w:rFonts w:ascii="Arial" w:eastAsia="Times New Roman" w:hAnsi="Arial" w:cs="Arial"/>
          <w:sz w:val="28"/>
          <w:szCs w:val="28"/>
        </w:rPr>
        <w:t xml:space="preserve">là một </w:t>
      </w:r>
      <w:r w:rsidR="00586CFB">
        <w:rPr>
          <w:rFonts w:ascii="Arial" w:eastAsia="Times New Roman" w:hAnsi="Arial" w:cs="Arial"/>
          <w:sz w:val="28"/>
          <w:szCs w:val="28"/>
        </w:rPr>
        <w:t>chỉ số</w:t>
      </w:r>
      <w:r w:rsidR="00586CFB" w:rsidRPr="00586CFB">
        <w:rPr>
          <w:rFonts w:ascii="Arial" w:eastAsia="Times New Roman" w:hAnsi="Arial" w:cs="Arial"/>
          <w:sz w:val="28"/>
          <w:szCs w:val="28"/>
        </w:rPr>
        <w:t xml:space="preserve"> tốt của những gì đang bị đe dọa. Khí hậu vẫn là ưu tiên quan trọng nhất, nhưng các cảng dường như không đánh mất các mối quan tâm khác</w:t>
      </w:r>
      <w:r w:rsidR="00586CFB">
        <w:rPr>
          <w:rFonts w:ascii="Arial" w:eastAsia="Times New Roman" w:hAnsi="Arial" w:cs="Arial"/>
          <w:sz w:val="28"/>
          <w:szCs w:val="28"/>
        </w:rPr>
        <w:t xml:space="preserve"> về </w:t>
      </w:r>
      <w:r w:rsidR="00586CFB" w:rsidRPr="00586CFB">
        <w:rPr>
          <w:rFonts w:ascii="Arial" w:eastAsia="Times New Roman" w:hAnsi="Arial" w:cs="Arial"/>
          <w:sz w:val="28"/>
          <w:szCs w:val="28"/>
        </w:rPr>
        <w:t xml:space="preserve">môi trường. Cùng với các thực tiễn </w:t>
      </w:r>
      <w:r>
        <w:rPr>
          <w:rFonts w:ascii="Arial" w:eastAsia="Times New Roman" w:hAnsi="Arial" w:cs="Arial"/>
          <w:sz w:val="28"/>
          <w:szCs w:val="28"/>
        </w:rPr>
        <w:t xml:space="preserve">tốt về </w:t>
      </w:r>
      <w:r w:rsidR="00586CFB" w:rsidRPr="00586CFB">
        <w:rPr>
          <w:rFonts w:ascii="Arial" w:eastAsia="Times New Roman" w:hAnsi="Arial" w:cs="Arial"/>
          <w:sz w:val="28"/>
          <w:szCs w:val="28"/>
        </w:rPr>
        <w:t xml:space="preserve">xanh </w:t>
      </w:r>
      <w:r>
        <w:rPr>
          <w:rFonts w:ascii="Arial" w:eastAsia="Times New Roman" w:hAnsi="Arial" w:cs="Arial"/>
          <w:sz w:val="28"/>
          <w:szCs w:val="28"/>
        </w:rPr>
        <w:t xml:space="preserve">hóa </w:t>
      </w:r>
      <w:r w:rsidR="00586CFB" w:rsidRPr="00586CFB">
        <w:rPr>
          <w:rFonts w:ascii="Arial" w:eastAsia="Times New Roman" w:hAnsi="Arial" w:cs="Arial"/>
          <w:sz w:val="28"/>
          <w:szCs w:val="28"/>
        </w:rPr>
        <w:t xml:space="preserve">của ESPO trên trang web của chúng tôi, báo cáo này cũng là một công cụ hữu ích cho tất cả những người ra quyết định </w:t>
      </w:r>
      <w:r>
        <w:rPr>
          <w:rFonts w:ascii="Arial" w:eastAsia="Times New Roman" w:hAnsi="Arial" w:cs="Arial"/>
          <w:sz w:val="28"/>
          <w:szCs w:val="28"/>
        </w:rPr>
        <w:t xml:space="preserve">của </w:t>
      </w:r>
      <w:r w:rsidR="00586CFB" w:rsidRPr="00586CFB">
        <w:rPr>
          <w:rFonts w:ascii="Arial" w:eastAsia="Times New Roman" w:hAnsi="Arial" w:cs="Arial"/>
          <w:sz w:val="28"/>
          <w:szCs w:val="28"/>
        </w:rPr>
        <w:t>EU</w:t>
      </w:r>
      <w:r>
        <w:rPr>
          <w:rFonts w:ascii="inherit" w:eastAsia="Times New Roman" w:hAnsi="inherit" w:cs="Times New Roman"/>
          <w:color w:val="111111"/>
          <w:sz w:val="36"/>
          <w:szCs w:val="36"/>
        </w:rPr>
        <w:t>”</w:t>
      </w:r>
    </w:p>
    <w:p w:rsidR="00586CFB" w:rsidRPr="00EA28E7" w:rsidRDefault="00586CFB" w:rsidP="00EA28E7">
      <w:pPr>
        <w:shd w:val="clear" w:color="auto" w:fill="FFFFFF"/>
        <w:spacing w:after="0" w:line="360" w:lineRule="atLeast"/>
        <w:jc w:val="both"/>
        <w:textAlignment w:val="baseline"/>
        <w:rPr>
          <w:rFonts w:ascii="Times New Roman" w:eastAsia="Times New Roman" w:hAnsi="Times New Roman" w:cs="Times New Roman"/>
          <w:color w:val="111111"/>
          <w:sz w:val="36"/>
          <w:szCs w:val="36"/>
        </w:rPr>
      </w:pPr>
      <w:r w:rsidRPr="00EA28E7">
        <w:rPr>
          <w:rFonts w:ascii="Times New Roman" w:eastAsia="Times New Roman" w:hAnsi="Times New Roman" w:cs="Times New Roman"/>
          <w:color w:val="111111"/>
          <w:sz w:val="36"/>
          <w:szCs w:val="36"/>
        </w:rPr>
        <w:t xml:space="preserve"> </w:t>
      </w:r>
      <w:r w:rsidRPr="00EA28E7">
        <w:rPr>
          <w:rFonts w:ascii="Times New Roman" w:eastAsia="Times New Roman" w:hAnsi="Times New Roman" w:cs="Times New Roman"/>
          <w:color w:val="111111"/>
          <w:sz w:val="28"/>
          <w:szCs w:val="28"/>
        </w:rPr>
        <w:t>Nhận xét của Isabelle Ryckbost, Tổng thư ký ESPO</w:t>
      </w:r>
      <w:r w:rsidRPr="00EA28E7">
        <w:rPr>
          <w:rFonts w:ascii="Times New Roman" w:eastAsia="Times New Roman" w:hAnsi="Times New Roman" w:cs="Times New Roman"/>
          <w:color w:val="111111"/>
          <w:sz w:val="36"/>
          <w:szCs w:val="36"/>
        </w:rPr>
        <w:t>.</w:t>
      </w:r>
    </w:p>
    <w:p w:rsidR="00622CEE" w:rsidRDefault="00EA28E7" w:rsidP="00EA28E7">
      <w:pPr>
        <w:shd w:val="clear" w:color="auto" w:fill="D9EDF7"/>
        <w:spacing w:after="120" w:line="240" w:lineRule="auto"/>
        <w:textAlignment w:val="baseline"/>
        <w:outlineLvl w:val="5"/>
        <w:rPr>
          <w:rFonts w:ascii="Times New Roman" w:eastAsia="Times New Roman" w:hAnsi="Times New Roman" w:cs="Times New Roman"/>
          <w:b/>
          <w:bCs/>
          <w:color w:val="111111"/>
          <w:sz w:val="26"/>
          <w:szCs w:val="26"/>
        </w:rPr>
      </w:pPr>
      <w:r w:rsidRPr="00EA28E7">
        <w:rPr>
          <w:rFonts w:ascii="Times New Roman" w:eastAsia="Times New Roman" w:hAnsi="Times New Roman" w:cs="Times New Roman"/>
          <w:b/>
          <w:bCs/>
          <w:color w:val="111111"/>
          <w:sz w:val="26"/>
          <w:szCs w:val="26"/>
        </w:rPr>
        <w:t>Những phát hiện chín trong Báo cáo</w:t>
      </w:r>
    </w:p>
    <w:p w:rsidR="00EA28E7" w:rsidRPr="00EA28E7" w:rsidRDefault="00EA28E7" w:rsidP="00EA28E7">
      <w:pPr>
        <w:pStyle w:val="ListParagraph"/>
        <w:numPr>
          <w:ilvl w:val="0"/>
          <w:numId w:val="2"/>
        </w:numPr>
        <w:shd w:val="clear" w:color="auto" w:fill="D9EDF7"/>
        <w:spacing w:before="120" w:after="120" w:line="240" w:lineRule="auto"/>
        <w:jc w:val="both"/>
        <w:textAlignment w:val="baseline"/>
        <w:outlineLvl w:val="5"/>
        <w:rPr>
          <w:rFonts w:ascii="Times New Roman" w:eastAsia="Times New Roman" w:hAnsi="Times New Roman" w:cs="Times New Roman"/>
          <w:bCs/>
          <w:color w:val="111111"/>
          <w:sz w:val="26"/>
          <w:szCs w:val="26"/>
        </w:rPr>
      </w:pPr>
      <w:r w:rsidRPr="00EA28E7">
        <w:rPr>
          <w:rFonts w:ascii="Times New Roman" w:eastAsia="Times New Roman" w:hAnsi="Times New Roman" w:cs="Times New Roman"/>
          <w:bCs/>
          <w:color w:val="111111"/>
          <w:sz w:val="26"/>
          <w:szCs w:val="26"/>
        </w:rPr>
        <w:lastRenderedPageBreak/>
        <w:t xml:space="preserve">Biến đổi khí hậu vẫn là ưu tiên môi trường hàng đầu </w:t>
      </w:r>
      <w:r>
        <w:rPr>
          <w:rFonts w:ascii="Times New Roman" w:eastAsia="Times New Roman" w:hAnsi="Times New Roman" w:cs="Times New Roman"/>
          <w:bCs/>
          <w:color w:val="111111"/>
          <w:sz w:val="26"/>
          <w:szCs w:val="26"/>
        </w:rPr>
        <w:t>đối với</w:t>
      </w:r>
      <w:r w:rsidRPr="00EA28E7">
        <w:rPr>
          <w:rFonts w:ascii="Times New Roman" w:eastAsia="Times New Roman" w:hAnsi="Times New Roman" w:cs="Times New Roman"/>
          <w:bCs/>
          <w:color w:val="111111"/>
          <w:sz w:val="26"/>
          <w:szCs w:val="26"/>
        </w:rPr>
        <w:t xml:space="preserve"> các </w:t>
      </w:r>
      <w:r>
        <w:rPr>
          <w:rFonts w:ascii="Times New Roman" w:eastAsia="Times New Roman" w:hAnsi="Times New Roman" w:cs="Times New Roman"/>
          <w:bCs/>
          <w:color w:val="111111"/>
          <w:sz w:val="26"/>
          <w:szCs w:val="26"/>
        </w:rPr>
        <w:t>cảng</w:t>
      </w:r>
      <w:r w:rsidRPr="00EA28E7">
        <w:rPr>
          <w:rFonts w:ascii="Times New Roman" w:eastAsia="Times New Roman" w:hAnsi="Times New Roman" w:cs="Times New Roman"/>
          <w:bCs/>
          <w:color w:val="111111"/>
          <w:sz w:val="26"/>
          <w:szCs w:val="26"/>
        </w:rPr>
        <w:t xml:space="preserve">, tiếp theo là hiệu quả năng lượng và chất lượng không khí, đánh dấu sự thay đổi </w:t>
      </w:r>
      <w:r>
        <w:rPr>
          <w:rFonts w:ascii="Times New Roman" w:eastAsia="Times New Roman" w:hAnsi="Times New Roman" w:cs="Times New Roman"/>
          <w:bCs/>
          <w:color w:val="111111"/>
          <w:sz w:val="26"/>
          <w:szCs w:val="26"/>
        </w:rPr>
        <w:t>so với</w:t>
      </w:r>
      <w:r w:rsidRPr="00EA28E7">
        <w:rPr>
          <w:rFonts w:ascii="Times New Roman" w:eastAsia="Times New Roman" w:hAnsi="Times New Roman" w:cs="Times New Roman"/>
          <w:bCs/>
          <w:color w:val="111111"/>
          <w:sz w:val="26"/>
          <w:szCs w:val="26"/>
        </w:rPr>
        <w:t xml:space="preserve"> báo cáo năm 2023.</w:t>
      </w:r>
    </w:p>
    <w:p w:rsidR="00EA28E7" w:rsidRPr="00EA28E7" w:rsidRDefault="00EA28E7" w:rsidP="00EA28E7">
      <w:pPr>
        <w:pStyle w:val="ListParagraph"/>
        <w:numPr>
          <w:ilvl w:val="0"/>
          <w:numId w:val="2"/>
        </w:numPr>
        <w:shd w:val="clear" w:color="auto" w:fill="D9EDF7"/>
        <w:spacing w:before="120" w:after="120" w:line="240" w:lineRule="auto"/>
        <w:jc w:val="both"/>
        <w:textAlignment w:val="baseline"/>
        <w:outlineLvl w:val="5"/>
        <w:rPr>
          <w:rFonts w:ascii="Times New Roman" w:eastAsia="Times New Roman" w:hAnsi="Times New Roman" w:cs="Times New Roman"/>
          <w:bCs/>
          <w:color w:val="111111"/>
          <w:sz w:val="26"/>
          <w:szCs w:val="26"/>
        </w:rPr>
      </w:pPr>
      <w:r w:rsidRPr="00EA28E7">
        <w:rPr>
          <w:rFonts w:ascii="Times New Roman" w:eastAsia="Times New Roman" w:hAnsi="Times New Roman" w:cs="Times New Roman"/>
          <w:bCs/>
          <w:color w:val="111111"/>
          <w:sz w:val="26"/>
          <w:szCs w:val="26"/>
        </w:rPr>
        <w:t xml:space="preserve">Thích ứng </w:t>
      </w:r>
      <w:r>
        <w:rPr>
          <w:rFonts w:ascii="Times New Roman" w:eastAsia="Times New Roman" w:hAnsi="Times New Roman" w:cs="Times New Roman"/>
          <w:bCs/>
          <w:color w:val="111111"/>
          <w:sz w:val="26"/>
          <w:szCs w:val="26"/>
        </w:rPr>
        <w:t xml:space="preserve">với </w:t>
      </w:r>
      <w:r w:rsidRPr="00EA28E7">
        <w:rPr>
          <w:rFonts w:ascii="Times New Roman" w:eastAsia="Times New Roman" w:hAnsi="Times New Roman" w:cs="Times New Roman"/>
          <w:bCs/>
          <w:color w:val="111111"/>
          <w:sz w:val="26"/>
          <w:szCs w:val="26"/>
        </w:rPr>
        <w:t xml:space="preserve">biến đổi khí hậu ngày càng quan trọng, với 64% </w:t>
      </w:r>
      <w:r>
        <w:rPr>
          <w:rFonts w:ascii="Times New Roman" w:eastAsia="Times New Roman" w:hAnsi="Times New Roman" w:cs="Times New Roman"/>
          <w:bCs/>
          <w:color w:val="111111"/>
          <w:sz w:val="26"/>
          <w:szCs w:val="26"/>
        </w:rPr>
        <w:t>số</w:t>
      </w:r>
      <w:r w:rsidRPr="00EA28E7">
        <w:rPr>
          <w:rFonts w:ascii="Times New Roman" w:eastAsia="Times New Roman" w:hAnsi="Times New Roman" w:cs="Times New Roman"/>
          <w:bCs/>
          <w:color w:val="111111"/>
          <w:sz w:val="26"/>
          <w:szCs w:val="26"/>
        </w:rPr>
        <w:t xml:space="preserve"> cảng phải đối mặt với các thách thức hoạt động liên quan đến khí hậu, tăng từ 47% vào năm ngoái.</w:t>
      </w:r>
    </w:p>
    <w:p w:rsidR="00EA28E7" w:rsidRPr="00EA28E7" w:rsidRDefault="00EA28E7" w:rsidP="00EA28E7">
      <w:pPr>
        <w:pStyle w:val="ListParagraph"/>
        <w:numPr>
          <w:ilvl w:val="0"/>
          <w:numId w:val="2"/>
        </w:numPr>
        <w:shd w:val="clear" w:color="auto" w:fill="D9EDF7"/>
        <w:spacing w:before="120" w:after="120" w:line="240" w:lineRule="auto"/>
        <w:jc w:val="both"/>
        <w:textAlignment w:val="baseline"/>
        <w:outlineLvl w:val="5"/>
        <w:rPr>
          <w:rFonts w:ascii="Times New Roman" w:eastAsia="Times New Roman" w:hAnsi="Times New Roman" w:cs="Times New Roman"/>
          <w:bCs/>
          <w:color w:val="111111"/>
          <w:sz w:val="26"/>
          <w:szCs w:val="26"/>
        </w:rPr>
      </w:pPr>
      <w:r w:rsidRPr="00EA28E7">
        <w:rPr>
          <w:rFonts w:ascii="Times New Roman" w:eastAsia="Times New Roman" w:hAnsi="Times New Roman" w:cs="Times New Roman"/>
          <w:bCs/>
          <w:color w:val="111111"/>
          <w:sz w:val="26"/>
          <w:szCs w:val="26"/>
        </w:rPr>
        <w:t xml:space="preserve">73% </w:t>
      </w:r>
      <w:r>
        <w:rPr>
          <w:rFonts w:ascii="Times New Roman" w:eastAsia="Times New Roman" w:hAnsi="Times New Roman" w:cs="Times New Roman"/>
          <w:bCs/>
          <w:color w:val="111111"/>
          <w:sz w:val="26"/>
          <w:szCs w:val="26"/>
        </w:rPr>
        <w:t>số cảng</w:t>
      </w:r>
      <w:r w:rsidRPr="00EA28E7">
        <w:rPr>
          <w:rFonts w:ascii="Times New Roman" w:eastAsia="Times New Roman" w:hAnsi="Times New Roman" w:cs="Times New Roman"/>
          <w:bCs/>
          <w:color w:val="111111"/>
          <w:sz w:val="26"/>
          <w:szCs w:val="26"/>
        </w:rPr>
        <w:t xml:space="preserve"> đang tăng cường khả năng </w:t>
      </w:r>
      <w:r>
        <w:rPr>
          <w:rFonts w:ascii="Times New Roman" w:eastAsia="Times New Roman" w:hAnsi="Times New Roman" w:cs="Times New Roman"/>
          <w:bCs/>
          <w:color w:val="111111"/>
          <w:sz w:val="26"/>
          <w:szCs w:val="26"/>
        </w:rPr>
        <w:t>chống chọi</w:t>
      </w:r>
      <w:r w:rsidRPr="00EA28E7">
        <w:rPr>
          <w:rFonts w:ascii="Times New Roman" w:eastAsia="Times New Roman" w:hAnsi="Times New Roman" w:cs="Times New Roman"/>
          <w:bCs/>
          <w:color w:val="111111"/>
          <w:sz w:val="26"/>
          <w:szCs w:val="26"/>
        </w:rPr>
        <w:t xml:space="preserve"> của cơ sở hạ tầng hiện có</w:t>
      </w:r>
      <w:r>
        <w:rPr>
          <w:rFonts w:ascii="Times New Roman" w:eastAsia="Times New Roman" w:hAnsi="Times New Roman" w:cs="Times New Roman"/>
          <w:bCs/>
          <w:color w:val="111111"/>
          <w:sz w:val="26"/>
          <w:szCs w:val="26"/>
        </w:rPr>
        <w:t xml:space="preserve">, trong khi </w:t>
      </w:r>
      <w:r w:rsidRPr="00EA28E7">
        <w:rPr>
          <w:rFonts w:ascii="Times New Roman" w:eastAsia="Times New Roman" w:hAnsi="Times New Roman" w:cs="Times New Roman"/>
          <w:bCs/>
          <w:color w:val="111111"/>
          <w:sz w:val="26"/>
          <w:szCs w:val="26"/>
        </w:rPr>
        <w:t xml:space="preserve">86% </w:t>
      </w:r>
      <w:r>
        <w:rPr>
          <w:rFonts w:ascii="Times New Roman" w:eastAsia="Times New Roman" w:hAnsi="Times New Roman" w:cs="Times New Roman"/>
          <w:bCs/>
          <w:color w:val="111111"/>
          <w:sz w:val="26"/>
          <w:szCs w:val="26"/>
        </w:rPr>
        <w:t xml:space="preserve">đã </w:t>
      </w:r>
      <w:r w:rsidRPr="00EA28E7">
        <w:rPr>
          <w:rFonts w:ascii="Times New Roman" w:eastAsia="Times New Roman" w:hAnsi="Times New Roman" w:cs="Times New Roman"/>
          <w:bCs/>
          <w:color w:val="111111"/>
          <w:sz w:val="26"/>
          <w:szCs w:val="26"/>
        </w:rPr>
        <w:t>tích hợp thích ứng khí hậu vào các dự án mới.</w:t>
      </w:r>
    </w:p>
    <w:p w:rsidR="00EA28E7" w:rsidRPr="00EA28E7" w:rsidRDefault="00EA28E7" w:rsidP="00EA28E7">
      <w:pPr>
        <w:pStyle w:val="ListParagraph"/>
        <w:numPr>
          <w:ilvl w:val="0"/>
          <w:numId w:val="2"/>
        </w:numPr>
        <w:shd w:val="clear" w:color="auto" w:fill="D9EDF7"/>
        <w:spacing w:before="120" w:after="120" w:line="240" w:lineRule="auto"/>
        <w:jc w:val="both"/>
        <w:textAlignment w:val="baseline"/>
        <w:outlineLvl w:val="5"/>
        <w:rPr>
          <w:rFonts w:ascii="Times New Roman" w:eastAsia="Times New Roman" w:hAnsi="Times New Roman" w:cs="Times New Roman"/>
          <w:bCs/>
          <w:color w:val="111111"/>
          <w:sz w:val="26"/>
          <w:szCs w:val="26"/>
        </w:rPr>
      </w:pPr>
      <w:r w:rsidRPr="00EA28E7">
        <w:rPr>
          <w:rFonts w:ascii="Times New Roman" w:eastAsia="Times New Roman" w:hAnsi="Times New Roman" w:cs="Times New Roman"/>
          <w:bCs/>
          <w:color w:val="111111"/>
          <w:sz w:val="26"/>
          <w:szCs w:val="26"/>
        </w:rPr>
        <w:t xml:space="preserve">Phát triển cảng liên quan đến </w:t>
      </w:r>
      <w:r>
        <w:rPr>
          <w:rFonts w:ascii="Times New Roman" w:eastAsia="Times New Roman" w:hAnsi="Times New Roman" w:cs="Times New Roman"/>
          <w:bCs/>
          <w:color w:val="111111"/>
          <w:sz w:val="26"/>
          <w:szCs w:val="26"/>
        </w:rPr>
        <w:t xml:space="preserve">chất lượng </w:t>
      </w:r>
      <w:r w:rsidRPr="00EA28E7">
        <w:rPr>
          <w:rFonts w:ascii="Times New Roman" w:eastAsia="Times New Roman" w:hAnsi="Times New Roman" w:cs="Times New Roman"/>
          <w:bCs/>
          <w:color w:val="111111"/>
          <w:sz w:val="26"/>
          <w:szCs w:val="26"/>
        </w:rPr>
        <w:t xml:space="preserve">nước tiếp tục </w:t>
      </w:r>
      <w:r>
        <w:rPr>
          <w:rFonts w:ascii="Times New Roman" w:eastAsia="Times New Roman" w:hAnsi="Times New Roman" w:cs="Times New Roman"/>
          <w:bCs/>
          <w:color w:val="111111"/>
          <w:sz w:val="26"/>
          <w:szCs w:val="26"/>
        </w:rPr>
        <w:t>nằm trong</w:t>
      </w:r>
      <w:r w:rsidRPr="00EA28E7">
        <w:rPr>
          <w:rFonts w:ascii="Times New Roman" w:eastAsia="Times New Roman" w:hAnsi="Times New Roman" w:cs="Times New Roman"/>
          <w:bCs/>
          <w:color w:val="111111"/>
          <w:sz w:val="26"/>
          <w:szCs w:val="26"/>
        </w:rPr>
        <w:t xml:space="preserve"> số 10 ưu tiên hàng đầu trong năm thứ hai liên tiếp.</w:t>
      </w:r>
    </w:p>
    <w:p w:rsidR="00EA28E7" w:rsidRPr="00EA28E7" w:rsidRDefault="00EA28E7" w:rsidP="00EA28E7">
      <w:pPr>
        <w:pStyle w:val="ListParagraph"/>
        <w:numPr>
          <w:ilvl w:val="0"/>
          <w:numId w:val="2"/>
        </w:numPr>
        <w:shd w:val="clear" w:color="auto" w:fill="D9EDF7"/>
        <w:spacing w:before="120" w:after="120" w:line="240" w:lineRule="auto"/>
        <w:jc w:val="both"/>
        <w:textAlignment w:val="baseline"/>
        <w:outlineLvl w:val="5"/>
        <w:rPr>
          <w:rFonts w:ascii="Times New Roman" w:eastAsia="Times New Roman" w:hAnsi="Times New Roman" w:cs="Times New Roman"/>
          <w:bCs/>
          <w:color w:val="111111"/>
          <w:sz w:val="26"/>
          <w:szCs w:val="26"/>
        </w:rPr>
      </w:pPr>
      <w:r w:rsidRPr="00EA28E7">
        <w:rPr>
          <w:rFonts w:ascii="Times New Roman" w:eastAsia="Times New Roman" w:hAnsi="Times New Roman" w:cs="Times New Roman"/>
          <w:bCs/>
          <w:color w:val="111111"/>
          <w:sz w:val="26"/>
          <w:szCs w:val="26"/>
        </w:rPr>
        <w:t xml:space="preserve">Báo cáo môi trường ESPO 2024 nêu bật các xu hướng tích cực, cho thấy cam kết mạnh mẽ về </w:t>
      </w:r>
      <w:r>
        <w:rPr>
          <w:rFonts w:ascii="Times New Roman" w:eastAsia="Times New Roman" w:hAnsi="Times New Roman" w:cs="Times New Roman"/>
          <w:bCs/>
          <w:color w:val="111111"/>
          <w:sz w:val="26"/>
          <w:szCs w:val="26"/>
        </w:rPr>
        <w:t>sự</w:t>
      </w:r>
      <w:r w:rsidRPr="00EA28E7">
        <w:rPr>
          <w:rFonts w:ascii="Times New Roman" w:eastAsia="Times New Roman" w:hAnsi="Times New Roman" w:cs="Times New Roman"/>
          <w:bCs/>
          <w:color w:val="111111"/>
          <w:sz w:val="26"/>
          <w:szCs w:val="26"/>
        </w:rPr>
        <w:t xml:space="preserve"> bền vững và quản trị môi trường.</w:t>
      </w:r>
    </w:p>
    <w:p w:rsidR="00EA28E7" w:rsidRPr="00EA28E7" w:rsidRDefault="00EA28E7" w:rsidP="00EA28E7">
      <w:pPr>
        <w:pStyle w:val="ListParagraph"/>
        <w:numPr>
          <w:ilvl w:val="0"/>
          <w:numId w:val="2"/>
        </w:numPr>
        <w:shd w:val="clear" w:color="auto" w:fill="D9EDF7"/>
        <w:spacing w:before="120" w:after="120" w:line="240" w:lineRule="auto"/>
        <w:jc w:val="both"/>
        <w:textAlignment w:val="baseline"/>
        <w:outlineLvl w:val="5"/>
        <w:rPr>
          <w:rFonts w:ascii="Times New Roman" w:eastAsia="Times New Roman" w:hAnsi="Times New Roman" w:cs="Times New Roman"/>
          <w:bCs/>
          <w:color w:val="111111"/>
          <w:sz w:val="26"/>
          <w:szCs w:val="26"/>
        </w:rPr>
      </w:pPr>
      <w:r w:rsidRPr="00EA28E7">
        <w:rPr>
          <w:rFonts w:ascii="Times New Roman" w:eastAsia="Times New Roman" w:hAnsi="Times New Roman" w:cs="Times New Roman"/>
          <w:bCs/>
          <w:color w:val="111111"/>
          <w:sz w:val="26"/>
          <w:szCs w:val="26"/>
        </w:rPr>
        <w:t xml:space="preserve">Một số lượng ngày càng tăng các </w:t>
      </w:r>
      <w:r>
        <w:rPr>
          <w:rFonts w:ascii="Times New Roman" w:eastAsia="Times New Roman" w:hAnsi="Times New Roman" w:cs="Times New Roman"/>
          <w:bCs/>
          <w:color w:val="111111"/>
          <w:sz w:val="26"/>
          <w:szCs w:val="26"/>
        </w:rPr>
        <w:t>cảng</w:t>
      </w:r>
      <w:r w:rsidRPr="00EA28E7">
        <w:rPr>
          <w:rFonts w:ascii="Times New Roman" w:eastAsia="Times New Roman" w:hAnsi="Times New Roman" w:cs="Times New Roman"/>
          <w:bCs/>
          <w:color w:val="111111"/>
          <w:sz w:val="26"/>
          <w:szCs w:val="26"/>
        </w:rPr>
        <w:t xml:space="preserve"> đang có được </w:t>
      </w:r>
      <w:r>
        <w:rPr>
          <w:rFonts w:ascii="Times New Roman" w:eastAsia="Times New Roman" w:hAnsi="Times New Roman" w:cs="Times New Roman"/>
          <w:bCs/>
          <w:color w:val="111111"/>
          <w:sz w:val="26"/>
          <w:szCs w:val="26"/>
        </w:rPr>
        <w:t xml:space="preserve">giấy </w:t>
      </w:r>
      <w:r w:rsidRPr="00EA28E7">
        <w:rPr>
          <w:rFonts w:ascii="Times New Roman" w:eastAsia="Times New Roman" w:hAnsi="Times New Roman" w:cs="Times New Roman"/>
          <w:bCs/>
          <w:color w:val="111111"/>
          <w:sz w:val="26"/>
          <w:szCs w:val="26"/>
        </w:rPr>
        <w:t xml:space="preserve">chứng nhận Hệ thống đánh giá môi trường (PER), </w:t>
      </w:r>
      <w:r>
        <w:rPr>
          <w:rFonts w:ascii="Times New Roman" w:eastAsia="Times New Roman" w:hAnsi="Times New Roman" w:cs="Times New Roman"/>
          <w:bCs/>
          <w:color w:val="111111"/>
          <w:sz w:val="26"/>
          <w:szCs w:val="26"/>
        </w:rPr>
        <w:t xml:space="preserve">đây là </w:t>
      </w:r>
      <w:r w:rsidRPr="00EA28E7">
        <w:rPr>
          <w:rFonts w:ascii="Times New Roman" w:eastAsia="Times New Roman" w:hAnsi="Times New Roman" w:cs="Times New Roman"/>
          <w:bCs/>
          <w:color w:val="111111"/>
          <w:sz w:val="26"/>
          <w:szCs w:val="26"/>
        </w:rPr>
        <w:t xml:space="preserve">tiêu chuẩn quản lý môi trường duy nhất được thiết kế dành riêng cho các </w:t>
      </w:r>
      <w:r>
        <w:rPr>
          <w:rFonts w:ascii="Times New Roman" w:eastAsia="Times New Roman" w:hAnsi="Times New Roman" w:cs="Times New Roman"/>
          <w:bCs/>
          <w:color w:val="111111"/>
          <w:sz w:val="26"/>
          <w:szCs w:val="26"/>
        </w:rPr>
        <w:t>cảng</w:t>
      </w:r>
      <w:r w:rsidRPr="00EA28E7">
        <w:rPr>
          <w:rFonts w:ascii="Times New Roman" w:eastAsia="Times New Roman" w:hAnsi="Times New Roman" w:cs="Times New Roman"/>
          <w:bCs/>
          <w:color w:val="111111"/>
          <w:sz w:val="26"/>
          <w:szCs w:val="26"/>
        </w:rPr>
        <w:t>.</w:t>
      </w:r>
    </w:p>
    <w:p w:rsidR="00EA28E7" w:rsidRPr="00EA28E7" w:rsidRDefault="00EA28E7" w:rsidP="00EA28E7">
      <w:pPr>
        <w:pStyle w:val="ListParagraph"/>
        <w:numPr>
          <w:ilvl w:val="0"/>
          <w:numId w:val="2"/>
        </w:numPr>
        <w:shd w:val="clear" w:color="auto" w:fill="D9EDF7"/>
        <w:spacing w:before="120" w:after="120" w:line="240" w:lineRule="auto"/>
        <w:jc w:val="both"/>
        <w:textAlignment w:val="baseline"/>
        <w:outlineLvl w:val="5"/>
        <w:rPr>
          <w:rFonts w:ascii="Times New Roman" w:eastAsia="Times New Roman" w:hAnsi="Times New Roman" w:cs="Times New Roman"/>
          <w:bCs/>
          <w:color w:val="111111"/>
          <w:sz w:val="26"/>
          <w:szCs w:val="26"/>
        </w:rPr>
      </w:pPr>
      <w:r w:rsidRPr="00EA28E7">
        <w:rPr>
          <w:rFonts w:ascii="Times New Roman" w:eastAsia="Times New Roman" w:hAnsi="Times New Roman" w:cs="Times New Roman"/>
          <w:bCs/>
          <w:color w:val="111111"/>
          <w:sz w:val="26"/>
          <w:szCs w:val="26"/>
        </w:rPr>
        <w:t xml:space="preserve">Chỉ số quản lý môi trường (EMI) đạt mức cao nhất mọi thời đại là 8,61 vào năm 2024, phản ánh </w:t>
      </w:r>
      <w:r>
        <w:rPr>
          <w:rFonts w:ascii="Times New Roman" w:eastAsia="Times New Roman" w:hAnsi="Times New Roman" w:cs="Times New Roman"/>
          <w:bCs/>
          <w:color w:val="111111"/>
          <w:sz w:val="26"/>
          <w:szCs w:val="26"/>
        </w:rPr>
        <w:t xml:space="preserve">sự </w:t>
      </w:r>
      <w:r w:rsidRPr="00EA28E7">
        <w:rPr>
          <w:rFonts w:ascii="Times New Roman" w:eastAsia="Times New Roman" w:hAnsi="Times New Roman" w:cs="Times New Roman"/>
          <w:bCs/>
          <w:color w:val="111111"/>
          <w:sz w:val="26"/>
          <w:szCs w:val="26"/>
        </w:rPr>
        <w:t>giám sát môi trường mạnh mẽ tập trung vào hiệu quả năng lượng, chất thải</w:t>
      </w:r>
      <w:r>
        <w:rPr>
          <w:rFonts w:ascii="Times New Roman" w:eastAsia="Times New Roman" w:hAnsi="Times New Roman" w:cs="Times New Roman"/>
          <w:bCs/>
          <w:color w:val="111111"/>
          <w:sz w:val="26"/>
          <w:szCs w:val="26"/>
        </w:rPr>
        <w:t xml:space="preserve"> từ</w:t>
      </w:r>
      <w:r w:rsidRPr="00EA28E7">
        <w:rPr>
          <w:rFonts w:ascii="Times New Roman" w:eastAsia="Times New Roman" w:hAnsi="Times New Roman" w:cs="Times New Roman"/>
          <w:bCs/>
          <w:color w:val="111111"/>
          <w:sz w:val="26"/>
          <w:szCs w:val="26"/>
        </w:rPr>
        <w:t xml:space="preserve"> cảng và chất lượng nước.</w:t>
      </w:r>
    </w:p>
    <w:p w:rsidR="00EA28E7" w:rsidRPr="00EA28E7" w:rsidRDefault="00EA28E7" w:rsidP="00EA28E7">
      <w:pPr>
        <w:pStyle w:val="ListParagraph"/>
        <w:numPr>
          <w:ilvl w:val="0"/>
          <w:numId w:val="2"/>
        </w:numPr>
        <w:shd w:val="clear" w:color="auto" w:fill="D9EDF7"/>
        <w:spacing w:before="120" w:after="120" w:line="240" w:lineRule="auto"/>
        <w:jc w:val="both"/>
        <w:textAlignment w:val="baseline"/>
        <w:outlineLvl w:val="5"/>
        <w:rPr>
          <w:rFonts w:ascii="Times New Roman" w:eastAsia="Times New Roman" w:hAnsi="Times New Roman" w:cs="Times New Roman"/>
          <w:bCs/>
          <w:color w:val="111111"/>
          <w:sz w:val="26"/>
          <w:szCs w:val="26"/>
        </w:rPr>
      </w:pPr>
      <w:r w:rsidRPr="00EA28E7">
        <w:rPr>
          <w:rFonts w:ascii="Times New Roman" w:eastAsia="Times New Roman" w:hAnsi="Times New Roman" w:cs="Times New Roman"/>
          <w:bCs/>
          <w:color w:val="111111"/>
          <w:sz w:val="26"/>
          <w:szCs w:val="26"/>
        </w:rPr>
        <w:t xml:space="preserve">98% </w:t>
      </w:r>
      <w:r>
        <w:rPr>
          <w:rFonts w:ascii="Times New Roman" w:eastAsia="Times New Roman" w:hAnsi="Times New Roman" w:cs="Times New Roman"/>
          <w:bCs/>
          <w:color w:val="111111"/>
          <w:sz w:val="26"/>
          <w:szCs w:val="26"/>
        </w:rPr>
        <w:t>số</w:t>
      </w:r>
      <w:r w:rsidRPr="00EA28E7">
        <w:rPr>
          <w:rFonts w:ascii="Times New Roman" w:eastAsia="Times New Roman" w:hAnsi="Times New Roman" w:cs="Times New Roman"/>
          <w:bCs/>
          <w:color w:val="111111"/>
          <w:sz w:val="26"/>
          <w:szCs w:val="26"/>
        </w:rPr>
        <w:t xml:space="preserve"> cảng có chính sách </w:t>
      </w:r>
      <w:r>
        <w:rPr>
          <w:rFonts w:ascii="Times New Roman" w:eastAsia="Times New Roman" w:hAnsi="Times New Roman" w:cs="Times New Roman"/>
          <w:bCs/>
          <w:color w:val="111111"/>
          <w:sz w:val="26"/>
          <w:szCs w:val="26"/>
        </w:rPr>
        <w:t xml:space="preserve">về </w:t>
      </w:r>
      <w:r w:rsidRPr="00EA28E7">
        <w:rPr>
          <w:rFonts w:ascii="Times New Roman" w:eastAsia="Times New Roman" w:hAnsi="Times New Roman" w:cs="Times New Roman"/>
          <w:bCs/>
          <w:color w:val="111111"/>
          <w:sz w:val="26"/>
          <w:szCs w:val="26"/>
        </w:rPr>
        <w:t>môi trường, hàng tồn kho và các mục tiêu được xác định để cải thiện môi trường.</w:t>
      </w:r>
    </w:p>
    <w:p w:rsidR="00EA28E7" w:rsidRPr="00EA28E7" w:rsidRDefault="00EA28E7" w:rsidP="00EA28E7">
      <w:pPr>
        <w:pStyle w:val="ListParagraph"/>
        <w:numPr>
          <w:ilvl w:val="0"/>
          <w:numId w:val="2"/>
        </w:numPr>
        <w:shd w:val="clear" w:color="auto" w:fill="D9EDF7"/>
        <w:spacing w:before="120" w:after="120" w:line="240" w:lineRule="auto"/>
        <w:jc w:val="both"/>
        <w:textAlignment w:val="baseline"/>
        <w:outlineLvl w:val="5"/>
        <w:rPr>
          <w:rFonts w:ascii="Times New Roman" w:eastAsia="Times New Roman" w:hAnsi="Times New Roman" w:cs="Times New Roman"/>
          <w:bCs/>
          <w:color w:val="111111"/>
          <w:sz w:val="26"/>
          <w:szCs w:val="26"/>
        </w:rPr>
      </w:pPr>
      <w:r w:rsidRPr="00EA28E7">
        <w:rPr>
          <w:rFonts w:ascii="Times New Roman" w:eastAsia="Times New Roman" w:hAnsi="Times New Roman" w:cs="Times New Roman"/>
          <w:bCs/>
          <w:color w:val="111111"/>
          <w:sz w:val="26"/>
          <w:szCs w:val="26"/>
        </w:rPr>
        <w:t xml:space="preserve">Gần như tất cả các cảng duy trì </w:t>
      </w:r>
      <w:r>
        <w:rPr>
          <w:rFonts w:ascii="Times New Roman" w:eastAsia="Times New Roman" w:hAnsi="Times New Roman" w:cs="Times New Roman"/>
          <w:bCs/>
          <w:color w:val="111111"/>
          <w:sz w:val="26"/>
          <w:szCs w:val="26"/>
        </w:rPr>
        <w:t>dự phòng về</w:t>
      </w:r>
      <w:r w:rsidRPr="00EA28E7">
        <w:rPr>
          <w:rFonts w:ascii="Times New Roman" w:eastAsia="Times New Roman" w:hAnsi="Times New Roman" w:cs="Times New Roman"/>
          <w:bCs/>
          <w:color w:val="111111"/>
          <w:sz w:val="26"/>
          <w:szCs w:val="26"/>
        </w:rPr>
        <w:t xml:space="preserve"> các khía cạnh môi trường quan trọng (SEA) và có các chương trình giám sát môi trường tích cực.</w:t>
      </w:r>
    </w:p>
    <w:p w:rsidR="00622CEE" w:rsidRPr="00305AF6" w:rsidRDefault="00EA28E7" w:rsidP="00305AF6">
      <w:pPr>
        <w:pStyle w:val="ListParagraph"/>
        <w:numPr>
          <w:ilvl w:val="0"/>
          <w:numId w:val="2"/>
        </w:numPr>
        <w:shd w:val="clear" w:color="auto" w:fill="D9EDF7"/>
        <w:spacing w:before="120" w:after="120" w:line="240" w:lineRule="auto"/>
        <w:jc w:val="both"/>
        <w:textAlignment w:val="baseline"/>
        <w:outlineLvl w:val="5"/>
        <w:rPr>
          <w:rFonts w:ascii="Times New Roman" w:eastAsia="Times New Roman" w:hAnsi="Times New Roman" w:cs="Times New Roman"/>
          <w:bCs/>
          <w:color w:val="111111"/>
          <w:sz w:val="26"/>
          <w:szCs w:val="26"/>
        </w:rPr>
      </w:pPr>
      <w:r w:rsidRPr="00EA28E7">
        <w:rPr>
          <w:rFonts w:ascii="Times New Roman" w:eastAsia="Times New Roman" w:hAnsi="Times New Roman" w:cs="Times New Roman"/>
          <w:bCs/>
          <w:color w:val="111111"/>
          <w:sz w:val="26"/>
          <w:szCs w:val="26"/>
        </w:rPr>
        <w:t xml:space="preserve">Các chương trình </w:t>
      </w:r>
      <w:r>
        <w:rPr>
          <w:rFonts w:ascii="Times New Roman" w:eastAsia="Times New Roman" w:hAnsi="Times New Roman" w:cs="Times New Roman"/>
          <w:bCs/>
          <w:color w:val="111111"/>
          <w:sz w:val="26"/>
          <w:szCs w:val="26"/>
        </w:rPr>
        <w:t>huấn luyện</w:t>
      </w:r>
      <w:r w:rsidRPr="00EA28E7">
        <w:rPr>
          <w:rFonts w:ascii="Times New Roman" w:eastAsia="Times New Roman" w:hAnsi="Times New Roman" w:cs="Times New Roman"/>
          <w:bCs/>
          <w:color w:val="111111"/>
          <w:sz w:val="26"/>
          <w:szCs w:val="26"/>
        </w:rPr>
        <w:t xml:space="preserve"> </w:t>
      </w:r>
      <w:r>
        <w:rPr>
          <w:rFonts w:ascii="Times New Roman" w:eastAsia="Times New Roman" w:hAnsi="Times New Roman" w:cs="Times New Roman"/>
          <w:bCs/>
          <w:color w:val="111111"/>
          <w:sz w:val="26"/>
          <w:szCs w:val="26"/>
        </w:rPr>
        <w:t xml:space="preserve">về </w:t>
      </w:r>
      <w:r w:rsidRPr="00EA28E7">
        <w:rPr>
          <w:rFonts w:ascii="Times New Roman" w:eastAsia="Times New Roman" w:hAnsi="Times New Roman" w:cs="Times New Roman"/>
          <w:bCs/>
          <w:color w:val="111111"/>
          <w:sz w:val="26"/>
          <w:szCs w:val="26"/>
        </w:rPr>
        <w:t xml:space="preserve">môi trường cho nhân viên </w:t>
      </w:r>
      <w:r>
        <w:rPr>
          <w:rFonts w:ascii="Times New Roman" w:eastAsia="Times New Roman" w:hAnsi="Times New Roman" w:cs="Times New Roman"/>
          <w:bCs/>
          <w:color w:val="111111"/>
          <w:sz w:val="26"/>
          <w:szCs w:val="26"/>
        </w:rPr>
        <w:t xml:space="preserve">của </w:t>
      </w:r>
      <w:r w:rsidRPr="00EA28E7">
        <w:rPr>
          <w:rFonts w:ascii="Times New Roman" w:eastAsia="Times New Roman" w:hAnsi="Times New Roman" w:cs="Times New Roman"/>
          <w:bCs/>
          <w:color w:val="111111"/>
          <w:sz w:val="26"/>
          <w:szCs w:val="26"/>
        </w:rPr>
        <w:t>cảng đã giảm trong hai năm qua, nhưng mức hiện tại là cao nhất kể từ năm 2017.</w:t>
      </w:r>
      <w:r w:rsidR="00622CEE" w:rsidRPr="00305AF6">
        <w:rPr>
          <w:rFonts w:ascii="inherit" w:eastAsia="Times New Roman" w:hAnsi="inherit" w:cs="Times New Roman"/>
          <w:color w:val="333333"/>
          <w:sz w:val="24"/>
          <w:szCs w:val="24"/>
        </w:rPr>
        <w:t> </w:t>
      </w:r>
    </w:p>
    <w:p w:rsidR="00305AF6" w:rsidRPr="00305AF6" w:rsidRDefault="00305AF6" w:rsidP="00305AF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05AF6">
        <w:rPr>
          <w:rFonts w:ascii="Times New Roman" w:eastAsia="Times New Roman" w:hAnsi="Times New Roman" w:cs="Times New Roman"/>
          <w:sz w:val="26"/>
          <w:szCs w:val="26"/>
        </w:rPr>
        <w:t>Nhìn chung, những tiến bộ nhấn mạnh một cam kết mạnh mẽ đối với các hoạt động xanh hơn, mặc dù những thách thức và cơ hội liên tục để cải thiện vẫn còn.</w:t>
      </w:r>
    </w:p>
    <w:p w:rsidR="00305AF6" w:rsidRPr="00305AF6" w:rsidRDefault="00305AF6" w:rsidP="00305AF6">
      <w:pPr>
        <w:shd w:val="clear" w:color="auto" w:fill="FFFFFF"/>
        <w:spacing w:before="120" w:after="120" w:line="390" w:lineRule="atLeast"/>
        <w:jc w:val="center"/>
        <w:textAlignment w:val="baseline"/>
        <w:rPr>
          <w:rFonts w:ascii="Arial" w:eastAsia="Times New Roman" w:hAnsi="Arial" w:cs="Arial"/>
          <w:sz w:val="26"/>
          <w:szCs w:val="26"/>
        </w:rPr>
      </w:pPr>
      <w:r w:rsidRPr="00305AF6">
        <w:rPr>
          <w:rFonts w:ascii="Arial" w:eastAsia="Times New Roman" w:hAnsi="Arial" w:cs="Arial"/>
          <w:sz w:val="26"/>
          <w:szCs w:val="26"/>
        </w:rPr>
        <w:t xml:space="preserve">Nhiệm vụ của chúng tôi là đảm bảo Ecoport trang bị </w:t>
      </w:r>
      <w:r w:rsidRPr="00305AF6">
        <w:rPr>
          <w:rFonts w:ascii="Arial" w:eastAsia="Times New Roman" w:hAnsi="Arial" w:cs="Arial"/>
          <w:sz w:val="26"/>
          <w:szCs w:val="26"/>
        </w:rPr>
        <w:t xml:space="preserve">cho </w:t>
      </w:r>
      <w:r w:rsidRPr="00305AF6">
        <w:rPr>
          <w:rFonts w:ascii="Arial" w:eastAsia="Times New Roman" w:hAnsi="Arial" w:cs="Arial"/>
          <w:sz w:val="26"/>
          <w:szCs w:val="26"/>
        </w:rPr>
        <w:t xml:space="preserve">các </w:t>
      </w:r>
      <w:r w:rsidRPr="00305AF6">
        <w:rPr>
          <w:rFonts w:ascii="Arial" w:eastAsia="Times New Roman" w:hAnsi="Arial" w:cs="Arial"/>
          <w:sz w:val="26"/>
          <w:szCs w:val="26"/>
        </w:rPr>
        <w:t xml:space="preserve">cảng những </w:t>
      </w:r>
      <w:r w:rsidRPr="00305AF6">
        <w:rPr>
          <w:rFonts w:ascii="Arial" w:eastAsia="Times New Roman" w:hAnsi="Arial" w:cs="Arial"/>
          <w:sz w:val="26"/>
          <w:szCs w:val="26"/>
        </w:rPr>
        <w:t xml:space="preserve">công cụ để thúc đẩy quá trình </w:t>
      </w:r>
      <w:r w:rsidRPr="00305AF6">
        <w:rPr>
          <w:rFonts w:ascii="Arial" w:eastAsia="Times New Roman" w:hAnsi="Arial" w:cs="Arial"/>
          <w:sz w:val="26"/>
          <w:szCs w:val="26"/>
        </w:rPr>
        <w:t>loải bỏ khí thải</w:t>
      </w:r>
      <w:r w:rsidRPr="00305AF6">
        <w:rPr>
          <w:rFonts w:ascii="Arial" w:eastAsia="Times New Roman" w:hAnsi="Arial" w:cs="Arial"/>
          <w:sz w:val="26"/>
          <w:szCs w:val="26"/>
        </w:rPr>
        <w:t xml:space="preserve"> cacbon </w:t>
      </w:r>
      <w:r w:rsidRPr="00305AF6">
        <w:rPr>
          <w:rFonts w:ascii="Arial" w:eastAsia="Times New Roman" w:hAnsi="Arial" w:cs="Arial"/>
          <w:sz w:val="26"/>
          <w:szCs w:val="26"/>
        </w:rPr>
        <w:t xml:space="preserve">của </w:t>
      </w:r>
      <w:r w:rsidRPr="00305AF6">
        <w:rPr>
          <w:rFonts w:ascii="Arial" w:eastAsia="Times New Roman" w:hAnsi="Arial" w:cs="Arial"/>
          <w:sz w:val="26"/>
          <w:szCs w:val="26"/>
        </w:rPr>
        <w:t>châu Âu và nuôi dưỡng một</w:t>
      </w:r>
      <w:r w:rsidRPr="00305AF6">
        <w:rPr>
          <w:rFonts w:ascii="Arial" w:eastAsia="Times New Roman" w:hAnsi="Arial" w:cs="Arial"/>
          <w:sz w:val="26"/>
          <w:szCs w:val="26"/>
        </w:rPr>
        <w:t xml:space="preserve"> tương lai xanh hơn từ dưới lên.</w:t>
      </w:r>
    </w:p>
    <w:p w:rsidR="00305AF6" w:rsidRPr="00305AF6" w:rsidRDefault="00305AF6" w:rsidP="00305AF6">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305AF6">
        <w:rPr>
          <w:rFonts w:ascii="Times New Roman" w:eastAsia="Times New Roman" w:hAnsi="Times New Roman" w:cs="Times New Roman"/>
          <w:sz w:val="26"/>
          <w:szCs w:val="26"/>
        </w:rPr>
        <w:t>Anaëlle Boudry, Cố vấn chính sách cao cấp của ESPO và điều phối viên ECOPORTS</w:t>
      </w:r>
      <w:r>
        <w:rPr>
          <w:rFonts w:ascii="Times New Roman" w:eastAsia="Times New Roman" w:hAnsi="Times New Roman" w:cs="Times New Roman"/>
          <w:sz w:val="26"/>
          <w:szCs w:val="26"/>
        </w:rPr>
        <w:t xml:space="preserve"> nhận xét</w:t>
      </w:r>
      <w:r w:rsidRPr="00305AF6">
        <w:rPr>
          <w:rFonts w:ascii="Times New Roman" w:eastAsia="Times New Roman" w:hAnsi="Times New Roman" w:cs="Times New Roman"/>
          <w:sz w:val="26"/>
          <w:szCs w:val="26"/>
        </w:rPr>
        <w:t>.</w:t>
      </w:r>
    </w:p>
    <w:p w:rsidR="00B02B9A" w:rsidRPr="00305AF6" w:rsidRDefault="00305AF6">
      <w:pPr>
        <w:rPr>
          <w:rFonts w:ascii="Times New Roman" w:eastAsia="Times New Roman" w:hAnsi="Times New Roman" w:cs="Times New Roman"/>
          <w:color w:val="111111"/>
          <w:sz w:val="28"/>
          <w:szCs w:val="28"/>
        </w:rPr>
      </w:pPr>
      <w:r w:rsidRPr="00305AF6">
        <w:rPr>
          <w:rFonts w:ascii="Times New Roman" w:eastAsia="Times New Roman" w:hAnsi="Times New Roman" w:cs="Times New Roman"/>
          <w:color w:val="111111"/>
          <w:sz w:val="28"/>
          <w:szCs w:val="28"/>
        </w:rPr>
        <w:t xml:space="preserve">Xem báo cáo chi tiết tại: </w:t>
      </w:r>
      <w:hyperlink r:id="rId9" w:history="1">
        <w:r w:rsidRPr="00305AF6">
          <w:rPr>
            <w:rStyle w:val="Hyperlink"/>
            <w:rFonts w:ascii="Times New Roman" w:eastAsia="Times New Roman" w:hAnsi="Times New Roman" w:cs="Times New Roman"/>
            <w:sz w:val="28"/>
            <w:szCs w:val="28"/>
          </w:rPr>
          <w:t>https://safety4sea.com/wp-content/uploads/2024/10/ESPO-Environmental-Report-2024-_10.pdf</w:t>
        </w:r>
      </w:hyperlink>
    </w:p>
    <w:p w:rsidR="00305AF6" w:rsidRDefault="00305AF6" w:rsidP="00305AF6">
      <w:pPr>
        <w:jc w:val="center"/>
      </w:pPr>
      <w:r>
        <w:t>---------------------------------------------------------</w:t>
      </w:r>
    </w:p>
    <w:sectPr w:rsidR="00305AF6" w:rsidSect="00622CEE">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853C40"/>
    <w:multiLevelType w:val="multilevel"/>
    <w:tmpl w:val="6F6E5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B906F9"/>
    <w:multiLevelType w:val="multilevel"/>
    <w:tmpl w:val="6F6E5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CEE"/>
    <w:rsid w:val="00305AF6"/>
    <w:rsid w:val="00586CFB"/>
    <w:rsid w:val="00622CEE"/>
    <w:rsid w:val="00B02B9A"/>
    <w:rsid w:val="00EA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84AD"/>
  <w15:chartTrackingRefBased/>
  <w15:docId w15:val="{66EBF568-6E31-466E-892B-DE8548F9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2C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22CE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622CE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CE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22CEE"/>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622CEE"/>
    <w:rPr>
      <w:rFonts w:ascii="Times New Roman" w:eastAsia="Times New Roman" w:hAnsi="Times New Roman" w:cs="Times New Roman"/>
      <w:b/>
      <w:bCs/>
      <w:sz w:val="15"/>
      <w:szCs w:val="15"/>
    </w:rPr>
  </w:style>
  <w:style w:type="character" w:customStyle="1" w:styleId="metatext">
    <w:name w:val="meta_text"/>
    <w:basedOn w:val="DefaultParagraphFont"/>
    <w:rsid w:val="00622CEE"/>
  </w:style>
  <w:style w:type="character" w:styleId="Hyperlink">
    <w:name w:val="Hyperlink"/>
    <w:basedOn w:val="DefaultParagraphFont"/>
    <w:uiPriority w:val="99"/>
    <w:unhideWhenUsed/>
    <w:rsid w:val="00622CEE"/>
    <w:rPr>
      <w:color w:val="0000FF"/>
      <w:u w:val="single"/>
    </w:rPr>
  </w:style>
  <w:style w:type="paragraph" w:customStyle="1" w:styleId="wp-caption-text">
    <w:name w:val="wp-caption-text"/>
    <w:basedOn w:val="Normal"/>
    <w:rsid w:val="00622C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22C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622CEE"/>
  </w:style>
  <w:style w:type="character" w:styleId="Emphasis">
    <w:name w:val="Emphasis"/>
    <w:basedOn w:val="DefaultParagraphFont"/>
    <w:uiPriority w:val="20"/>
    <w:qFormat/>
    <w:rsid w:val="00622CEE"/>
    <w:rPr>
      <w:i/>
      <w:iCs/>
    </w:rPr>
  </w:style>
  <w:style w:type="character" w:styleId="Strong">
    <w:name w:val="Strong"/>
    <w:basedOn w:val="DefaultParagraphFont"/>
    <w:uiPriority w:val="22"/>
    <w:qFormat/>
    <w:rsid w:val="00622CEE"/>
    <w:rPr>
      <w:b/>
      <w:bCs/>
    </w:rPr>
  </w:style>
  <w:style w:type="paragraph" w:styleId="ListParagraph">
    <w:name w:val="List Paragraph"/>
    <w:basedOn w:val="Normal"/>
    <w:uiPriority w:val="34"/>
    <w:qFormat/>
    <w:rsid w:val="00EA2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48036">
      <w:bodyDiv w:val="1"/>
      <w:marLeft w:val="0"/>
      <w:marRight w:val="0"/>
      <w:marTop w:val="0"/>
      <w:marBottom w:val="0"/>
      <w:divBdr>
        <w:top w:val="none" w:sz="0" w:space="0" w:color="auto"/>
        <w:left w:val="none" w:sz="0" w:space="0" w:color="auto"/>
        <w:bottom w:val="none" w:sz="0" w:space="0" w:color="auto"/>
        <w:right w:val="none" w:sz="0" w:space="0" w:color="auto"/>
      </w:divBdr>
      <w:divsChild>
        <w:div w:id="1221672481">
          <w:marLeft w:val="0"/>
          <w:marRight w:val="0"/>
          <w:marTop w:val="0"/>
          <w:marBottom w:val="450"/>
          <w:divBdr>
            <w:top w:val="none" w:sz="0" w:space="0" w:color="auto"/>
            <w:left w:val="none" w:sz="0" w:space="0" w:color="auto"/>
            <w:bottom w:val="single" w:sz="12" w:space="11" w:color="111111"/>
            <w:right w:val="none" w:sz="0" w:space="0" w:color="auto"/>
          </w:divBdr>
          <w:divsChild>
            <w:div w:id="941915120">
              <w:marLeft w:val="0"/>
              <w:marRight w:val="0"/>
              <w:marTop w:val="0"/>
              <w:marBottom w:val="0"/>
              <w:divBdr>
                <w:top w:val="none" w:sz="0" w:space="0" w:color="auto"/>
                <w:left w:val="none" w:sz="0" w:space="0" w:color="auto"/>
                <w:bottom w:val="none" w:sz="0" w:space="0" w:color="auto"/>
                <w:right w:val="none" w:sz="0" w:space="0" w:color="auto"/>
              </w:divBdr>
              <w:divsChild>
                <w:div w:id="1122769967">
                  <w:marLeft w:val="0"/>
                  <w:marRight w:val="0"/>
                  <w:marTop w:val="0"/>
                  <w:marBottom w:val="0"/>
                  <w:divBdr>
                    <w:top w:val="none" w:sz="0" w:space="0" w:color="auto"/>
                    <w:left w:val="none" w:sz="0" w:space="0" w:color="auto"/>
                    <w:bottom w:val="none" w:sz="0" w:space="0" w:color="auto"/>
                    <w:right w:val="none" w:sz="0" w:space="0" w:color="auto"/>
                  </w:divBdr>
                  <w:divsChild>
                    <w:div w:id="577640675">
                      <w:marLeft w:val="0"/>
                      <w:marRight w:val="240"/>
                      <w:marTop w:val="0"/>
                      <w:marBottom w:val="0"/>
                      <w:divBdr>
                        <w:top w:val="none" w:sz="0" w:space="0" w:color="auto"/>
                        <w:left w:val="none" w:sz="0" w:space="0" w:color="auto"/>
                        <w:bottom w:val="none" w:sz="0" w:space="0" w:color="auto"/>
                        <w:right w:val="none" w:sz="0" w:space="0" w:color="auto"/>
                      </w:divBdr>
                      <w:divsChild>
                        <w:div w:id="865947951">
                          <w:marLeft w:val="0"/>
                          <w:marRight w:val="90"/>
                          <w:marTop w:val="0"/>
                          <w:marBottom w:val="0"/>
                          <w:divBdr>
                            <w:top w:val="none" w:sz="0" w:space="0" w:color="auto"/>
                            <w:left w:val="none" w:sz="0" w:space="0" w:color="auto"/>
                            <w:bottom w:val="none" w:sz="0" w:space="0" w:color="auto"/>
                            <w:right w:val="none" w:sz="0" w:space="0" w:color="auto"/>
                          </w:divBdr>
                        </w:div>
                        <w:div w:id="289944310">
                          <w:marLeft w:val="0"/>
                          <w:marRight w:val="90"/>
                          <w:marTop w:val="0"/>
                          <w:marBottom w:val="0"/>
                          <w:divBdr>
                            <w:top w:val="none" w:sz="0" w:space="0" w:color="auto"/>
                            <w:left w:val="none" w:sz="0" w:space="0" w:color="auto"/>
                            <w:bottom w:val="none" w:sz="0" w:space="0" w:color="auto"/>
                            <w:right w:val="none" w:sz="0" w:space="0" w:color="auto"/>
                          </w:divBdr>
                        </w:div>
                        <w:div w:id="53500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03900">
          <w:marLeft w:val="-225"/>
          <w:marRight w:val="-225"/>
          <w:marTop w:val="0"/>
          <w:marBottom w:val="0"/>
          <w:divBdr>
            <w:top w:val="none" w:sz="0" w:space="0" w:color="auto"/>
            <w:left w:val="none" w:sz="0" w:space="0" w:color="auto"/>
            <w:bottom w:val="none" w:sz="0" w:space="0" w:color="auto"/>
            <w:right w:val="none" w:sz="0" w:space="0" w:color="auto"/>
          </w:divBdr>
          <w:divsChild>
            <w:div w:id="1612938009">
              <w:marLeft w:val="0"/>
              <w:marRight w:val="0"/>
              <w:marTop w:val="0"/>
              <w:marBottom w:val="0"/>
              <w:divBdr>
                <w:top w:val="none" w:sz="0" w:space="0" w:color="auto"/>
                <w:left w:val="none" w:sz="0" w:space="0" w:color="auto"/>
                <w:bottom w:val="none" w:sz="0" w:space="0" w:color="auto"/>
                <w:right w:val="none" w:sz="0" w:space="0" w:color="auto"/>
              </w:divBdr>
              <w:divsChild>
                <w:div w:id="1575041968">
                  <w:marLeft w:val="0"/>
                  <w:marRight w:val="0"/>
                  <w:marTop w:val="0"/>
                  <w:marBottom w:val="0"/>
                  <w:divBdr>
                    <w:top w:val="none" w:sz="0" w:space="0" w:color="auto"/>
                    <w:left w:val="none" w:sz="0" w:space="0" w:color="auto"/>
                    <w:bottom w:val="none" w:sz="0" w:space="0" w:color="auto"/>
                    <w:right w:val="none" w:sz="0" w:space="0" w:color="auto"/>
                  </w:divBdr>
                  <w:divsChild>
                    <w:div w:id="514927772">
                      <w:marLeft w:val="0"/>
                      <w:marRight w:val="0"/>
                      <w:marTop w:val="0"/>
                      <w:marBottom w:val="450"/>
                      <w:divBdr>
                        <w:top w:val="none" w:sz="0" w:space="0" w:color="auto"/>
                        <w:left w:val="none" w:sz="0" w:space="0" w:color="auto"/>
                        <w:bottom w:val="none" w:sz="0" w:space="0" w:color="auto"/>
                        <w:right w:val="none" w:sz="0" w:space="0" w:color="auto"/>
                      </w:divBdr>
                      <w:divsChild>
                        <w:div w:id="1732999411">
                          <w:marLeft w:val="0"/>
                          <w:marRight w:val="0"/>
                          <w:marTop w:val="0"/>
                          <w:marBottom w:val="0"/>
                          <w:divBdr>
                            <w:top w:val="none" w:sz="0" w:space="0" w:color="auto"/>
                            <w:left w:val="none" w:sz="0" w:space="0" w:color="auto"/>
                            <w:bottom w:val="none" w:sz="0" w:space="0" w:color="auto"/>
                            <w:right w:val="none" w:sz="0" w:space="0" w:color="auto"/>
                          </w:divBdr>
                          <w:divsChild>
                            <w:div w:id="23975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9985">
                      <w:marLeft w:val="0"/>
                      <w:marRight w:val="0"/>
                      <w:marTop w:val="0"/>
                      <w:marBottom w:val="450"/>
                      <w:divBdr>
                        <w:top w:val="none" w:sz="0" w:space="0" w:color="auto"/>
                        <w:left w:val="none" w:sz="0" w:space="0" w:color="auto"/>
                        <w:bottom w:val="none" w:sz="0" w:space="0" w:color="auto"/>
                        <w:right w:val="none" w:sz="0" w:space="0" w:color="auto"/>
                      </w:divBdr>
                      <w:divsChild>
                        <w:div w:id="1807508650">
                          <w:marLeft w:val="1350"/>
                          <w:marRight w:val="0"/>
                          <w:marTop w:val="0"/>
                          <w:marBottom w:val="0"/>
                          <w:divBdr>
                            <w:top w:val="none" w:sz="0" w:space="0" w:color="auto"/>
                            <w:left w:val="none" w:sz="0" w:space="0" w:color="auto"/>
                            <w:bottom w:val="none" w:sz="0" w:space="0" w:color="auto"/>
                            <w:right w:val="none" w:sz="0" w:space="0" w:color="auto"/>
                          </w:divBdr>
                          <w:divsChild>
                            <w:div w:id="687829610">
                              <w:marLeft w:val="0"/>
                              <w:marRight w:val="0"/>
                              <w:marTop w:val="0"/>
                              <w:marBottom w:val="0"/>
                              <w:divBdr>
                                <w:top w:val="none" w:sz="0" w:space="0" w:color="auto"/>
                                <w:left w:val="none" w:sz="0" w:space="0" w:color="auto"/>
                                <w:bottom w:val="none" w:sz="0" w:space="0" w:color="auto"/>
                                <w:right w:val="none" w:sz="0" w:space="0" w:color="auto"/>
                              </w:divBdr>
                              <w:divsChild>
                                <w:div w:id="1653559036">
                                  <w:marLeft w:val="0"/>
                                  <w:marRight w:val="0"/>
                                  <w:marTop w:val="0"/>
                                  <w:marBottom w:val="0"/>
                                  <w:divBdr>
                                    <w:top w:val="none" w:sz="0" w:space="0" w:color="auto"/>
                                    <w:left w:val="none" w:sz="0" w:space="0" w:color="auto"/>
                                    <w:bottom w:val="none" w:sz="0" w:space="0" w:color="auto"/>
                                    <w:right w:val="none" w:sz="0" w:space="0" w:color="auto"/>
                                  </w:divBdr>
                                </w:div>
                                <w:div w:id="1763600521">
                                  <w:marLeft w:val="0"/>
                                  <w:marRight w:val="0"/>
                                  <w:marTop w:val="0"/>
                                  <w:marBottom w:val="0"/>
                                  <w:divBdr>
                                    <w:top w:val="none" w:sz="0" w:space="0" w:color="auto"/>
                                    <w:left w:val="none" w:sz="0" w:space="0" w:color="auto"/>
                                    <w:bottom w:val="none" w:sz="0" w:space="0" w:color="auto"/>
                                    <w:right w:val="none" w:sz="0" w:space="0" w:color="auto"/>
                                  </w:divBdr>
                                  <w:divsChild>
                                    <w:div w:id="821237657">
                                      <w:marLeft w:val="0"/>
                                      <w:marRight w:val="0"/>
                                      <w:marTop w:val="0"/>
                                      <w:marBottom w:val="0"/>
                                      <w:divBdr>
                                        <w:top w:val="none" w:sz="0" w:space="0" w:color="auto"/>
                                        <w:left w:val="none" w:sz="0" w:space="0" w:color="auto"/>
                                        <w:bottom w:val="none" w:sz="0" w:space="0" w:color="auto"/>
                                        <w:right w:val="none" w:sz="0" w:space="0" w:color="auto"/>
                                      </w:divBdr>
                                      <w:divsChild>
                                        <w:div w:id="1690643464">
                                          <w:marLeft w:val="0"/>
                                          <w:marRight w:val="0"/>
                                          <w:marTop w:val="0"/>
                                          <w:marBottom w:val="300"/>
                                          <w:divBdr>
                                            <w:top w:val="none" w:sz="0" w:space="0" w:color="auto"/>
                                            <w:left w:val="none" w:sz="0" w:space="0" w:color="auto"/>
                                            <w:bottom w:val="none" w:sz="0" w:space="0" w:color="auto"/>
                                            <w:right w:val="none" w:sz="0" w:space="0" w:color="auto"/>
                                          </w:divBdr>
                                          <w:divsChild>
                                            <w:div w:id="1092553728">
                                              <w:marLeft w:val="0"/>
                                              <w:marRight w:val="0"/>
                                              <w:marTop w:val="0"/>
                                              <w:marBottom w:val="225"/>
                                              <w:divBdr>
                                                <w:top w:val="none" w:sz="0" w:space="0" w:color="auto"/>
                                                <w:left w:val="none" w:sz="0" w:space="0" w:color="auto"/>
                                                <w:bottom w:val="none" w:sz="0" w:space="0" w:color="auto"/>
                                                <w:right w:val="none" w:sz="0" w:space="0" w:color="auto"/>
                                              </w:divBdr>
                                            </w:div>
                                            <w:div w:id="435102902">
                                              <w:marLeft w:val="0"/>
                                              <w:marRight w:val="0"/>
                                              <w:marTop w:val="0"/>
                                              <w:marBottom w:val="0"/>
                                              <w:divBdr>
                                                <w:top w:val="none" w:sz="0" w:space="0" w:color="auto"/>
                                                <w:left w:val="none" w:sz="0" w:space="0" w:color="auto"/>
                                                <w:bottom w:val="none" w:sz="0" w:space="0" w:color="auto"/>
                                                <w:right w:val="none" w:sz="0" w:space="0" w:color="auto"/>
                                              </w:divBdr>
                                              <w:divsChild>
                                                <w:div w:id="771899877">
                                                  <w:marLeft w:val="0"/>
                                                  <w:marRight w:val="0"/>
                                                  <w:marTop w:val="0"/>
                                                  <w:marBottom w:val="0"/>
                                                  <w:divBdr>
                                                    <w:top w:val="none" w:sz="0" w:space="0" w:color="auto"/>
                                                    <w:left w:val="none" w:sz="0" w:space="0" w:color="auto"/>
                                                    <w:bottom w:val="none" w:sz="0" w:space="0" w:color="auto"/>
                                                    <w:right w:val="none" w:sz="0" w:space="0" w:color="auto"/>
                                                  </w:divBdr>
                                                  <w:divsChild>
                                                    <w:div w:id="652294629">
                                                      <w:marLeft w:val="0"/>
                                                      <w:marRight w:val="0"/>
                                                      <w:marTop w:val="0"/>
                                                      <w:marBottom w:val="0"/>
                                                      <w:divBdr>
                                                        <w:top w:val="none" w:sz="0" w:space="0" w:color="auto"/>
                                                        <w:left w:val="none" w:sz="0" w:space="0" w:color="auto"/>
                                                        <w:bottom w:val="none" w:sz="0" w:space="0" w:color="auto"/>
                                                        <w:right w:val="none" w:sz="0" w:space="0" w:color="auto"/>
                                                      </w:divBdr>
                                                      <w:divsChild>
                                                        <w:div w:id="1978872839">
                                                          <w:marLeft w:val="0"/>
                                                          <w:marRight w:val="0"/>
                                                          <w:marTop w:val="0"/>
                                                          <w:marBottom w:val="0"/>
                                                          <w:divBdr>
                                                            <w:top w:val="none" w:sz="0" w:space="0" w:color="auto"/>
                                                            <w:left w:val="none" w:sz="0" w:space="0" w:color="auto"/>
                                                            <w:bottom w:val="none" w:sz="0" w:space="0" w:color="auto"/>
                                                            <w:right w:val="none" w:sz="0" w:space="0" w:color="auto"/>
                                                          </w:divBdr>
                                                        </w:div>
                                                        <w:div w:id="2186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952218">
                                  <w:blockQuote w:val="1"/>
                                  <w:marLeft w:val="0"/>
                                  <w:marRight w:val="0"/>
                                  <w:marTop w:val="300"/>
                                  <w:marBottom w:val="300"/>
                                  <w:divBdr>
                                    <w:top w:val="none" w:sz="0" w:space="0" w:color="auto"/>
                                    <w:left w:val="none" w:sz="0" w:space="0" w:color="auto"/>
                                    <w:bottom w:val="none" w:sz="0" w:space="0" w:color="auto"/>
                                    <w:right w:val="none" w:sz="0" w:space="0" w:color="auto"/>
                                  </w:divBdr>
                                </w:div>
                                <w:div w:id="1534340124">
                                  <w:marLeft w:val="0"/>
                                  <w:marRight w:val="0"/>
                                  <w:marTop w:val="240"/>
                                  <w:marBottom w:val="240"/>
                                  <w:divBdr>
                                    <w:top w:val="single" w:sz="6" w:space="6" w:color="BCE8F1"/>
                                    <w:left w:val="single" w:sz="6" w:space="12" w:color="BCE8F1"/>
                                    <w:bottom w:val="single" w:sz="6" w:space="6" w:color="BCE8F1"/>
                                    <w:right w:val="single" w:sz="6" w:space="12" w:color="BCE8F1"/>
                                  </w:divBdr>
                                </w:div>
                                <w:div w:id="1367100766">
                                  <w:marLeft w:val="0"/>
                                  <w:marRight w:val="0"/>
                                  <w:marTop w:val="0"/>
                                  <w:marBottom w:val="0"/>
                                  <w:divBdr>
                                    <w:top w:val="none" w:sz="0" w:space="0" w:color="auto"/>
                                    <w:left w:val="none" w:sz="0" w:space="0" w:color="auto"/>
                                    <w:bottom w:val="none" w:sz="0" w:space="0" w:color="auto"/>
                                    <w:right w:val="none" w:sz="0" w:space="0" w:color="auto"/>
                                  </w:divBdr>
                                </w:div>
                                <w:div w:id="788664686">
                                  <w:marLeft w:val="0"/>
                                  <w:marRight w:val="0"/>
                                  <w:marTop w:val="0"/>
                                  <w:marBottom w:val="0"/>
                                  <w:divBdr>
                                    <w:top w:val="none" w:sz="0" w:space="0" w:color="auto"/>
                                    <w:left w:val="none" w:sz="0" w:space="0" w:color="auto"/>
                                    <w:bottom w:val="none" w:sz="0" w:space="0" w:color="auto"/>
                                    <w:right w:val="none" w:sz="0" w:space="0" w:color="auto"/>
                                  </w:divBdr>
                                  <w:divsChild>
                                    <w:div w:id="22361667">
                                      <w:marLeft w:val="0"/>
                                      <w:marRight w:val="0"/>
                                      <w:marTop w:val="0"/>
                                      <w:marBottom w:val="0"/>
                                      <w:divBdr>
                                        <w:top w:val="none" w:sz="0" w:space="0" w:color="auto"/>
                                        <w:left w:val="none" w:sz="0" w:space="0" w:color="auto"/>
                                        <w:bottom w:val="none" w:sz="0" w:space="0" w:color="auto"/>
                                        <w:right w:val="none" w:sz="0" w:space="0" w:color="auto"/>
                                      </w:divBdr>
                                      <w:divsChild>
                                        <w:div w:id="625041381">
                                          <w:marLeft w:val="0"/>
                                          <w:marRight w:val="0"/>
                                          <w:marTop w:val="0"/>
                                          <w:marBottom w:val="0"/>
                                          <w:divBdr>
                                            <w:top w:val="none" w:sz="0" w:space="0" w:color="auto"/>
                                            <w:left w:val="none" w:sz="0" w:space="0" w:color="auto"/>
                                            <w:bottom w:val="none" w:sz="0" w:space="0" w:color="auto"/>
                                            <w:right w:val="none" w:sz="0" w:space="0" w:color="auto"/>
                                          </w:divBdr>
                                          <w:divsChild>
                                            <w:div w:id="719868264">
                                              <w:marLeft w:val="0"/>
                                              <w:marRight w:val="0"/>
                                              <w:marTop w:val="0"/>
                                              <w:marBottom w:val="0"/>
                                              <w:divBdr>
                                                <w:top w:val="none" w:sz="0" w:space="0" w:color="auto"/>
                                                <w:left w:val="none" w:sz="0" w:space="0" w:color="auto"/>
                                                <w:bottom w:val="none" w:sz="0" w:space="0" w:color="auto"/>
                                                <w:right w:val="none" w:sz="0" w:space="0" w:color="auto"/>
                                              </w:divBdr>
                                              <w:divsChild>
                                                <w:div w:id="675496222">
                                                  <w:marLeft w:val="0"/>
                                                  <w:marRight w:val="0"/>
                                                  <w:marTop w:val="0"/>
                                                  <w:marBottom w:val="0"/>
                                                  <w:divBdr>
                                                    <w:top w:val="none" w:sz="0" w:space="0" w:color="auto"/>
                                                    <w:left w:val="none" w:sz="0" w:space="0" w:color="auto"/>
                                                    <w:bottom w:val="none" w:sz="0" w:space="0" w:color="auto"/>
                                                    <w:right w:val="none" w:sz="0" w:space="0" w:color="auto"/>
                                                  </w:divBdr>
                                                  <w:divsChild>
                                                    <w:div w:id="8437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291559">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fety4sea.com/wp-content/uploads/2024/10/environmental-index-esp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safety4sea.com/wp-content/uploads/2024/10/shutterstock_2117290253.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fety4sea.com/wp-content/uploads/2024/10/ESPO-Environmental-Report-2024-_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2024-10-26T09:36:00Z</dcterms:created>
  <dcterms:modified xsi:type="dcterms:W3CDTF">2024-10-26T10:11:00Z</dcterms:modified>
</cp:coreProperties>
</file>