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894" w:rsidRPr="001F1894" w:rsidRDefault="001F1894" w:rsidP="001F1894">
      <w:pPr>
        <w:spacing w:after="105" w:line="240" w:lineRule="auto"/>
        <w:jc w:val="center"/>
        <w:outlineLvl w:val="0"/>
        <w:rPr>
          <w:rFonts w:ascii="Merriweather Sans" w:eastAsia="Times New Roman" w:hAnsi="Merriweather Sans" w:cs="Times New Roman"/>
          <w:b/>
          <w:color w:val="000000"/>
          <w:kern w:val="36"/>
          <w:sz w:val="40"/>
          <w:szCs w:val="40"/>
        </w:rPr>
      </w:pPr>
      <w:r w:rsidRPr="001F1894">
        <w:rPr>
          <w:rFonts w:ascii="Merriweather Sans" w:eastAsia="Times New Roman" w:hAnsi="Merriweather Sans" w:cs="Times New Roman"/>
          <w:b/>
          <w:color w:val="000000"/>
          <w:kern w:val="36"/>
          <w:sz w:val="40"/>
          <w:szCs w:val="40"/>
        </w:rPr>
        <w:t>Hiểu về ESG: Môi trường, Xã hội và Quản trị</w:t>
      </w:r>
      <w:r>
        <w:rPr>
          <w:rFonts w:ascii="Merriweather Sans" w:eastAsia="Times New Roman" w:hAnsi="Merriweather Sans" w:cs="Times New Roman"/>
          <w:b/>
          <w:color w:val="000000"/>
          <w:kern w:val="36"/>
          <w:sz w:val="40"/>
          <w:szCs w:val="40"/>
        </w:rPr>
        <w:t xml:space="preserve"> (</w:t>
      </w:r>
      <w:r w:rsidRPr="001F1894">
        <w:rPr>
          <w:rFonts w:ascii="Merriweather Sans" w:eastAsia="Times New Roman" w:hAnsi="Merriweather Sans" w:cs="Times New Roman"/>
          <w:b/>
          <w:color w:val="000000"/>
          <w:kern w:val="36"/>
          <w:sz w:val="40"/>
          <w:szCs w:val="40"/>
        </w:rPr>
        <w:t>Environmental, Social, and Governance</w:t>
      </w:r>
      <w:r>
        <w:rPr>
          <w:rFonts w:ascii="Merriweather Sans" w:eastAsia="Times New Roman" w:hAnsi="Merriweather Sans" w:cs="Times New Roman"/>
          <w:b/>
          <w:color w:val="000000"/>
          <w:kern w:val="36"/>
          <w:sz w:val="40"/>
          <w:szCs w:val="40"/>
        </w:rPr>
        <w:t>)</w:t>
      </w:r>
    </w:p>
    <w:p w:rsidR="001F1894" w:rsidRPr="001F1894" w:rsidRDefault="001F1894" w:rsidP="001F1894">
      <w:pPr>
        <w:spacing w:before="120" w:after="120" w:line="240" w:lineRule="auto"/>
        <w:jc w:val="right"/>
        <w:rPr>
          <w:rFonts w:ascii="Merriweather Sans" w:eastAsia="Times New Roman" w:hAnsi="Merriweather Sans" w:cs="Times New Roman"/>
          <w:color w:val="0070C0"/>
          <w:sz w:val="24"/>
          <w:szCs w:val="24"/>
        </w:rPr>
      </w:pPr>
      <w:r w:rsidRPr="001F1894">
        <w:rPr>
          <w:rFonts w:ascii="Merriweather Sans" w:eastAsia="Times New Roman" w:hAnsi="Merriweather Sans" w:cs="Times New Roman"/>
          <w:color w:val="0070C0"/>
          <w:sz w:val="24"/>
          <w:szCs w:val="24"/>
        </w:rPr>
        <w:t>Theo  </w:t>
      </w:r>
      <w:hyperlink r:id="rId5" w:history="1">
        <w:r w:rsidRPr="001F1894">
          <w:rPr>
            <w:rFonts w:ascii="Merriweather Sans" w:eastAsia="Times New Roman" w:hAnsi="Merriweather Sans" w:cs="Times New Roman"/>
            <w:b/>
            <w:bCs/>
            <w:color w:val="0070C0"/>
            <w:sz w:val="24"/>
            <w:szCs w:val="24"/>
          </w:rPr>
          <w:t>maritimecyprus</w:t>
        </w:r>
      </w:hyperlink>
    </w:p>
    <w:p w:rsidR="001F1894" w:rsidRPr="001F1894" w:rsidRDefault="001F1894" w:rsidP="001F1894">
      <w:pPr>
        <w:spacing w:after="0" w:line="240" w:lineRule="auto"/>
        <w:rPr>
          <w:rFonts w:ascii="Merriweather Sans" w:eastAsia="Times New Roman" w:hAnsi="Merriweather Sans" w:cs="Times New Roman"/>
          <w:color w:val="222222"/>
          <w:sz w:val="23"/>
          <w:szCs w:val="23"/>
        </w:rPr>
      </w:pPr>
      <w:r w:rsidRPr="001F1894">
        <w:rPr>
          <w:rFonts w:ascii="Merriweather Sans" w:eastAsia="Times New Roman" w:hAnsi="Merriweather Sans" w:cs="Times New Roman"/>
          <w:noProof/>
          <w:color w:val="222222"/>
          <w:sz w:val="23"/>
          <w:szCs w:val="23"/>
        </w:rPr>
        <w:drawing>
          <wp:inline distT="0" distB="0" distL="0" distR="0">
            <wp:extent cx="6141720" cy="3515605"/>
            <wp:effectExtent l="0" t="0" r="0" b="8890"/>
            <wp:docPr id="5" name="Picture 5" descr="https://maritimecyprus.com/wp-content/uploads/2024/09/ESG-p-696x3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4/09/ESG-p-696x39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49952" cy="3520317"/>
                    </a:xfrm>
                    <a:prstGeom prst="rect">
                      <a:avLst/>
                    </a:prstGeom>
                    <a:noFill/>
                    <a:ln>
                      <a:noFill/>
                    </a:ln>
                  </pic:spPr>
                </pic:pic>
              </a:graphicData>
            </a:graphic>
          </wp:inline>
        </w:drawing>
      </w:r>
    </w:p>
    <w:p w:rsidR="001F1894" w:rsidRPr="001F1894" w:rsidRDefault="001F1894" w:rsidP="001F1894">
      <w:pPr>
        <w:spacing w:before="120" w:after="120" w:line="240" w:lineRule="auto"/>
        <w:jc w:val="right"/>
        <w:rPr>
          <w:rFonts w:ascii="Arial" w:eastAsia="Times New Roman" w:hAnsi="Arial" w:cs="Arial"/>
          <w:sz w:val="24"/>
          <w:szCs w:val="24"/>
        </w:rPr>
      </w:pPr>
      <w:r w:rsidRPr="001F1894">
        <w:rPr>
          <w:rFonts w:ascii="Arial" w:eastAsia="Times New Roman" w:hAnsi="Arial" w:cs="Arial"/>
          <w:sz w:val="24"/>
          <w:szCs w:val="24"/>
        </w:rPr>
        <w:t xml:space="preserve">Môi trường, Xã hội và Quản trị (ESG) không chỉ là một thuật ngữ thông dụng trong giới doanh nghiệp ngày nay. Nó đại diện cho một tập hợp các tiêu chí mà các công ty và nhà đầu tư sử dụng để đánh giá tác động về mặt đạo đức và tính bền vững của doanh nghiệp. Khi xã hội ngày càng đòi hỏi trách nhiệm giải trình cao hơn từ các tập đoàn, các số </w:t>
      </w:r>
      <w:r w:rsidRPr="001F1894">
        <w:rPr>
          <w:rFonts w:ascii="Arial" w:eastAsia="Times New Roman" w:hAnsi="Arial" w:cs="Arial"/>
          <w:sz w:val="24"/>
          <w:szCs w:val="24"/>
        </w:rPr>
        <w:t>đo</w:t>
      </w:r>
      <w:r w:rsidRPr="001F1894">
        <w:rPr>
          <w:rFonts w:ascii="Arial" w:eastAsia="Times New Roman" w:hAnsi="Arial" w:cs="Arial"/>
          <w:sz w:val="24"/>
          <w:szCs w:val="24"/>
        </w:rPr>
        <w:t xml:space="preserve"> ESG đang trở thành một phần quan trọng trong quá trình ra quyết định của các nhà đầu tư, cơ quan quản lý và doanh nghiệp.</w:t>
      </w:r>
    </w:p>
    <w:p w:rsidR="001F1894" w:rsidRPr="001F1894" w:rsidRDefault="001F1894" w:rsidP="001F1894">
      <w:pPr>
        <w:spacing w:before="120" w:after="120" w:line="240" w:lineRule="auto"/>
        <w:jc w:val="both"/>
        <w:rPr>
          <w:rFonts w:ascii="Times New Roman" w:eastAsia="Times New Roman" w:hAnsi="Times New Roman" w:cs="Times New Roman"/>
          <w:b/>
          <w:sz w:val="26"/>
          <w:szCs w:val="26"/>
        </w:rPr>
      </w:pPr>
      <w:r w:rsidRPr="001F1894">
        <w:rPr>
          <w:rFonts w:ascii="Times New Roman" w:eastAsia="Times New Roman" w:hAnsi="Times New Roman" w:cs="Times New Roman"/>
          <w:b/>
          <w:sz w:val="26"/>
          <w:szCs w:val="26"/>
        </w:rPr>
        <w:t>ESG là gì?</w:t>
      </w:r>
    </w:p>
    <w:p w:rsidR="001F1894" w:rsidRPr="001F1894" w:rsidRDefault="001F1894" w:rsidP="001F1894">
      <w:pPr>
        <w:spacing w:before="120" w:after="120" w:line="240" w:lineRule="auto"/>
        <w:jc w:val="both"/>
        <w:rPr>
          <w:rFonts w:ascii="Times New Roman" w:eastAsia="Times New Roman" w:hAnsi="Times New Roman" w:cs="Times New Roman"/>
          <w:sz w:val="26"/>
          <w:szCs w:val="26"/>
        </w:rPr>
      </w:pPr>
      <w:r w:rsidRPr="001F1894">
        <w:rPr>
          <w:rFonts w:ascii="Times New Roman" w:eastAsia="Times New Roman" w:hAnsi="Times New Roman" w:cs="Times New Roman"/>
          <w:sz w:val="26"/>
          <w:szCs w:val="26"/>
        </w:rPr>
        <w:t xml:space="preserve">ESG là một </w:t>
      </w:r>
      <w:r>
        <w:rPr>
          <w:rFonts w:ascii="Times New Roman" w:eastAsia="Times New Roman" w:hAnsi="Times New Roman" w:cs="Times New Roman"/>
          <w:sz w:val="26"/>
          <w:szCs w:val="26"/>
        </w:rPr>
        <w:t>cách tiếp cận</w:t>
      </w:r>
      <w:r w:rsidRPr="001F1894">
        <w:rPr>
          <w:rFonts w:ascii="Times New Roman" w:eastAsia="Times New Roman" w:hAnsi="Times New Roman" w:cs="Times New Roman"/>
          <w:sz w:val="26"/>
          <w:szCs w:val="26"/>
        </w:rPr>
        <w:t xml:space="preserve"> đầu tư</w:t>
      </w:r>
      <w:r>
        <w:rPr>
          <w:rFonts w:ascii="Times New Roman" w:eastAsia="Times New Roman" w:hAnsi="Times New Roman" w:cs="Times New Roman"/>
          <w:sz w:val="26"/>
          <w:szCs w:val="26"/>
        </w:rPr>
        <w:t>, nó</w:t>
      </w:r>
      <w:r w:rsidRPr="001F1894">
        <w:rPr>
          <w:rFonts w:ascii="Times New Roman" w:eastAsia="Times New Roman" w:hAnsi="Times New Roman" w:cs="Times New Roman"/>
          <w:sz w:val="26"/>
          <w:szCs w:val="26"/>
        </w:rPr>
        <w:t xml:space="preserve"> tập trung vào ba lĩnh vực chính:</w:t>
      </w:r>
    </w:p>
    <w:p w:rsidR="001F1894" w:rsidRPr="001F1894" w:rsidRDefault="001F1894" w:rsidP="001F1894">
      <w:pPr>
        <w:pStyle w:val="ListParagraph"/>
        <w:numPr>
          <w:ilvl w:val="0"/>
          <w:numId w:val="6"/>
        </w:numPr>
        <w:spacing w:before="120" w:after="120" w:line="240" w:lineRule="auto"/>
        <w:jc w:val="both"/>
        <w:rPr>
          <w:rFonts w:ascii="Times New Roman" w:eastAsia="Times New Roman" w:hAnsi="Times New Roman" w:cs="Times New Roman"/>
          <w:sz w:val="26"/>
          <w:szCs w:val="26"/>
        </w:rPr>
      </w:pPr>
      <w:r w:rsidRPr="001F1894">
        <w:rPr>
          <w:rFonts w:ascii="Times New Roman" w:eastAsia="Times New Roman" w:hAnsi="Times New Roman" w:cs="Times New Roman"/>
          <w:b/>
          <w:sz w:val="26"/>
          <w:szCs w:val="26"/>
        </w:rPr>
        <w:t>Môi trường:</w:t>
      </w:r>
      <w:r w:rsidRPr="001F1894">
        <w:rPr>
          <w:rFonts w:ascii="Times New Roman" w:eastAsia="Times New Roman" w:hAnsi="Times New Roman" w:cs="Times New Roman"/>
          <w:sz w:val="26"/>
          <w:szCs w:val="26"/>
        </w:rPr>
        <w:t xml:space="preserve"> Khía cạnh này đánh giá cách hoạt động của công ty tác động đến môi trường</w:t>
      </w:r>
      <w:r>
        <w:rPr>
          <w:rFonts w:ascii="Times New Roman" w:eastAsia="Times New Roman" w:hAnsi="Times New Roman" w:cs="Times New Roman"/>
          <w:sz w:val="26"/>
          <w:szCs w:val="26"/>
        </w:rPr>
        <w:t xml:space="preserve"> như thế nào</w:t>
      </w:r>
      <w:r w:rsidRPr="001F1894">
        <w:rPr>
          <w:rFonts w:ascii="Times New Roman" w:eastAsia="Times New Roman" w:hAnsi="Times New Roman" w:cs="Times New Roman"/>
          <w:sz w:val="26"/>
          <w:szCs w:val="26"/>
        </w:rPr>
        <w:t xml:space="preserve">. Các yếu tố như </w:t>
      </w:r>
      <w:r>
        <w:rPr>
          <w:rFonts w:ascii="Times New Roman" w:eastAsia="Times New Roman" w:hAnsi="Times New Roman" w:cs="Times New Roman"/>
          <w:sz w:val="26"/>
          <w:szCs w:val="26"/>
        </w:rPr>
        <w:t xml:space="preserve">lượng </w:t>
      </w:r>
      <w:r w:rsidRPr="001F1894">
        <w:rPr>
          <w:rFonts w:ascii="Times New Roman" w:eastAsia="Times New Roman" w:hAnsi="Times New Roman" w:cs="Times New Roman"/>
          <w:sz w:val="26"/>
          <w:szCs w:val="26"/>
        </w:rPr>
        <w:t xml:space="preserve">khí thải carbon, quản lý chất thải, hiệu quả năng lượng và việc sử dụng các nguồn tài nguyên tái tạo nằm trong danh mục này. </w:t>
      </w:r>
      <w:r>
        <w:rPr>
          <w:rFonts w:ascii="Times New Roman" w:eastAsia="Times New Roman" w:hAnsi="Times New Roman" w:cs="Times New Roman"/>
          <w:sz w:val="26"/>
          <w:szCs w:val="26"/>
        </w:rPr>
        <w:t>Những</w:t>
      </w:r>
      <w:r w:rsidRPr="001F1894">
        <w:rPr>
          <w:rFonts w:ascii="Times New Roman" w:eastAsia="Times New Roman" w:hAnsi="Times New Roman" w:cs="Times New Roman"/>
          <w:sz w:val="26"/>
          <w:szCs w:val="26"/>
        </w:rPr>
        <w:t xml:space="preserve"> công ty thực hiện các biện phá</w:t>
      </w:r>
      <w:r>
        <w:rPr>
          <w:rFonts w:ascii="Times New Roman" w:eastAsia="Times New Roman" w:hAnsi="Times New Roman" w:cs="Times New Roman"/>
          <w:sz w:val="26"/>
          <w:szCs w:val="26"/>
        </w:rPr>
        <w:t>p chủ động để giảm thiểu ảnh hưởng đến</w:t>
      </w:r>
      <w:r w:rsidRPr="001F1894">
        <w:rPr>
          <w:rFonts w:ascii="Times New Roman" w:eastAsia="Times New Roman" w:hAnsi="Times New Roman" w:cs="Times New Roman"/>
          <w:sz w:val="26"/>
          <w:szCs w:val="26"/>
        </w:rPr>
        <w:t>n môi trường thường được coi là bền vững hơn.</w:t>
      </w:r>
    </w:p>
    <w:p w:rsidR="001F1894" w:rsidRPr="001F1894" w:rsidRDefault="001F1894" w:rsidP="001F1894">
      <w:pPr>
        <w:pStyle w:val="ListParagraph"/>
        <w:numPr>
          <w:ilvl w:val="0"/>
          <w:numId w:val="6"/>
        </w:numPr>
        <w:spacing w:before="120" w:after="120" w:line="240" w:lineRule="auto"/>
        <w:jc w:val="both"/>
        <w:rPr>
          <w:rFonts w:ascii="Times New Roman" w:eastAsia="Times New Roman" w:hAnsi="Times New Roman" w:cs="Times New Roman"/>
          <w:sz w:val="26"/>
          <w:szCs w:val="26"/>
        </w:rPr>
      </w:pPr>
      <w:r w:rsidRPr="001F1894">
        <w:rPr>
          <w:rFonts w:ascii="Times New Roman" w:eastAsia="Times New Roman" w:hAnsi="Times New Roman" w:cs="Times New Roman"/>
          <w:b/>
          <w:sz w:val="26"/>
          <w:szCs w:val="26"/>
        </w:rPr>
        <w:t>Xã hội:</w:t>
      </w:r>
      <w:r w:rsidRPr="001F1894">
        <w:rPr>
          <w:rFonts w:ascii="Times New Roman" w:eastAsia="Times New Roman" w:hAnsi="Times New Roman" w:cs="Times New Roman"/>
          <w:sz w:val="26"/>
          <w:szCs w:val="26"/>
        </w:rPr>
        <w:t xml:space="preserve"> Khía cạnh xã hội đánh giá cách một công ty quản lý mối quan hệ với </w:t>
      </w:r>
      <w:r w:rsidR="009B61DA">
        <w:rPr>
          <w:rFonts w:ascii="Times New Roman" w:eastAsia="Times New Roman" w:hAnsi="Times New Roman" w:cs="Times New Roman"/>
          <w:sz w:val="26"/>
          <w:szCs w:val="26"/>
        </w:rPr>
        <w:t xml:space="preserve">các </w:t>
      </w:r>
      <w:r w:rsidRPr="001F1894">
        <w:rPr>
          <w:rFonts w:ascii="Times New Roman" w:eastAsia="Times New Roman" w:hAnsi="Times New Roman" w:cs="Times New Roman"/>
          <w:sz w:val="26"/>
          <w:szCs w:val="26"/>
        </w:rPr>
        <w:t xml:space="preserve">nhân viên, nhà cung cấp, khách hàng và </w:t>
      </w:r>
      <w:r w:rsidR="009B61DA">
        <w:rPr>
          <w:rFonts w:ascii="Times New Roman" w:eastAsia="Times New Roman" w:hAnsi="Times New Roman" w:cs="Times New Roman"/>
          <w:sz w:val="26"/>
          <w:szCs w:val="26"/>
        </w:rPr>
        <w:t xml:space="preserve">với </w:t>
      </w:r>
      <w:r w:rsidRPr="001F1894">
        <w:rPr>
          <w:rFonts w:ascii="Times New Roman" w:eastAsia="Times New Roman" w:hAnsi="Times New Roman" w:cs="Times New Roman"/>
          <w:sz w:val="26"/>
          <w:szCs w:val="26"/>
        </w:rPr>
        <w:t xml:space="preserve">cộng đồng nơi công ty hoạt động. Các vấn đề như </w:t>
      </w:r>
      <w:r w:rsidR="009B61DA">
        <w:rPr>
          <w:rFonts w:ascii="Times New Roman" w:eastAsia="Times New Roman" w:hAnsi="Times New Roman" w:cs="Times New Roman"/>
          <w:sz w:val="26"/>
          <w:szCs w:val="26"/>
        </w:rPr>
        <w:t>sử dụng</w:t>
      </w:r>
      <w:r w:rsidRPr="001F1894">
        <w:rPr>
          <w:rFonts w:ascii="Times New Roman" w:eastAsia="Times New Roman" w:hAnsi="Times New Roman" w:cs="Times New Roman"/>
          <w:sz w:val="26"/>
          <w:szCs w:val="26"/>
        </w:rPr>
        <w:t xml:space="preserve"> lao động, phúc lợi của nhân viên, sự đa dạng và hòa nhập, và quyền con người là trọng tâm của trụ cột này.</w:t>
      </w:r>
    </w:p>
    <w:p w:rsidR="001F1894" w:rsidRPr="001F1894" w:rsidRDefault="001F1894" w:rsidP="001F1894">
      <w:pPr>
        <w:pStyle w:val="ListParagraph"/>
        <w:numPr>
          <w:ilvl w:val="0"/>
          <w:numId w:val="6"/>
        </w:numPr>
        <w:spacing w:before="120" w:after="120" w:line="240" w:lineRule="auto"/>
        <w:jc w:val="both"/>
        <w:rPr>
          <w:rFonts w:ascii="Times New Roman" w:eastAsia="Times New Roman" w:hAnsi="Times New Roman" w:cs="Times New Roman"/>
          <w:sz w:val="26"/>
          <w:szCs w:val="26"/>
        </w:rPr>
      </w:pPr>
      <w:r w:rsidRPr="009B61DA">
        <w:rPr>
          <w:rFonts w:ascii="Times New Roman" w:eastAsia="Times New Roman" w:hAnsi="Times New Roman" w:cs="Times New Roman"/>
          <w:b/>
          <w:sz w:val="26"/>
          <w:szCs w:val="26"/>
        </w:rPr>
        <w:t>Quản trị</w:t>
      </w:r>
      <w:r w:rsidRPr="001F1894">
        <w:rPr>
          <w:rFonts w:ascii="Times New Roman" w:eastAsia="Times New Roman" w:hAnsi="Times New Roman" w:cs="Times New Roman"/>
          <w:sz w:val="26"/>
          <w:szCs w:val="26"/>
        </w:rPr>
        <w:t>: Quản trị tập trung vào ban lãnh đạo</w:t>
      </w:r>
      <w:r w:rsidR="009B61DA">
        <w:rPr>
          <w:rFonts w:ascii="Times New Roman" w:eastAsia="Times New Roman" w:hAnsi="Times New Roman" w:cs="Times New Roman"/>
          <w:sz w:val="26"/>
          <w:szCs w:val="26"/>
        </w:rPr>
        <w:t xml:space="preserve"> của công ty</w:t>
      </w:r>
      <w:r w:rsidRPr="001F1894">
        <w:rPr>
          <w:rFonts w:ascii="Times New Roman" w:eastAsia="Times New Roman" w:hAnsi="Times New Roman" w:cs="Times New Roman"/>
          <w:sz w:val="26"/>
          <w:szCs w:val="26"/>
        </w:rPr>
        <w:t xml:space="preserve">, tiền lương, kiểm soát nội bộ, quyền của cổ đông và các hoạt động kinh doanh có đạo đức của công ty. Quản trị tốt </w:t>
      </w:r>
      <w:r w:rsidRPr="001F1894">
        <w:rPr>
          <w:rFonts w:ascii="Times New Roman" w:eastAsia="Times New Roman" w:hAnsi="Times New Roman" w:cs="Times New Roman"/>
          <w:sz w:val="26"/>
          <w:szCs w:val="26"/>
        </w:rPr>
        <w:lastRenderedPageBreak/>
        <w:t>đảm bảo tính minh bạch, công bằng và trách nhiệm giải trình, tất cả đều xây dựng lòng tin và sự ổn định lâu dài.</w:t>
      </w:r>
    </w:p>
    <w:p w:rsidR="001F1894" w:rsidRPr="001F1894" w:rsidRDefault="001F1894" w:rsidP="001F1894">
      <w:pPr>
        <w:spacing w:before="120" w:after="120" w:line="240" w:lineRule="auto"/>
        <w:jc w:val="both"/>
        <w:rPr>
          <w:rFonts w:ascii="Times New Roman" w:eastAsia="Times New Roman" w:hAnsi="Times New Roman" w:cs="Times New Roman"/>
          <w:sz w:val="26"/>
          <w:szCs w:val="26"/>
        </w:rPr>
      </w:pPr>
      <w:r w:rsidRPr="001F1894">
        <w:rPr>
          <w:rFonts w:ascii="Times New Roman" w:eastAsia="Times New Roman" w:hAnsi="Times New Roman" w:cs="Times New Roman"/>
          <w:sz w:val="26"/>
          <w:szCs w:val="26"/>
        </w:rPr>
        <w:t xml:space="preserve">Mặc dù các yếu tố </w:t>
      </w:r>
      <w:r w:rsidR="009B61DA">
        <w:rPr>
          <w:rFonts w:ascii="Times New Roman" w:eastAsia="Times New Roman" w:hAnsi="Times New Roman" w:cs="Times New Roman"/>
          <w:sz w:val="26"/>
          <w:szCs w:val="26"/>
        </w:rPr>
        <w:t xml:space="preserve">của </w:t>
      </w:r>
      <w:r w:rsidRPr="001F1894">
        <w:rPr>
          <w:rFonts w:ascii="Times New Roman" w:eastAsia="Times New Roman" w:hAnsi="Times New Roman" w:cs="Times New Roman"/>
          <w:sz w:val="26"/>
          <w:szCs w:val="26"/>
        </w:rPr>
        <w:t xml:space="preserve">ESG từng được coi là tách biệt với hiệu suất tài chính, nhưng rõ ràng là chúng có thể có tác động đáng kể đến lợi nhuận và hồ sơ rủi ro của công ty. </w:t>
      </w:r>
      <w:r w:rsidR="009B61DA">
        <w:rPr>
          <w:rFonts w:ascii="Times New Roman" w:eastAsia="Times New Roman" w:hAnsi="Times New Roman" w:cs="Times New Roman"/>
          <w:sz w:val="26"/>
          <w:szCs w:val="26"/>
        </w:rPr>
        <w:t>Những</w:t>
      </w:r>
      <w:r w:rsidRPr="001F1894">
        <w:rPr>
          <w:rFonts w:ascii="Times New Roman" w:eastAsia="Times New Roman" w:hAnsi="Times New Roman" w:cs="Times New Roman"/>
          <w:sz w:val="26"/>
          <w:szCs w:val="26"/>
        </w:rPr>
        <w:t xml:space="preserve"> công ty có </w:t>
      </w:r>
      <w:r w:rsidR="009B61DA">
        <w:rPr>
          <w:rFonts w:ascii="Times New Roman" w:eastAsia="Times New Roman" w:hAnsi="Times New Roman" w:cs="Times New Roman"/>
          <w:sz w:val="26"/>
          <w:szCs w:val="26"/>
        </w:rPr>
        <w:t>thực tiễn</w:t>
      </w:r>
      <w:r w:rsidRPr="001F1894">
        <w:rPr>
          <w:rFonts w:ascii="Times New Roman" w:eastAsia="Times New Roman" w:hAnsi="Times New Roman" w:cs="Times New Roman"/>
          <w:sz w:val="26"/>
          <w:szCs w:val="26"/>
        </w:rPr>
        <w:t xml:space="preserve"> ESG mạnh mẽ được coi là có khả năng </w:t>
      </w:r>
      <w:r w:rsidR="009B61DA">
        <w:rPr>
          <w:rFonts w:ascii="Times New Roman" w:eastAsia="Times New Roman" w:hAnsi="Times New Roman" w:cs="Times New Roman"/>
          <w:sz w:val="26"/>
          <w:szCs w:val="26"/>
        </w:rPr>
        <w:t>chống chọi</w:t>
      </w:r>
      <w:r w:rsidRPr="001F1894">
        <w:rPr>
          <w:rFonts w:ascii="Times New Roman" w:eastAsia="Times New Roman" w:hAnsi="Times New Roman" w:cs="Times New Roman"/>
          <w:sz w:val="26"/>
          <w:szCs w:val="26"/>
        </w:rPr>
        <w:t xml:space="preserve"> tốt hơn, có khả năng quản lý rủi ro và có vị thế tốt hơn để thành công lâu dài.</w:t>
      </w:r>
    </w:p>
    <w:p w:rsidR="001F1894" w:rsidRPr="001F1894" w:rsidRDefault="001F1894" w:rsidP="001F1894">
      <w:pPr>
        <w:spacing w:after="390" w:line="240" w:lineRule="auto"/>
        <w:rPr>
          <w:rFonts w:ascii="Merriweather Sans" w:eastAsia="Times New Roman" w:hAnsi="Merriweather Sans" w:cs="Times New Roman"/>
          <w:color w:val="222222"/>
          <w:sz w:val="23"/>
          <w:szCs w:val="23"/>
        </w:rPr>
      </w:pPr>
      <w:r w:rsidRPr="001F1894">
        <w:rPr>
          <w:rFonts w:ascii="Merriweather Sans" w:eastAsia="Times New Roman" w:hAnsi="Merriweather Sans" w:cs="Times New Roman"/>
          <w:noProof/>
          <w:color w:val="222222"/>
          <w:sz w:val="23"/>
          <w:szCs w:val="23"/>
        </w:rPr>
        <w:drawing>
          <wp:inline distT="0" distB="0" distL="0" distR="0">
            <wp:extent cx="6248400" cy="2643858"/>
            <wp:effectExtent l="0" t="0" r="0" b="4445"/>
            <wp:docPr id="4" name="Picture 4" descr="https://maritimecyprus.com/wp-content/uploads/2023/05/SDG-through-the-lens-of-ES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ritimecyprus.com/wp-content/uploads/2023/05/SDG-through-the-lens-of-ES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10603" cy="2670178"/>
                    </a:xfrm>
                    <a:prstGeom prst="rect">
                      <a:avLst/>
                    </a:prstGeom>
                    <a:noFill/>
                    <a:ln>
                      <a:noFill/>
                    </a:ln>
                  </pic:spPr>
                </pic:pic>
              </a:graphicData>
            </a:graphic>
          </wp:inline>
        </w:drawing>
      </w:r>
    </w:p>
    <w:p w:rsidR="009B61DA" w:rsidRPr="009B61DA" w:rsidRDefault="009B61DA" w:rsidP="009B61DA">
      <w:pPr>
        <w:spacing w:before="120" w:after="120" w:line="240" w:lineRule="auto"/>
        <w:jc w:val="both"/>
        <w:rPr>
          <w:rFonts w:ascii="Times New Roman" w:eastAsia="Times New Roman" w:hAnsi="Times New Roman" w:cs="Times New Roman"/>
          <w:b/>
          <w:sz w:val="26"/>
          <w:szCs w:val="26"/>
        </w:rPr>
      </w:pPr>
      <w:r w:rsidRPr="009B61DA">
        <w:rPr>
          <w:rFonts w:ascii="Times New Roman" w:eastAsia="Times New Roman" w:hAnsi="Times New Roman" w:cs="Times New Roman"/>
          <w:b/>
          <w:sz w:val="26"/>
          <w:szCs w:val="26"/>
        </w:rPr>
        <w:t>Sự trỗi dậy của các tiêu chuẩn báo cáo ESG</w:t>
      </w:r>
    </w:p>
    <w:p w:rsidR="001F1894" w:rsidRPr="001F1894" w:rsidRDefault="009B61DA" w:rsidP="009B61DA">
      <w:pPr>
        <w:spacing w:before="120" w:after="120" w:line="240" w:lineRule="auto"/>
        <w:jc w:val="both"/>
        <w:rPr>
          <w:rFonts w:ascii="Merriweather Sans" w:eastAsia="Times New Roman" w:hAnsi="Merriweather Sans" w:cs="Times New Roman"/>
          <w:color w:val="222222"/>
          <w:sz w:val="23"/>
          <w:szCs w:val="23"/>
        </w:rPr>
      </w:pPr>
      <w:r w:rsidRPr="009B61DA">
        <w:rPr>
          <w:rFonts w:ascii="Times New Roman" w:eastAsia="Times New Roman" w:hAnsi="Times New Roman" w:cs="Times New Roman"/>
          <w:sz w:val="26"/>
          <w:szCs w:val="26"/>
        </w:rPr>
        <w:t xml:space="preserve">Nhu cầu về </w:t>
      </w:r>
      <w:r>
        <w:rPr>
          <w:rFonts w:ascii="Times New Roman" w:eastAsia="Times New Roman" w:hAnsi="Times New Roman" w:cs="Times New Roman"/>
          <w:sz w:val="26"/>
          <w:szCs w:val="26"/>
        </w:rPr>
        <w:t>sự</w:t>
      </w:r>
      <w:r w:rsidRPr="009B61DA">
        <w:rPr>
          <w:rFonts w:ascii="Times New Roman" w:eastAsia="Times New Roman" w:hAnsi="Times New Roman" w:cs="Times New Roman"/>
          <w:sz w:val="26"/>
          <w:szCs w:val="26"/>
        </w:rPr>
        <w:t xml:space="preserve"> minh bạch và chuẩn hóa trong báo cáo ESG đã tăng vọt, dẫn đến sự phát triển của nhiều khuôn khổ khác nhau để hướng dẫn các công ty công bố các </w:t>
      </w:r>
      <w:r>
        <w:rPr>
          <w:rFonts w:ascii="Times New Roman" w:eastAsia="Times New Roman" w:hAnsi="Times New Roman" w:cs="Times New Roman"/>
          <w:sz w:val="26"/>
          <w:szCs w:val="26"/>
        </w:rPr>
        <w:t>thực tiễn</w:t>
      </w:r>
      <w:r w:rsidRPr="009B61DA">
        <w:rPr>
          <w:rFonts w:ascii="Times New Roman" w:eastAsia="Times New Roman" w:hAnsi="Times New Roman" w:cs="Times New Roman"/>
          <w:sz w:val="26"/>
          <w:szCs w:val="26"/>
        </w:rPr>
        <w:t xml:space="preserve"> ESG của họ. Các nhà đầu tư, cơ quan quản lý và các bên liên quan khác cần dữ liệu nhất quán, có thể so sánh </w:t>
      </w:r>
      <w:r>
        <w:rPr>
          <w:rFonts w:ascii="Times New Roman" w:eastAsia="Times New Roman" w:hAnsi="Times New Roman" w:cs="Times New Roman"/>
          <w:sz w:val="26"/>
          <w:szCs w:val="26"/>
        </w:rPr>
        <w:t xml:space="preserve">được </w:t>
      </w:r>
      <w:r w:rsidRPr="009B61DA">
        <w:rPr>
          <w:rFonts w:ascii="Times New Roman" w:eastAsia="Times New Roman" w:hAnsi="Times New Roman" w:cs="Times New Roman"/>
          <w:sz w:val="26"/>
          <w:szCs w:val="26"/>
        </w:rPr>
        <w:t xml:space="preserve">và đáng tin cậy để đánh giá hiệu suất ESG của một công ty. Để ứng phó, các cơ quan quản lý trên toàn thế giới đang thiết lập các khuôn khổ cho báo cáo ESG. Một trong những diễn biến quan trọng nhất trong lĩnh vực này là </w:t>
      </w:r>
      <w:hyperlink r:id="rId8" w:tgtFrame="_blank" w:history="1">
        <w:r w:rsidR="001F1894" w:rsidRPr="009B61DA">
          <w:rPr>
            <w:rFonts w:ascii="Merriweather Sans" w:eastAsia="Times New Roman" w:hAnsi="Merriweather Sans" w:cs="Times New Roman"/>
            <w:b/>
            <w:bCs/>
            <w:color w:val="0000FF"/>
            <w:sz w:val="24"/>
            <w:szCs w:val="24"/>
          </w:rPr>
          <w:t>C</w:t>
        </w:r>
        <w:r w:rsidRPr="009B61DA">
          <w:rPr>
            <w:rFonts w:ascii="Merriweather Sans" w:eastAsia="Times New Roman" w:hAnsi="Merriweather Sans" w:cs="Times New Roman"/>
            <w:b/>
            <w:bCs/>
            <w:color w:val="0000FF"/>
            <w:sz w:val="24"/>
            <w:szCs w:val="24"/>
          </w:rPr>
          <w:t xml:space="preserve">hỉ thị về báo cáo phát triển bền vững của doanh nghiệp </w:t>
        </w:r>
        <w:r w:rsidR="001F1894" w:rsidRPr="009B61DA">
          <w:rPr>
            <w:rFonts w:ascii="Merriweather Sans" w:eastAsia="Times New Roman" w:hAnsi="Merriweather Sans" w:cs="Times New Roman"/>
            <w:b/>
            <w:bCs/>
            <w:color w:val="0000FF"/>
            <w:sz w:val="24"/>
            <w:szCs w:val="24"/>
          </w:rPr>
          <w:t>(CSRD)</w:t>
        </w:r>
      </w:hyperlink>
      <w:r w:rsidR="001F1894" w:rsidRPr="001F1894">
        <w:rPr>
          <w:rFonts w:ascii="Merriweather Sans" w:eastAsia="Times New Roman" w:hAnsi="Merriweather Sans" w:cs="Times New Roman"/>
          <w:color w:val="222222"/>
          <w:sz w:val="24"/>
          <w:szCs w:val="24"/>
        </w:rPr>
        <w:t> </w:t>
      </w:r>
      <w:r>
        <w:rPr>
          <w:rFonts w:ascii="Merriweather Sans" w:eastAsia="Times New Roman" w:hAnsi="Merriweather Sans" w:cs="Times New Roman"/>
          <w:color w:val="222222"/>
          <w:sz w:val="24"/>
          <w:szCs w:val="24"/>
        </w:rPr>
        <w:t>và</w:t>
      </w:r>
      <w:r w:rsidR="001F1894" w:rsidRPr="001F1894">
        <w:rPr>
          <w:rFonts w:ascii="Merriweather Sans" w:eastAsia="Times New Roman" w:hAnsi="Merriweather Sans" w:cs="Times New Roman"/>
          <w:color w:val="222222"/>
          <w:sz w:val="24"/>
          <w:szCs w:val="24"/>
        </w:rPr>
        <w:t> </w:t>
      </w:r>
      <w:hyperlink r:id="rId9" w:tgtFrame="_blank" w:history="1">
        <w:r w:rsidRPr="009B61DA">
          <w:rPr>
            <w:rFonts w:ascii="Merriweather Sans" w:eastAsia="Times New Roman" w:hAnsi="Merriweather Sans" w:cs="Times New Roman"/>
            <w:b/>
            <w:bCs/>
            <w:color w:val="0000FF"/>
            <w:sz w:val="24"/>
            <w:szCs w:val="24"/>
          </w:rPr>
          <w:t>EuroCác tiêu chuẩn báo cáo phát triển bền vững của Châu Âu</w:t>
        </w:r>
        <w:r w:rsidR="001F1894" w:rsidRPr="009B61DA">
          <w:rPr>
            <w:rFonts w:ascii="Merriweather Sans" w:eastAsia="Times New Roman" w:hAnsi="Merriweather Sans" w:cs="Times New Roman"/>
            <w:b/>
            <w:bCs/>
            <w:color w:val="0000FF"/>
            <w:sz w:val="24"/>
            <w:szCs w:val="24"/>
          </w:rPr>
          <w:t xml:space="preserve"> (ESRS)</w:t>
        </w:r>
      </w:hyperlink>
      <w:r w:rsidR="001F1894" w:rsidRPr="001F1894">
        <w:rPr>
          <w:rFonts w:ascii="Merriweather Sans" w:eastAsia="Times New Roman" w:hAnsi="Merriweather Sans" w:cs="Times New Roman"/>
          <w:color w:val="222222"/>
          <w:sz w:val="23"/>
          <w:szCs w:val="23"/>
        </w:rPr>
        <w:t> </w:t>
      </w:r>
      <w:r w:rsidRPr="009B61DA">
        <w:rPr>
          <w:rFonts w:ascii="Times New Roman" w:eastAsia="Times New Roman" w:hAnsi="Times New Roman" w:cs="Times New Roman"/>
          <w:sz w:val="26"/>
          <w:szCs w:val="26"/>
        </w:rPr>
        <w:t>tại Liên minh Châu</w:t>
      </w:r>
      <w:r w:rsidR="001F1894" w:rsidRPr="001F1894">
        <w:rPr>
          <w:rFonts w:ascii="Merriweather Sans" w:eastAsia="Times New Roman" w:hAnsi="Merriweather Sans" w:cs="Times New Roman"/>
          <w:color w:val="222222"/>
          <w:sz w:val="23"/>
          <w:szCs w:val="23"/>
        </w:rPr>
        <w:t>.</w:t>
      </w:r>
    </w:p>
    <w:p w:rsidR="001F1894" w:rsidRPr="001F1894" w:rsidRDefault="001F1894" w:rsidP="009B61DA">
      <w:pPr>
        <w:spacing w:after="120" w:line="240" w:lineRule="auto"/>
        <w:rPr>
          <w:rFonts w:ascii="Merriweather Sans" w:eastAsia="Times New Roman" w:hAnsi="Merriweather Sans" w:cs="Times New Roman"/>
          <w:color w:val="222222"/>
          <w:sz w:val="23"/>
          <w:szCs w:val="23"/>
        </w:rPr>
      </w:pPr>
      <w:r w:rsidRPr="001F1894">
        <w:rPr>
          <w:rFonts w:ascii="Merriweather Sans" w:eastAsia="Times New Roman" w:hAnsi="Merriweather Sans" w:cs="Times New Roman"/>
          <w:noProof/>
          <w:color w:val="222222"/>
          <w:sz w:val="23"/>
          <w:szCs w:val="23"/>
        </w:rPr>
        <w:drawing>
          <wp:inline distT="0" distB="0" distL="0" distR="0">
            <wp:extent cx="6115323" cy="2415540"/>
            <wp:effectExtent l="0" t="0" r="0" b="3810"/>
            <wp:docPr id="3" name="Picture 3" descr="https://maritimecyprus.com/wp-content/uploads/2024/09/cs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ritimecyprus.com/wp-content/uploads/2024/09/csr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4817" cy="2435090"/>
                    </a:xfrm>
                    <a:prstGeom prst="rect">
                      <a:avLst/>
                    </a:prstGeom>
                    <a:noFill/>
                    <a:ln>
                      <a:noFill/>
                    </a:ln>
                  </pic:spPr>
                </pic:pic>
              </a:graphicData>
            </a:graphic>
          </wp:inline>
        </w:drawing>
      </w:r>
    </w:p>
    <w:p w:rsidR="009B61DA" w:rsidRPr="009B61DA" w:rsidRDefault="009B61DA" w:rsidP="009B61DA">
      <w:pPr>
        <w:spacing w:before="120" w:after="120" w:line="240" w:lineRule="auto"/>
        <w:jc w:val="both"/>
        <w:rPr>
          <w:rFonts w:ascii="Times New Roman" w:eastAsia="Times New Roman" w:hAnsi="Times New Roman" w:cs="Times New Roman"/>
          <w:b/>
          <w:sz w:val="26"/>
          <w:szCs w:val="26"/>
        </w:rPr>
      </w:pPr>
      <w:r w:rsidRPr="009B61DA">
        <w:rPr>
          <w:rFonts w:ascii="Times New Roman" w:eastAsia="Times New Roman" w:hAnsi="Times New Roman" w:cs="Times New Roman"/>
          <w:b/>
          <w:sz w:val="26"/>
          <w:szCs w:val="26"/>
        </w:rPr>
        <w:lastRenderedPageBreak/>
        <w:t>CSRD là gì?</w:t>
      </w:r>
    </w:p>
    <w:p w:rsidR="009B61DA" w:rsidRPr="009B61DA" w:rsidRDefault="009B61DA" w:rsidP="009B61DA">
      <w:pPr>
        <w:spacing w:before="120" w:after="120" w:line="240" w:lineRule="auto"/>
        <w:jc w:val="both"/>
        <w:rPr>
          <w:rFonts w:ascii="Times New Roman" w:eastAsia="Times New Roman" w:hAnsi="Times New Roman" w:cs="Times New Roman"/>
          <w:sz w:val="26"/>
          <w:szCs w:val="26"/>
        </w:rPr>
      </w:pPr>
      <w:r w:rsidRPr="009B61DA">
        <w:rPr>
          <w:rFonts w:ascii="Times New Roman" w:eastAsia="Times New Roman" w:hAnsi="Times New Roman" w:cs="Times New Roman"/>
          <w:sz w:val="26"/>
          <w:szCs w:val="26"/>
        </w:rPr>
        <w:t xml:space="preserve">Chỉ thị Báo cáo Phát triển Bền vững của Doanh nghiệp (CSRD) là một văn bản luật mang tính chuyển đổi do Liên minh Châu Âu đưa ra nhằm nâng cao chất lượng, phạm vi và khả năng so sánh </w:t>
      </w:r>
      <w:r w:rsidR="00303EFA">
        <w:rPr>
          <w:rFonts w:ascii="Times New Roman" w:eastAsia="Times New Roman" w:hAnsi="Times New Roman" w:cs="Times New Roman"/>
          <w:sz w:val="26"/>
          <w:szCs w:val="26"/>
        </w:rPr>
        <w:t xml:space="preserve">được </w:t>
      </w:r>
      <w:r w:rsidRPr="009B61DA">
        <w:rPr>
          <w:rFonts w:ascii="Times New Roman" w:eastAsia="Times New Roman" w:hAnsi="Times New Roman" w:cs="Times New Roman"/>
          <w:sz w:val="26"/>
          <w:szCs w:val="26"/>
        </w:rPr>
        <w:t xml:space="preserve">của các thông tin </w:t>
      </w:r>
      <w:r w:rsidR="00303EFA">
        <w:rPr>
          <w:rFonts w:ascii="Times New Roman" w:eastAsia="Times New Roman" w:hAnsi="Times New Roman" w:cs="Times New Roman"/>
          <w:sz w:val="26"/>
          <w:szCs w:val="26"/>
        </w:rPr>
        <w:t>được công bố</w:t>
      </w:r>
      <w:r w:rsidRPr="009B61DA">
        <w:rPr>
          <w:rFonts w:ascii="Times New Roman" w:eastAsia="Times New Roman" w:hAnsi="Times New Roman" w:cs="Times New Roman"/>
          <w:sz w:val="26"/>
          <w:szCs w:val="26"/>
        </w:rPr>
        <w:t xml:space="preserve"> liên quan đến </w:t>
      </w:r>
      <w:r w:rsidR="00303EFA">
        <w:rPr>
          <w:rFonts w:ascii="Times New Roman" w:eastAsia="Times New Roman" w:hAnsi="Times New Roman" w:cs="Times New Roman"/>
          <w:sz w:val="26"/>
          <w:szCs w:val="26"/>
        </w:rPr>
        <w:t>sự</w:t>
      </w:r>
      <w:r w:rsidRPr="009B61DA">
        <w:rPr>
          <w:rFonts w:ascii="Times New Roman" w:eastAsia="Times New Roman" w:hAnsi="Times New Roman" w:cs="Times New Roman"/>
          <w:sz w:val="26"/>
          <w:szCs w:val="26"/>
        </w:rPr>
        <w:t xml:space="preserve"> bền vững. Văn bản này dựa trên Chỉ thị </w:t>
      </w:r>
      <w:r w:rsidR="00303EFA">
        <w:rPr>
          <w:rFonts w:ascii="Times New Roman" w:eastAsia="Times New Roman" w:hAnsi="Times New Roman" w:cs="Times New Roman"/>
          <w:sz w:val="26"/>
          <w:szCs w:val="26"/>
        </w:rPr>
        <w:t xml:space="preserve">về </w:t>
      </w:r>
      <w:r w:rsidRPr="009B61DA">
        <w:rPr>
          <w:rFonts w:ascii="Times New Roman" w:eastAsia="Times New Roman" w:hAnsi="Times New Roman" w:cs="Times New Roman"/>
          <w:sz w:val="26"/>
          <w:szCs w:val="26"/>
        </w:rPr>
        <w:t xml:space="preserve">Báo cáo Phi tài chính (NFRD) hiện hành nhưng </w:t>
      </w:r>
      <w:r w:rsidR="00303EFA">
        <w:rPr>
          <w:rFonts w:ascii="Times New Roman" w:eastAsia="Times New Roman" w:hAnsi="Times New Roman" w:cs="Times New Roman"/>
          <w:sz w:val="26"/>
          <w:szCs w:val="26"/>
        </w:rPr>
        <w:t xml:space="preserve">được </w:t>
      </w:r>
      <w:r w:rsidRPr="009B61DA">
        <w:rPr>
          <w:rFonts w:ascii="Times New Roman" w:eastAsia="Times New Roman" w:hAnsi="Times New Roman" w:cs="Times New Roman"/>
          <w:sz w:val="26"/>
          <w:szCs w:val="26"/>
        </w:rPr>
        <w:t xml:space="preserve">mở rộng phạm vi, khiến báo cáo phát triển bền vững </w:t>
      </w:r>
      <w:r w:rsidR="00303EFA">
        <w:rPr>
          <w:rFonts w:ascii="Times New Roman" w:eastAsia="Times New Roman" w:hAnsi="Times New Roman" w:cs="Times New Roman"/>
          <w:sz w:val="26"/>
          <w:szCs w:val="26"/>
        </w:rPr>
        <w:t xml:space="preserve">này </w:t>
      </w:r>
      <w:r w:rsidRPr="009B61DA">
        <w:rPr>
          <w:rFonts w:ascii="Times New Roman" w:eastAsia="Times New Roman" w:hAnsi="Times New Roman" w:cs="Times New Roman"/>
          <w:sz w:val="26"/>
          <w:szCs w:val="26"/>
        </w:rPr>
        <w:t>trở thành bắt buộc đối với nhiều công ty hơn.</w:t>
      </w:r>
    </w:p>
    <w:p w:rsidR="009B61DA" w:rsidRPr="009B61DA" w:rsidRDefault="009B61DA" w:rsidP="009B61DA">
      <w:pPr>
        <w:spacing w:before="120" w:after="120" w:line="240" w:lineRule="auto"/>
        <w:jc w:val="both"/>
        <w:rPr>
          <w:rFonts w:ascii="Times New Roman" w:eastAsia="Times New Roman" w:hAnsi="Times New Roman" w:cs="Times New Roman"/>
          <w:sz w:val="26"/>
          <w:szCs w:val="26"/>
        </w:rPr>
      </w:pPr>
      <w:r w:rsidRPr="009B61DA">
        <w:rPr>
          <w:rFonts w:ascii="Times New Roman" w:eastAsia="Times New Roman" w:hAnsi="Times New Roman" w:cs="Times New Roman"/>
          <w:sz w:val="26"/>
          <w:szCs w:val="26"/>
        </w:rPr>
        <w:t xml:space="preserve">CSRD mở rộng phạm vi để bao gồm </w:t>
      </w:r>
      <w:r w:rsidR="00303EFA">
        <w:rPr>
          <w:rFonts w:ascii="Times New Roman" w:eastAsia="Times New Roman" w:hAnsi="Times New Roman" w:cs="Times New Roman"/>
          <w:sz w:val="26"/>
          <w:szCs w:val="26"/>
        </w:rPr>
        <w:t xml:space="preserve">trong đó </w:t>
      </w:r>
      <w:r w:rsidRPr="009B61DA">
        <w:rPr>
          <w:rFonts w:ascii="Times New Roman" w:eastAsia="Times New Roman" w:hAnsi="Times New Roman" w:cs="Times New Roman"/>
          <w:sz w:val="26"/>
          <w:szCs w:val="26"/>
        </w:rPr>
        <w:t>không chỉ các công ty niêm yết lớn mà còn cả các tổ chức tư nhân lớn và một số doanh nghiệp vừa và nhỏ (SME)</w:t>
      </w:r>
      <w:r w:rsidR="00303EFA">
        <w:rPr>
          <w:rFonts w:ascii="Times New Roman" w:eastAsia="Times New Roman" w:hAnsi="Times New Roman" w:cs="Times New Roman"/>
          <w:sz w:val="26"/>
          <w:szCs w:val="26"/>
        </w:rPr>
        <w:t xml:space="preserve"> nhất định</w:t>
      </w:r>
      <w:r w:rsidRPr="009B61DA">
        <w:rPr>
          <w:rFonts w:ascii="Times New Roman" w:eastAsia="Times New Roman" w:hAnsi="Times New Roman" w:cs="Times New Roman"/>
          <w:sz w:val="26"/>
          <w:szCs w:val="26"/>
        </w:rPr>
        <w:t xml:space="preserve">. Sự thay đổi này có nghĩa là </w:t>
      </w:r>
      <w:r w:rsidR="00303EFA">
        <w:rPr>
          <w:rFonts w:ascii="Times New Roman" w:eastAsia="Times New Roman" w:hAnsi="Times New Roman" w:cs="Times New Roman"/>
          <w:sz w:val="26"/>
          <w:szCs w:val="26"/>
        </w:rPr>
        <w:t xml:space="preserve">có </w:t>
      </w:r>
      <w:r w:rsidRPr="009B61DA">
        <w:rPr>
          <w:rFonts w:ascii="Times New Roman" w:eastAsia="Times New Roman" w:hAnsi="Times New Roman" w:cs="Times New Roman"/>
          <w:sz w:val="26"/>
          <w:szCs w:val="26"/>
        </w:rPr>
        <w:t xml:space="preserve">nhiều doanh nghiệp hơn phải kết hợp các cân nhắc về </w:t>
      </w:r>
      <w:r w:rsidR="00303EFA">
        <w:rPr>
          <w:rFonts w:ascii="Times New Roman" w:eastAsia="Times New Roman" w:hAnsi="Times New Roman" w:cs="Times New Roman"/>
          <w:sz w:val="26"/>
          <w:szCs w:val="26"/>
        </w:rPr>
        <w:t>sự</w:t>
      </w:r>
      <w:r w:rsidRPr="009B61DA">
        <w:rPr>
          <w:rFonts w:ascii="Times New Roman" w:eastAsia="Times New Roman" w:hAnsi="Times New Roman" w:cs="Times New Roman"/>
          <w:sz w:val="26"/>
          <w:szCs w:val="26"/>
        </w:rPr>
        <w:t xml:space="preserve"> bền vững vào mô hình kinh doanh của mình và </w:t>
      </w:r>
      <w:r w:rsidR="00303EFA">
        <w:rPr>
          <w:rFonts w:ascii="Times New Roman" w:eastAsia="Times New Roman" w:hAnsi="Times New Roman" w:cs="Times New Roman"/>
          <w:sz w:val="26"/>
          <w:szCs w:val="26"/>
        </w:rPr>
        <w:t>công bố</w:t>
      </w:r>
      <w:r w:rsidRPr="009B61DA">
        <w:rPr>
          <w:rFonts w:ascii="Times New Roman" w:eastAsia="Times New Roman" w:hAnsi="Times New Roman" w:cs="Times New Roman"/>
          <w:sz w:val="26"/>
          <w:szCs w:val="26"/>
        </w:rPr>
        <w:t xml:space="preserve"> cách thức</w:t>
      </w:r>
      <w:r w:rsidR="00303EFA">
        <w:rPr>
          <w:rFonts w:ascii="Times New Roman" w:eastAsia="Times New Roman" w:hAnsi="Times New Roman" w:cs="Times New Roman"/>
          <w:sz w:val="26"/>
          <w:szCs w:val="26"/>
        </w:rPr>
        <w:t xml:space="preserve"> mà</w:t>
      </w:r>
      <w:r w:rsidRPr="009B61DA">
        <w:rPr>
          <w:rFonts w:ascii="Times New Roman" w:eastAsia="Times New Roman" w:hAnsi="Times New Roman" w:cs="Times New Roman"/>
          <w:sz w:val="26"/>
          <w:szCs w:val="26"/>
        </w:rPr>
        <w:t xml:space="preserve"> hoạt động của họ tác động và bị tác động bởi các yếu tố môi trường và xã hội.</w:t>
      </w:r>
    </w:p>
    <w:p w:rsidR="009B61DA" w:rsidRPr="00303EFA" w:rsidRDefault="009B61DA" w:rsidP="009B61DA">
      <w:pPr>
        <w:spacing w:before="120" w:after="120" w:line="240" w:lineRule="auto"/>
        <w:jc w:val="both"/>
        <w:rPr>
          <w:rFonts w:ascii="Times New Roman" w:eastAsia="Times New Roman" w:hAnsi="Times New Roman" w:cs="Times New Roman"/>
          <w:b/>
          <w:sz w:val="26"/>
          <w:szCs w:val="26"/>
        </w:rPr>
      </w:pPr>
      <w:r w:rsidRPr="00303EFA">
        <w:rPr>
          <w:rFonts w:ascii="Times New Roman" w:eastAsia="Times New Roman" w:hAnsi="Times New Roman" w:cs="Times New Roman"/>
          <w:b/>
          <w:sz w:val="26"/>
          <w:szCs w:val="26"/>
        </w:rPr>
        <w:t xml:space="preserve">Một số </w:t>
      </w:r>
      <w:r w:rsidR="00303EFA" w:rsidRPr="00303EFA">
        <w:rPr>
          <w:rFonts w:ascii="Times New Roman" w:eastAsia="Times New Roman" w:hAnsi="Times New Roman" w:cs="Times New Roman"/>
          <w:b/>
          <w:sz w:val="26"/>
          <w:szCs w:val="26"/>
        </w:rPr>
        <w:t xml:space="preserve">đặc </w:t>
      </w:r>
      <w:r w:rsidRPr="00303EFA">
        <w:rPr>
          <w:rFonts w:ascii="Times New Roman" w:eastAsia="Times New Roman" w:hAnsi="Times New Roman" w:cs="Times New Roman"/>
          <w:b/>
          <w:sz w:val="26"/>
          <w:szCs w:val="26"/>
        </w:rPr>
        <w:t>tính chính của CSRD gồm:</w:t>
      </w:r>
    </w:p>
    <w:p w:rsidR="009B61DA" w:rsidRPr="00303EFA" w:rsidRDefault="009B61DA" w:rsidP="00303EFA">
      <w:pPr>
        <w:pStyle w:val="ListParagraph"/>
        <w:numPr>
          <w:ilvl w:val="0"/>
          <w:numId w:val="6"/>
        </w:numPr>
        <w:spacing w:before="120" w:after="120" w:line="240" w:lineRule="auto"/>
        <w:jc w:val="both"/>
        <w:rPr>
          <w:rFonts w:ascii="Times New Roman" w:eastAsia="Times New Roman" w:hAnsi="Times New Roman" w:cs="Times New Roman"/>
          <w:sz w:val="26"/>
          <w:szCs w:val="26"/>
        </w:rPr>
      </w:pPr>
      <w:r w:rsidRPr="00303EFA">
        <w:rPr>
          <w:rFonts w:ascii="Times New Roman" w:eastAsia="Times New Roman" w:hAnsi="Times New Roman" w:cs="Times New Roman"/>
          <w:b/>
          <w:sz w:val="26"/>
          <w:szCs w:val="26"/>
        </w:rPr>
        <w:t>Báo cáo Phát triển Bền vững Bắt buộc</w:t>
      </w:r>
      <w:r w:rsidRPr="00303EFA">
        <w:rPr>
          <w:rFonts w:ascii="Times New Roman" w:eastAsia="Times New Roman" w:hAnsi="Times New Roman" w:cs="Times New Roman"/>
          <w:sz w:val="26"/>
          <w:szCs w:val="26"/>
        </w:rPr>
        <w:t xml:space="preserve">: CSRD yêu cầu các công ty phải đưa thông tin về </w:t>
      </w:r>
      <w:r w:rsidR="00303EFA">
        <w:rPr>
          <w:rFonts w:ascii="Times New Roman" w:eastAsia="Times New Roman" w:hAnsi="Times New Roman" w:cs="Times New Roman"/>
          <w:sz w:val="26"/>
          <w:szCs w:val="26"/>
        </w:rPr>
        <w:t>sự</w:t>
      </w:r>
      <w:r w:rsidRPr="00303EFA">
        <w:rPr>
          <w:rFonts w:ascii="Times New Roman" w:eastAsia="Times New Roman" w:hAnsi="Times New Roman" w:cs="Times New Roman"/>
          <w:sz w:val="26"/>
          <w:szCs w:val="26"/>
        </w:rPr>
        <w:t xml:space="preserve"> bền vững vào báo cáo quản lý của mình, cùng với thông tin tài chính của họ.</w:t>
      </w:r>
    </w:p>
    <w:p w:rsidR="009B61DA" w:rsidRPr="00303EFA" w:rsidRDefault="009B61DA" w:rsidP="00303EFA">
      <w:pPr>
        <w:pStyle w:val="ListParagraph"/>
        <w:numPr>
          <w:ilvl w:val="0"/>
          <w:numId w:val="6"/>
        </w:numPr>
        <w:spacing w:before="120" w:after="120" w:line="240" w:lineRule="auto"/>
        <w:jc w:val="both"/>
        <w:rPr>
          <w:rFonts w:ascii="Times New Roman" w:eastAsia="Times New Roman" w:hAnsi="Times New Roman" w:cs="Times New Roman"/>
          <w:sz w:val="26"/>
          <w:szCs w:val="26"/>
        </w:rPr>
      </w:pPr>
      <w:r w:rsidRPr="00303EFA">
        <w:rPr>
          <w:rFonts w:ascii="Times New Roman" w:eastAsia="Times New Roman" w:hAnsi="Times New Roman" w:cs="Times New Roman"/>
          <w:b/>
          <w:sz w:val="26"/>
          <w:szCs w:val="26"/>
        </w:rPr>
        <w:t xml:space="preserve">Tính </w:t>
      </w:r>
      <w:r w:rsidR="00303EFA">
        <w:rPr>
          <w:rFonts w:ascii="Times New Roman" w:eastAsia="Times New Roman" w:hAnsi="Times New Roman" w:cs="Times New Roman"/>
          <w:b/>
          <w:sz w:val="26"/>
          <w:szCs w:val="26"/>
        </w:rPr>
        <w:t>hai chiều về tác động</w:t>
      </w:r>
      <w:r w:rsidRPr="00303EFA">
        <w:rPr>
          <w:rFonts w:ascii="Times New Roman" w:eastAsia="Times New Roman" w:hAnsi="Times New Roman" w:cs="Times New Roman"/>
          <w:sz w:val="26"/>
          <w:szCs w:val="26"/>
        </w:rPr>
        <w:t>: Các công ty phải đánh giá cả cách các vấn đề về bền vững ảnh hưởng đến doanh nghiệp của mình và cách thức</w:t>
      </w:r>
      <w:r w:rsidR="00303EFA">
        <w:rPr>
          <w:rFonts w:ascii="Times New Roman" w:eastAsia="Times New Roman" w:hAnsi="Times New Roman" w:cs="Times New Roman"/>
          <w:sz w:val="26"/>
          <w:szCs w:val="26"/>
        </w:rPr>
        <w:t xml:space="preserve"> mà</w:t>
      </w:r>
      <w:r w:rsidRPr="00303EFA">
        <w:rPr>
          <w:rFonts w:ascii="Times New Roman" w:eastAsia="Times New Roman" w:hAnsi="Times New Roman" w:cs="Times New Roman"/>
          <w:sz w:val="26"/>
          <w:szCs w:val="26"/>
        </w:rPr>
        <w:t xml:space="preserve"> hoạt động của </w:t>
      </w:r>
      <w:r w:rsidR="00303EFA">
        <w:rPr>
          <w:rFonts w:ascii="Times New Roman" w:eastAsia="Times New Roman" w:hAnsi="Times New Roman" w:cs="Times New Roman"/>
          <w:sz w:val="26"/>
          <w:szCs w:val="26"/>
        </w:rPr>
        <w:t>họ</w:t>
      </w:r>
      <w:r w:rsidRPr="00303EFA">
        <w:rPr>
          <w:rFonts w:ascii="Times New Roman" w:eastAsia="Times New Roman" w:hAnsi="Times New Roman" w:cs="Times New Roman"/>
          <w:sz w:val="26"/>
          <w:szCs w:val="26"/>
        </w:rPr>
        <w:t xml:space="preserve"> tác động đến xã hội và môi trường.</w:t>
      </w:r>
    </w:p>
    <w:p w:rsidR="009B61DA" w:rsidRPr="00303EFA" w:rsidRDefault="009B61DA" w:rsidP="00303EFA">
      <w:pPr>
        <w:pStyle w:val="ListParagraph"/>
        <w:numPr>
          <w:ilvl w:val="0"/>
          <w:numId w:val="6"/>
        </w:numPr>
        <w:spacing w:before="120" w:after="120" w:line="240" w:lineRule="auto"/>
        <w:jc w:val="both"/>
        <w:rPr>
          <w:rFonts w:ascii="Times New Roman" w:eastAsia="Times New Roman" w:hAnsi="Times New Roman" w:cs="Times New Roman"/>
          <w:sz w:val="26"/>
          <w:szCs w:val="26"/>
        </w:rPr>
      </w:pPr>
      <w:r w:rsidRPr="00303EFA">
        <w:rPr>
          <w:rFonts w:ascii="Times New Roman" w:eastAsia="Times New Roman" w:hAnsi="Times New Roman" w:cs="Times New Roman"/>
          <w:b/>
          <w:sz w:val="26"/>
          <w:szCs w:val="26"/>
        </w:rPr>
        <w:t xml:space="preserve">Yêu cầu </w:t>
      </w:r>
      <w:r w:rsidR="00303EFA">
        <w:rPr>
          <w:rFonts w:ascii="Times New Roman" w:eastAsia="Times New Roman" w:hAnsi="Times New Roman" w:cs="Times New Roman"/>
          <w:b/>
          <w:sz w:val="26"/>
          <w:szCs w:val="26"/>
        </w:rPr>
        <w:t xml:space="preserve">về sự </w:t>
      </w:r>
      <w:r w:rsidRPr="00303EFA">
        <w:rPr>
          <w:rFonts w:ascii="Times New Roman" w:eastAsia="Times New Roman" w:hAnsi="Times New Roman" w:cs="Times New Roman"/>
          <w:b/>
          <w:sz w:val="26"/>
          <w:szCs w:val="26"/>
        </w:rPr>
        <w:t>đảm bảo</w:t>
      </w:r>
      <w:r w:rsidRPr="00303EFA">
        <w:rPr>
          <w:rFonts w:ascii="Times New Roman" w:eastAsia="Times New Roman" w:hAnsi="Times New Roman" w:cs="Times New Roman"/>
          <w:sz w:val="26"/>
          <w:szCs w:val="26"/>
        </w:rPr>
        <w:t>: Báo cáo phát triển bền vững sẽ phải tuân theo sự đảm bảo hạn chế, đảm bảo tính chính xác và độ tin cậy của thông tin được cung cấp.</w:t>
      </w:r>
    </w:p>
    <w:p w:rsidR="009B61DA" w:rsidRPr="00303EFA" w:rsidRDefault="009B61DA" w:rsidP="00303EFA">
      <w:pPr>
        <w:pStyle w:val="ListParagraph"/>
        <w:numPr>
          <w:ilvl w:val="0"/>
          <w:numId w:val="6"/>
        </w:numPr>
        <w:spacing w:before="120" w:after="120" w:line="240" w:lineRule="auto"/>
        <w:jc w:val="both"/>
        <w:rPr>
          <w:rFonts w:ascii="Times New Roman" w:eastAsia="Times New Roman" w:hAnsi="Times New Roman" w:cs="Times New Roman"/>
          <w:sz w:val="26"/>
          <w:szCs w:val="26"/>
        </w:rPr>
      </w:pPr>
      <w:r w:rsidRPr="00303EFA">
        <w:rPr>
          <w:rFonts w:ascii="Times New Roman" w:eastAsia="Times New Roman" w:hAnsi="Times New Roman" w:cs="Times New Roman"/>
          <w:b/>
          <w:sz w:val="26"/>
          <w:szCs w:val="26"/>
        </w:rPr>
        <w:t>Tiêu chuẩn báo cáo phát triển bền vững của Châu Âu (ESRS</w:t>
      </w:r>
      <w:r w:rsidRPr="00303EFA">
        <w:rPr>
          <w:rFonts w:ascii="Times New Roman" w:eastAsia="Times New Roman" w:hAnsi="Times New Roman" w:cs="Times New Roman"/>
          <w:sz w:val="26"/>
          <w:szCs w:val="26"/>
        </w:rPr>
        <w:t xml:space="preserve">): CSRD có mối liên hệ chặt chẽ với ESRS, </w:t>
      </w:r>
      <w:r w:rsidR="00303EFA">
        <w:rPr>
          <w:rFonts w:ascii="Times New Roman" w:eastAsia="Times New Roman" w:hAnsi="Times New Roman" w:cs="Times New Roman"/>
          <w:sz w:val="26"/>
          <w:szCs w:val="26"/>
        </w:rPr>
        <w:t xml:space="preserve">nó </w:t>
      </w:r>
      <w:r w:rsidRPr="00303EFA">
        <w:rPr>
          <w:rFonts w:ascii="Times New Roman" w:eastAsia="Times New Roman" w:hAnsi="Times New Roman" w:cs="Times New Roman"/>
          <w:sz w:val="26"/>
          <w:szCs w:val="26"/>
        </w:rPr>
        <w:t xml:space="preserve">sẽ hướng dẫn các </w:t>
      </w:r>
      <w:r w:rsidR="0065116E">
        <w:rPr>
          <w:rFonts w:ascii="Times New Roman" w:eastAsia="Times New Roman" w:hAnsi="Times New Roman" w:cs="Times New Roman"/>
          <w:sz w:val="26"/>
          <w:szCs w:val="26"/>
        </w:rPr>
        <w:t>công bố</w:t>
      </w:r>
      <w:r w:rsidRPr="00303EFA">
        <w:rPr>
          <w:rFonts w:ascii="Times New Roman" w:eastAsia="Times New Roman" w:hAnsi="Times New Roman" w:cs="Times New Roman"/>
          <w:sz w:val="26"/>
          <w:szCs w:val="26"/>
        </w:rPr>
        <w:t xml:space="preserve"> cụ thể theo yêu cầu của chỉ thị.</w:t>
      </w:r>
    </w:p>
    <w:p w:rsidR="001F1894" w:rsidRPr="001F1894" w:rsidRDefault="001F1894" w:rsidP="00B30EF1">
      <w:pPr>
        <w:spacing w:after="120" w:line="240" w:lineRule="auto"/>
        <w:rPr>
          <w:rFonts w:ascii="Merriweather Sans" w:eastAsia="Times New Roman" w:hAnsi="Merriweather Sans" w:cs="Times New Roman"/>
          <w:color w:val="222222"/>
          <w:sz w:val="23"/>
          <w:szCs w:val="23"/>
        </w:rPr>
      </w:pPr>
      <w:r w:rsidRPr="001F1894">
        <w:rPr>
          <w:rFonts w:ascii="Merriweather Sans" w:eastAsia="Times New Roman" w:hAnsi="Merriweather Sans" w:cs="Times New Roman"/>
          <w:noProof/>
          <w:color w:val="222222"/>
          <w:sz w:val="23"/>
          <w:szCs w:val="23"/>
        </w:rPr>
        <w:drawing>
          <wp:inline distT="0" distB="0" distL="0" distR="0">
            <wp:extent cx="6240780" cy="2667000"/>
            <wp:effectExtent l="0" t="0" r="7620" b="0"/>
            <wp:docPr id="2" name="Picture 2" descr="https://maritimecyprus.com/wp-content/uploads/2024/09/ES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ritimecyprus.com/wp-content/uploads/2024/09/ESR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9976" cy="2688024"/>
                    </a:xfrm>
                    <a:prstGeom prst="rect">
                      <a:avLst/>
                    </a:prstGeom>
                    <a:noFill/>
                    <a:ln>
                      <a:noFill/>
                    </a:ln>
                  </pic:spPr>
                </pic:pic>
              </a:graphicData>
            </a:graphic>
          </wp:inline>
        </w:drawing>
      </w:r>
    </w:p>
    <w:p w:rsidR="0065116E" w:rsidRPr="0065116E" w:rsidRDefault="0065116E" w:rsidP="0065116E">
      <w:pPr>
        <w:spacing w:before="120" w:after="120" w:line="240" w:lineRule="auto"/>
        <w:jc w:val="both"/>
        <w:rPr>
          <w:rFonts w:ascii="Times New Roman" w:eastAsia="Times New Roman" w:hAnsi="Times New Roman" w:cs="Times New Roman"/>
          <w:b/>
          <w:sz w:val="26"/>
          <w:szCs w:val="26"/>
        </w:rPr>
      </w:pPr>
      <w:r w:rsidRPr="0065116E">
        <w:rPr>
          <w:rFonts w:ascii="Times New Roman" w:eastAsia="Times New Roman" w:hAnsi="Times New Roman" w:cs="Times New Roman"/>
          <w:b/>
          <w:sz w:val="26"/>
          <w:szCs w:val="26"/>
        </w:rPr>
        <w:t>Các t</w:t>
      </w:r>
      <w:r w:rsidRPr="0065116E">
        <w:rPr>
          <w:rFonts w:ascii="Times New Roman" w:eastAsia="Times New Roman" w:hAnsi="Times New Roman" w:cs="Times New Roman"/>
          <w:b/>
          <w:sz w:val="26"/>
          <w:szCs w:val="26"/>
        </w:rPr>
        <w:t xml:space="preserve">iêu chuẩn </w:t>
      </w:r>
      <w:r w:rsidRPr="0065116E">
        <w:rPr>
          <w:rFonts w:ascii="Times New Roman" w:eastAsia="Times New Roman" w:hAnsi="Times New Roman" w:cs="Times New Roman"/>
          <w:b/>
          <w:sz w:val="26"/>
          <w:szCs w:val="26"/>
        </w:rPr>
        <w:t xml:space="preserve">của </w:t>
      </w:r>
      <w:r w:rsidRPr="0065116E">
        <w:rPr>
          <w:rFonts w:ascii="Times New Roman" w:eastAsia="Times New Roman" w:hAnsi="Times New Roman" w:cs="Times New Roman"/>
          <w:b/>
          <w:sz w:val="26"/>
          <w:szCs w:val="26"/>
        </w:rPr>
        <w:t>báo cáo phát triển bền vững của Châu Âu (ESRS)</w:t>
      </w:r>
    </w:p>
    <w:p w:rsidR="0065116E" w:rsidRPr="0065116E" w:rsidRDefault="0065116E" w:rsidP="0065116E">
      <w:pPr>
        <w:spacing w:before="120" w:after="120" w:line="240" w:lineRule="auto"/>
        <w:jc w:val="both"/>
        <w:rPr>
          <w:rFonts w:ascii="Times New Roman" w:eastAsia="Times New Roman" w:hAnsi="Times New Roman" w:cs="Times New Roman"/>
          <w:sz w:val="26"/>
          <w:szCs w:val="26"/>
        </w:rPr>
      </w:pPr>
      <w:r w:rsidRPr="0065116E">
        <w:rPr>
          <w:rFonts w:ascii="Times New Roman" w:eastAsia="Times New Roman" w:hAnsi="Times New Roman" w:cs="Times New Roman"/>
          <w:b/>
          <w:sz w:val="26"/>
          <w:szCs w:val="26"/>
        </w:rPr>
        <w:t>Các t</w:t>
      </w:r>
      <w:r w:rsidRPr="0065116E">
        <w:rPr>
          <w:rFonts w:ascii="Times New Roman" w:eastAsia="Times New Roman" w:hAnsi="Times New Roman" w:cs="Times New Roman"/>
          <w:b/>
          <w:sz w:val="26"/>
          <w:szCs w:val="26"/>
        </w:rPr>
        <w:t xml:space="preserve">iêu chuẩn </w:t>
      </w:r>
      <w:r w:rsidRPr="0065116E">
        <w:rPr>
          <w:rFonts w:ascii="Times New Roman" w:eastAsia="Times New Roman" w:hAnsi="Times New Roman" w:cs="Times New Roman"/>
          <w:b/>
          <w:sz w:val="26"/>
          <w:szCs w:val="26"/>
        </w:rPr>
        <w:t xml:space="preserve">của </w:t>
      </w:r>
      <w:r w:rsidRPr="0065116E">
        <w:rPr>
          <w:rFonts w:ascii="Times New Roman" w:eastAsia="Times New Roman" w:hAnsi="Times New Roman" w:cs="Times New Roman"/>
          <w:b/>
          <w:sz w:val="26"/>
          <w:szCs w:val="26"/>
        </w:rPr>
        <w:t>báo cáo phát triển bền vững của Châu Âu (ESRS)</w:t>
      </w:r>
      <w:r w:rsidRPr="0065116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đưa ra các</w:t>
      </w:r>
      <w:r w:rsidRPr="0065116E">
        <w:rPr>
          <w:rFonts w:ascii="Times New Roman" w:eastAsia="Times New Roman" w:hAnsi="Times New Roman" w:cs="Times New Roman"/>
          <w:sz w:val="26"/>
          <w:szCs w:val="26"/>
        </w:rPr>
        <w:t xml:space="preserve"> hướng dẫn chi tiết về những gì các công ty phải </w:t>
      </w:r>
      <w:r>
        <w:rPr>
          <w:rFonts w:ascii="Times New Roman" w:eastAsia="Times New Roman" w:hAnsi="Times New Roman" w:cs="Times New Roman"/>
          <w:sz w:val="26"/>
          <w:szCs w:val="26"/>
        </w:rPr>
        <w:t>báo cáo</w:t>
      </w:r>
      <w:r w:rsidRPr="0065116E">
        <w:rPr>
          <w:rFonts w:ascii="Times New Roman" w:eastAsia="Times New Roman" w:hAnsi="Times New Roman" w:cs="Times New Roman"/>
          <w:sz w:val="26"/>
          <w:szCs w:val="26"/>
        </w:rPr>
        <w:t xml:space="preserve"> để tuân thủ CSRD. Các tiêu chuẩn này được thiết kế để đảm bảo báo cáo phát triển bền vững </w:t>
      </w:r>
      <w:r>
        <w:rPr>
          <w:rFonts w:ascii="Times New Roman" w:eastAsia="Times New Roman" w:hAnsi="Times New Roman" w:cs="Times New Roman"/>
          <w:sz w:val="26"/>
          <w:szCs w:val="26"/>
        </w:rPr>
        <w:t xml:space="preserve">được </w:t>
      </w:r>
      <w:r w:rsidRPr="0065116E">
        <w:rPr>
          <w:rFonts w:ascii="Times New Roman" w:eastAsia="Times New Roman" w:hAnsi="Times New Roman" w:cs="Times New Roman"/>
          <w:sz w:val="26"/>
          <w:szCs w:val="26"/>
        </w:rPr>
        <w:t xml:space="preserve">nhất quán, có thể so sánh </w:t>
      </w:r>
      <w:r>
        <w:rPr>
          <w:rFonts w:ascii="Times New Roman" w:eastAsia="Times New Roman" w:hAnsi="Times New Roman" w:cs="Times New Roman"/>
          <w:sz w:val="26"/>
          <w:szCs w:val="26"/>
        </w:rPr>
        <w:t xml:space="preserve">được </w:t>
      </w:r>
      <w:r w:rsidRPr="0065116E">
        <w:rPr>
          <w:rFonts w:ascii="Times New Roman" w:eastAsia="Times New Roman" w:hAnsi="Times New Roman" w:cs="Times New Roman"/>
          <w:sz w:val="26"/>
          <w:szCs w:val="26"/>
        </w:rPr>
        <w:t>và có liên quan trên toàn EU.</w:t>
      </w:r>
    </w:p>
    <w:p w:rsidR="0065116E" w:rsidRPr="0065116E" w:rsidRDefault="0065116E" w:rsidP="0065116E">
      <w:pPr>
        <w:spacing w:before="120" w:after="120" w:line="240" w:lineRule="auto"/>
        <w:jc w:val="both"/>
        <w:rPr>
          <w:rFonts w:ascii="Times New Roman" w:eastAsia="Times New Roman" w:hAnsi="Times New Roman" w:cs="Times New Roman"/>
          <w:sz w:val="26"/>
          <w:szCs w:val="26"/>
        </w:rPr>
      </w:pPr>
      <w:r w:rsidRPr="0065116E">
        <w:rPr>
          <w:rFonts w:ascii="Times New Roman" w:eastAsia="Times New Roman" w:hAnsi="Times New Roman" w:cs="Times New Roman"/>
          <w:sz w:val="26"/>
          <w:szCs w:val="26"/>
        </w:rPr>
        <w:lastRenderedPageBreak/>
        <w:t xml:space="preserve">ESRS bao </w:t>
      </w:r>
      <w:r>
        <w:rPr>
          <w:rFonts w:ascii="Times New Roman" w:eastAsia="Times New Roman" w:hAnsi="Times New Roman" w:cs="Times New Roman"/>
          <w:sz w:val="26"/>
          <w:szCs w:val="26"/>
        </w:rPr>
        <w:t>trùm</w:t>
      </w:r>
      <w:r w:rsidRPr="0065116E">
        <w:rPr>
          <w:rFonts w:ascii="Times New Roman" w:eastAsia="Times New Roman" w:hAnsi="Times New Roman" w:cs="Times New Roman"/>
          <w:sz w:val="26"/>
          <w:szCs w:val="26"/>
        </w:rPr>
        <w:t xml:space="preserve"> nhiều chủ đề </w:t>
      </w:r>
      <w:r>
        <w:rPr>
          <w:rFonts w:ascii="Times New Roman" w:eastAsia="Times New Roman" w:hAnsi="Times New Roman" w:cs="Times New Roman"/>
          <w:sz w:val="26"/>
          <w:szCs w:val="26"/>
        </w:rPr>
        <w:t xml:space="preserve">của </w:t>
      </w:r>
      <w:r w:rsidRPr="0065116E">
        <w:rPr>
          <w:rFonts w:ascii="Times New Roman" w:eastAsia="Times New Roman" w:hAnsi="Times New Roman" w:cs="Times New Roman"/>
          <w:sz w:val="26"/>
          <w:szCs w:val="26"/>
        </w:rPr>
        <w:t xml:space="preserve">ESG, bao gồm biến đổi khí hậu, đa dạng sinh học, các vấn đề </w:t>
      </w:r>
      <w:r>
        <w:rPr>
          <w:rFonts w:ascii="Times New Roman" w:eastAsia="Times New Roman" w:hAnsi="Times New Roman" w:cs="Times New Roman"/>
          <w:sz w:val="26"/>
          <w:szCs w:val="26"/>
        </w:rPr>
        <w:t xml:space="preserve">về </w:t>
      </w:r>
      <w:r w:rsidRPr="0065116E">
        <w:rPr>
          <w:rFonts w:ascii="Times New Roman" w:eastAsia="Times New Roman" w:hAnsi="Times New Roman" w:cs="Times New Roman"/>
          <w:sz w:val="26"/>
          <w:szCs w:val="26"/>
        </w:rPr>
        <w:t>xã hội và nhân quyền, và các cấu trúc quản trị. Các tiêu chuẩn đang được Nhóm tư vấn báo cáo tài chính Châu Âu (EFRAG) xây dựng với sự hợp tác của các bên liên quan từ ngành công nghiệp</w:t>
      </w:r>
      <w:r>
        <w:rPr>
          <w:rFonts w:ascii="Times New Roman" w:eastAsia="Times New Roman" w:hAnsi="Times New Roman" w:cs="Times New Roman"/>
          <w:sz w:val="26"/>
          <w:szCs w:val="26"/>
        </w:rPr>
        <w:t xml:space="preserve"> đến</w:t>
      </w:r>
      <w:r w:rsidRPr="0065116E">
        <w:rPr>
          <w:rFonts w:ascii="Times New Roman" w:eastAsia="Times New Roman" w:hAnsi="Times New Roman" w:cs="Times New Roman"/>
          <w:sz w:val="26"/>
          <w:szCs w:val="26"/>
        </w:rPr>
        <w:t xml:space="preserve"> xã hội dân sự và các cơ quan quản lý.</w:t>
      </w:r>
    </w:p>
    <w:p w:rsidR="0065116E" w:rsidRPr="0065116E" w:rsidRDefault="0065116E" w:rsidP="0065116E">
      <w:pPr>
        <w:spacing w:before="120" w:after="120" w:line="240" w:lineRule="auto"/>
        <w:jc w:val="both"/>
        <w:rPr>
          <w:rFonts w:ascii="Times New Roman" w:eastAsia="Times New Roman" w:hAnsi="Times New Roman" w:cs="Times New Roman"/>
          <w:b/>
          <w:sz w:val="26"/>
          <w:szCs w:val="26"/>
        </w:rPr>
      </w:pPr>
      <w:r w:rsidRPr="0065116E">
        <w:rPr>
          <w:rFonts w:ascii="Times New Roman" w:eastAsia="Times New Roman" w:hAnsi="Times New Roman" w:cs="Times New Roman"/>
          <w:b/>
          <w:sz w:val="26"/>
          <w:szCs w:val="26"/>
        </w:rPr>
        <w:t>Một số khía cạnh đán</w:t>
      </w:r>
      <w:r>
        <w:rPr>
          <w:rFonts w:ascii="Times New Roman" w:eastAsia="Times New Roman" w:hAnsi="Times New Roman" w:cs="Times New Roman"/>
          <w:b/>
          <w:sz w:val="26"/>
          <w:szCs w:val="26"/>
        </w:rPr>
        <w:t>g chú ý của ESRS:</w:t>
      </w:r>
    </w:p>
    <w:p w:rsidR="0065116E" w:rsidRPr="0065116E" w:rsidRDefault="0065116E" w:rsidP="0065116E">
      <w:pPr>
        <w:pStyle w:val="ListParagraph"/>
        <w:numPr>
          <w:ilvl w:val="0"/>
          <w:numId w:val="6"/>
        </w:numPr>
        <w:spacing w:before="120" w:after="120" w:line="240" w:lineRule="auto"/>
        <w:jc w:val="both"/>
        <w:rPr>
          <w:rFonts w:ascii="Times New Roman" w:eastAsia="Times New Roman" w:hAnsi="Times New Roman" w:cs="Times New Roman"/>
          <w:sz w:val="26"/>
          <w:szCs w:val="26"/>
        </w:rPr>
      </w:pPr>
      <w:r w:rsidRPr="0065116E">
        <w:rPr>
          <w:rFonts w:ascii="Times New Roman" w:eastAsia="Times New Roman" w:hAnsi="Times New Roman" w:cs="Times New Roman"/>
          <w:b/>
          <w:sz w:val="26"/>
          <w:szCs w:val="26"/>
        </w:rPr>
        <w:t>Hướng dẫn cụ thể theo ngành</w:t>
      </w:r>
      <w:r w:rsidRPr="0065116E">
        <w:rPr>
          <w:rFonts w:ascii="Times New Roman" w:eastAsia="Times New Roman" w:hAnsi="Times New Roman" w:cs="Times New Roman"/>
          <w:sz w:val="26"/>
          <w:szCs w:val="26"/>
        </w:rPr>
        <w:t>: ESRS cuối cùng sẽ cung cấp các tiêu chuẩn cụ thể theo ngành, thừa nhận rằng các ngành khác nhau phải đối mặt với các rủi ro và cơ hội ESG khác nhau.</w:t>
      </w:r>
    </w:p>
    <w:p w:rsidR="0065116E" w:rsidRPr="0065116E" w:rsidRDefault="0065116E" w:rsidP="0065116E">
      <w:pPr>
        <w:pStyle w:val="ListParagraph"/>
        <w:numPr>
          <w:ilvl w:val="0"/>
          <w:numId w:val="6"/>
        </w:numPr>
        <w:spacing w:before="120" w:after="120" w:line="240" w:lineRule="auto"/>
        <w:jc w:val="both"/>
        <w:rPr>
          <w:rFonts w:ascii="Times New Roman" w:eastAsia="Times New Roman" w:hAnsi="Times New Roman" w:cs="Times New Roman"/>
          <w:sz w:val="26"/>
          <w:szCs w:val="26"/>
        </w:rPr>
      </w:pPr>
      <w:r w:rsidRPr="0065116E">
        <w:rPr>
          <w:rFonts w:ascii="Times New Roman" w:eastAsia="Times New Roman" w:hAnsi="Times New Roman" w:cs="Times New Roman"/>
          <w:b/>
          <w:sz w:val="26"/>
          <w:szCs w:val="26"/>
        </w:rPr>
        <w:t>Phù hợp với các tiêu chuẩn toàn cầu</w:t>
      </w:r>
      <w:r w:rsidRPr="0065116E">
        <w:rPr>
          <w:rFonts w:ascii="Times New Roman" w:eastAsia="Times New Roman" w:hAnsi="Times New Roman" w:cs="Times New Roman"/>
          <w:sz w:val="26"/>
          <w:szCs w:val="26"/>
        </w:rPr>
        <w:t>: Mặc dù ESRS là sáng kiến ​​của Châu Âu, nhưng sáng kiến ​​này tìm cách phù hợp với các khuôn khổ báo cáo ESG toàn cầu khác, chẳng hạn như Sáng kiến ​​báo cáo toàn cầu (GRI) và Hội đồng tiêu chuẩn kế toán phát triển bền vững (SASB). Sự hài hòa này rất quan trọng vì các công ty thường hoạt động ở nhiều khu vực và phải đối mặt với các yêu cầu báo cáo khác nhau.</w:t>
      </w:r>
    </w:p>
    <w:p w:rsidR="0065116E" w:rsidRPr="0065116E" w:rsidRDefault="0065116E" w:rsidP="0065116E">
      <w:pPr>
        <w:pStyle w:val="ListParagraph"/>
        <w:numPr>
          <w:ilvl w:val="0"/>
          <w:numId w:val="6"/>
        </w:numPr>
        <w:spacing w:before="120" w:after="120" w:line="240" w:lineRule="auto"/>
        <w:jc w:val="both"/>
        <w:rPr>
          <w:rFonts w:ascii="Times New Roman" w:eastAsia="Times New Roman" w:hAnsi="Times New Roman" w:cs="Times New Roman"/>
          <w:sz w:val="26"/>
          <w:szCs w:val="26"/>
        </w:rPr>
      </w:pPr>
      <w:r w:rsidRPr="0065116E">
        <w:rPr>
          <w:rFonts w:ascii="Times New Roman" w:eastAsia="Times New Roman" w:hAnsi="Times New Roman" w:cs="Times New Roman"/>
          <w:b/>
          <w:sz w:val="26"/>
          <w:szCs w:val="26"/>
        </w:rPr>
        <w:t>Minh bạch và so sánh</w:t>
      </w:r>
      <w:r>
        <w:rPr>
          <w:rFonts w:ascii="Times New Roman" w:eastAsia="Times New Roman" w:hAnsi="Times New Roman" w:cs="Times New Roman"/>
          <w:b/>
          <w:sz w:val="26"/>
          <w:szCs w:val="26"/>
        </w:rPr>
        <w:t xml:space="preserve"> được</w:t>
      </w:r>
      <w:r w:rsidRPr="0065116E">
        <w:rPr>
          <w:rFonts w:ascii="Times New Roman" w:eastAsia="Times New Roman" w:hAnsi="Times New Roman" w:cs="Times New Roman"/>
          <w:sz w:val="26"/>
          <w:szCs w:val="26"/>
        </w:rPr>
        <w:t xml:space="preserve">: ESRS hướng đến mục tiêu đảm bảo các công ty cung cấp thông tin ESG </w:t>
      </w:r>
      <w:r>
        <w:rPr>
          <w:rFonts w:ascii="Times New Roman" w:eastAsia="Times New Roman" w:hAnsi="Times New Roman" w:cs="Times New Roman"/>
          <w:sz w:val="26"/>
          <w:szCs w:val="26"/>
        </w:rPr>
        <w:t xml:space="preserve">được </w:t>
      </w:r>
      <w:r w:rsidRPr="0065116E">
        <w:rPr>
          <w:rFonts w:ascii="Times New Roman" w:eastAsia="Times New Roman" w:hAnsi="Times New Roman" w:cs="Times New Roman"/>
          <w:sz w:val="26"/>
          <w:szCs w:val="26"/>
        </w:rPr>
        <w:t>chuẩn hóa và có thể so sánh</w:t>
      </w:r>
      <w:r>
        <w:rPr>
          <w:rFonts w:ascii="Times New Roman" w:eastAsia="Times New Roman" w:hAnsi="Times New Roman" w:cs="Times New Roman"/>
          <w:sz w:val="26"/>
          <w:szCs w:val="26"/>
        </w:rPr>
        <w:t xml:space="preserve"> được</w:t>
      </w:r>
      <w:r w:rsidRPr="0065116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giúp</w:t>
      </w:r>
      <w:r w:rsidRPr="0065116E">
        <w:rPr>
          <w:rFonts w:ascii="Times New Roman" w:eastAsia="Times New Roman" w:hAnsi="Times New Roman" w:cs="Times New Roman"/>
          <w:sz w:val="26"/>
          <w:szCs w:val="26"/>
        </w:rPr>
        <w:t xml:space="preserve"> các bên liên quan đánh giá hiệu suất của họ dễ dàng hơn.</w:t>
      </w:r>
    </w:p>
    <w:p w:rsidR="0065116E" w:rsidRPr="0065116E" w:rsidRDefault="0065116E" w:rsidP="0065116E">
      <w:pPr>
        <w:spacing w:before="120" w:after="120" w:line="240" w:lineRule="auto"/>
        <w:jc w:val="both"/>
        <w:rPr>
          <w:rFonts w:ascii="Times New Roman" w:eastAsia="Times New Roman" w:hAnsi="Times New Roman" w:cs="Times New Roman"/>
          <w:b/>
          <w:sz w:val="26"/>
          <w:szCs w:val="26"/>
        </w:rPr>
      </w:pPr>
      <w:r w:rsidRPr="0065116E">
        <w:rPr>
          <w:rFonts w:ascii="Times New Roman" w:eastAsia="Times New Roman" w:hAnsi="Times New Roman" w:cs="Times New Roman"/>
          <w:b/>
          <w:sz w:val="26"/>
          <w:szCs w:val="26"/>
        </w:rPr>
        <w:t xml:space="preserve">Tại sao ESG và CSRD </w:t>
      </w:r>
      <w:r>
        <w:rPr>
          <w:rFonts w:ascii="Times New Roman" w:eastAsia="Times New Roman" w:hAnsi="Times New Roman" w:cs="Times New Roman"/>
          <w:b/>
          <w:sz w:val="26"/>
          <w:szCs w:val="26"/>
        </w:rPr>
        <w:t xml:space="preserve">lại </w:t>
      </w:r>
      <w:r w:rsidRPr="0065116E">
        <w:rPr>
          <w:rFonts w:ascii="Times New Roman" w:eastAsia="Times New Roman" w:hAnsi="Times New Roman" w:cs="Times New Roman"/>
          <w:b/>
          <w:sz w:val="26"/>
          <w:szCs w:val="26"/>
        </w:rPr>
        <w:t>quan trọng đối với doanh nghiệp</w:t>
      </w:r>
    </w:p>
    <w:p w:rsidR="0065116E" w:rsidRPr="0065116E" w:rsidRDefault="0065116E" w:rsidP="0065116E">
      <w:pPr>
        <w:spacing w:before="120" w:after="120" w:line="240" w:lineRule="auto"/>
        <w:jc w:val="both"/>
        <w:rPr>
          <w:rFonts w:ascii="Times New Roman" w:eastAsia="Times New Roman" w:hAnsi="Times New Roman" w:cs="Times New Roman"/>
          <w:sz w:val="26"/>
          <w:szCs w:val="26"/>
        </w:rPr>
      </w:pPr>
      <w:r w:rsidRPr="0065116E">
        <w:rPr>
          <w:rFonts w:ascii="Times New Roman" w:eastAsia="Times New Roman" w:hAnsi="Times New Roman" w:cs="Times New Roman"/>
          <w:sz w:val="26"/>
          <w:szCs w:val="26"/>
        </w:rPr>
        <w:t xml:space="preserve">Việc kết hợp các cân nhắc về ESG và tuân thủ CSRD và ESRS có thể gây ra những thách thức, </w:t>
      </w:r>
      <w:r>
        <w:rPr>
          <w:rFonts w:ascii="Times New Roman" w:eastAsia="Times New Roman" w:hAnsi="Times New Roman" w:cs="Times New Roman"/>
          <w:sz w:val="26"/>
          <w:szCs w:val="26"/>
        </w:rPr>
        <w:t xml:space="preserve">nhất </w:t>
      </w:r>
      <w:r w:rsidRPr="0065116E">
        <w:rPr>
          <w:rFonts w:ascii="Times New Roman" w:eastAsia="Times New Roman" w:hAnsi="Times New Roman" w:cs="Times New Roman"/>
          <w:sz w:val="26"/>
          <w:szCs w:val="26"/>
        </w:rPr>
        <w:t xml:space="preserve">là đối với các công ty không quen với báo cáo phát triển bền vững. Tuy nhiên, lợi ích thu được lớn hơn nhiều so với chi phí. Sau đây là </w:t>
      </w:r>
      <w:r>
        <w:rPr>
          <w:rFonts w:ascii="Times New Roman" w:eastAsia="Times New Roman" w:hAnsi="Times New Roman" w:cs="Times New Roman"/>
          <w:sz w:val="26"/>
          <w:szCs w:val="26"/>
        </w:rPr>
        <w:t xml:space="preserve">các </w:t>
      </w:r>
      <w:r w:rsidRPr="0065116E">
        <w:rPr>
          <w:rFonts w:ascii="Times New Roman" w:eastAsia="Times New Roman" w:hAnsi="Times New Roman" w:cs="Times New Roman"/>
          <w:sz w:val="26"/>
          <w:szCs w:val="26"/>
        </w:rPr>
        <w:t>lý do:</w:t>
      </w:r>
    </w:p>
    <w:p w:rsidR="0065116E" w:rsidRPr="0065116E" w:rsidRDefault="0065116E" w:rsidP="0065116E">
      <w:pPr>
        <w:pStyle w:val="ListParagraph"/>
        <w:numPr>
          <w:ilvl w:val="0"/>
          <w:numId w:val="10"/>
        </w:numPr>
        <w:spacing w:before="120" w:after="120" w:line="240" w:lineRule="auto"/>
        <w:jc w:val="both"/>
        <w:rPr>
          <w:rFonts w:ascii="Times New Roman" w:eastAsia="Times New Roman" w:hAnsi="Times New Roman" w:cs="Times New Roman"/>
          <w:sz w:val="26"/>
          <w:szCs w:val="26"/>
        </w:rPr>
      </w:pPr>
      <w:r w:rsidRPr="0065116E">
        <w:rPr>
          <w:rFonts w:ascii="Times New Roman" w:eastAsia="Times New Roman" w:hAnsi="Times New Roman" w:cs="Times New Roman"/>
          <w:b/>
          <w:sz w:val="26"/>
          <w:szCs w:val="26"/>
        </w:rPr>
        <w:t>Cải thiện khả năng tiếp cận vốn:</w:t>
      </w:r>
      <w:r w:rsidRPr="0065116E">
        <w:rPr>
          <w:rFonts w:ascii="Times New Roman" w:eastAsia="Times New Roman" w:hAnsi="Times New Roman" w:cs="Times New Roman"/>
          <w:sz w:val="26"/>
          <w:szCs w:val="26"/>
        </w:rPr>
        <w:t xml:space="preserve"> Các nhà đầu tư ngày càng đưa các tiêu chí ESG vào quyết định đầu tư của mình. Các công ty có hiệu suất ESG mạnh mẽ và báo cáo minh bạch có nhiều khả năng thu hút đầu tư hơn, đặc biệt là từ các nhà đầu tư và tổ chức</w:t>
      </w:r>
      <w:r w:rsidRPr="0065116E">
        <w:rPr>
          <w:rFonts w:ascii="Times New Roman" w:eastAsia="Times New Roman" w:hAnsi="Times New Roman" w:cs="Times New Roman"/>
          <w:sz w:val="26"/>
          <w:szCs w:val="26"/>
        </w:rPr>
        <w:t xml:space="preserve"> </w:t>
      </w:r>
      <w:r w:rsidRPr="0065116E">
        <w:rPr>
          <w:rFonts w:ascii="Times New Roman" w:eastAsia="Times New Roman" w:hAnsi="Times New Roman" w:cs="Times New Roman"/>
          <w:sz w:val="26"/>
          <w:szCs w:val="26"/>
        </w:rPr>
        <w:t>có trách nhiệm xã hội.</w:t>
      </w:r>
    </w:p>
    <w:p w:rsidR="0065116E" w:rsidRPr="0065116E" w:rsidRDefault="0065116E" w:rsidP="0065116E">
      <w:pPr>
        <w:pStyle w:val="ListParagraph"/>
        <w:numPr>
          <w:ilvl w:val="0"/>
          <w:numId w:val="10"/>
        </w:numPr>
        <w:spacing w:before="120" w:after="120" w:line="240" w:lineRule="auto"/>
        <w:jc w:val="both"/>
        <w:rPr>
          <w:rFonts w:ascii="Times New Roman" w:eastAsia="Times New Roman" w:hAnsi="Times New Roman" w:cs="Times New Roman"/>
          <w:sz w:val="26"/>
          <w:szCs w:val="26"/>
        </w:rPr>
      </w:pPr>
      <w:r w:rsidRPr="0065116E">
        <w:rPr>
          <w:rFonts w:ascii="Times New Roman" w:eastAsia="Times New Roman" w:hAnsi="Times New Roman" w:cs="Times New Roman"/>
          <w:b/>
          <w:sz w:val="26"/>
          <w:szCs w:val="26"/>
        </w:rPr>
        <w:t>Quản lý rủi ro:</w:t>
      </w:r>
      <w:r w:rsidRPr="0065116E">
        <w:rPr>
          <w:rFonts w:ascii="Times New Roman" w:eastAsia="Times New Roman" w:hAnsi="Times New Roman" w:cs="Times New Roman"/>
          <w:sz w:val="26"/>
          <w:szCs w:val="26"/>
        </w:rPr>
        <w:t xml:space="preserve"> Các công ty có hoạt động ESG mạnh mẽ được trang bị tốt hơn để dự đoán và giảm thiểu rủi ro liên quan đến biến đổi khí hậu, thay đổi </w:t>
      </w:r>
      <w:r>
        <w:rPr>
          <w:rFonts w:ascii="Times New Roman" w:eastAsia="Times New Roman" w:hAnsi="Times New Roman" w:cs="Times New Roman"/>
          <w:sz w:val="26"/>
          <w:szCs w:val="26"/>
        </w:rPr>
        <w:t xml:space="preserve">của </w:t>
      </w:r>
      <w:r w:rsidRPr="0065116E">
        <w:rPr>
          <w:rFonts w:ascii="Times New Roman" w:eastAsia="Times New Roman" w:hAnsi="Times New Roman" w:cs="Times New Roman"/>
          <w:sz w:val="26"/>
          <w:szCs w:val="26"/>
        </w:rPr>
        <w:t>quy định</w:t>
      </w:r>
      <w:r>
        <w:rPr>
          <w:rFonts w:ascii="Times New Roman" w:eastAsia="Times New Roman" w:hAnsi="Times New Roman" w:cs="Times New Roman"/>
          <w:sz w:val="26"/>
          <w:szCs w:val="26"/>
        </w:rPr>
        <w:t xml:space="preserve"> pháp luật</w:t>
      </w:r>
      <w:r w:rsidRPr="0065116E">
        <w:rPr>
          <w:rFonts w:ascii="Times New Roman" w:eastAsia="Times New Roman" w:hAnsi="Times New Roman" w:cs="Times New Roman"/>
          <w:sz w:val="26"/>
          <w:szCs w:val="26"/>
        </w:rPr>
        <w:t>, gián đoạn chuỗi cung ứng và tổn hại đến danh tiếng.</w:t>
      </w:r>
    </w:p>
    <w:p w:rsidR="0065116E" w:rsidRPr="0065116E" w:rsidRDefault="0065116E" w:rsidP="0065116E">
      <w:pPr>
        <w:pStyle w:val="ListParagraph"/>
        <w:numPr>
          <w:ilvl w:val="0"/>
          <w:numId w:val="10"/>
        </w:numPr>
        <w:spacing w:before="120" w:after="120" w:line="240" w:lineRule="auto"/>
        <w:jc w:val="both"/>
        <w:rPr>
          <w:rFonts w:ascii="Times New Roman" w:eastAsia="Times New Roman" w:hAnsi="Times New Roman" w:cs="Times New Roman"/>
          <w:sz w:val="26"/>
          <w:szCs w:val="26"/>
        </w:rPr>
      </w:pPr>
      <w:r w:rsidRPr="0065116E">
        <w:rPr>
          <w:rFonts w:ascii="Times New Roman" w:eastAsia="Times New Roman" w:hAnsi="Times New Roman" w:cs="Times New Roman"/>
          <w:b/>
          <w:sz w:val="26"/>
          <w:szCs w:val="26"/>
        </w:rPr>
        <w:t xml:space="preserve">Tuân thủ </w:t>
      </w:r>
      <w:r>
        <w:rPr>
          <w:rFonts w:ascii="Times New Roman" w:eastAsia="Times New Roman" w:hAnsi="Times New Roman" w:cs="Times New Roman"/>
          <w:b/>
          <w:sz w:val="26"/>
          <w:szCs w:val="26"/>
        </w:rPr>
        <w:t>pháp luật</w:t>
      </w:r>
      <w:r w:rsidRPr="0065116E">
        <w:rPr>
          <w:rFonts w:ascii="Times New Roman" w:eastAsia="Times New Roman" w:hAnsi="Times New Roman" w:cs="Times New Roman"/>
          <w:sz w:val="26"/>
          <w:szCs w:val="26"/>
        </w:rPr>
        <w:t xml:space="preserve">: Với sự ra đời của CSRD và ESRS, việc không tuân thủ không phải là một lựa chọn. Các công ty không đáp ứng các yêu cầu </w:t>
      </w:r>
      <w:r>
        <w:rPr>
          <w:rFonts w:ascii="Times New Roman" w:eastAsia="Times New Roman" w:hAnsi="Times New Roman" w:cs="Times New Roman"/>
          <w:sz w:val="26"/>
          <w:szCs w:val="26"/>
        </w:rPr>
        <w:t xml:space="preserve">của </w:t>
      </w:r>
      <w:r w:rsidRPr="0065116E">
        <w:rPr>
          <w:rFonts w:ascii="Times New Roman" w:eastAsia="Times New Roman" w:hAnsi="Times New Roman" w:cs="Times New Roman"/>
          <w:sz w:val="26"/>
          <w:szCs w:val="26"/>
        </w:rPr>
        <w:t>báo cáo có thể phải đối mặt với các hình phạt pháp lý và tài chính.</w:t>
      </w:r>
    </w:p>
    <w:p w:rsidR="0065116E" w:rsidRPr="0065116E" w:rsidRDefault="0065116E" w:rsidP="0065116E">
      <w:pPr>
        <w:pStyle w:val="ListParagraph"/>
        <w:numPr>
          <w:ilvl w:val="0"/>
          <w:numId w:val="10"/>
        </w:numPr>
        <w:spacing w:before="120" w:after="120" w:line="240" w:lineRule="auto"/>
        <w:jc w:val="both"/>
        <w:rPr>
          <w:rFonts w:ascii="Times New Roman" w:eastAsia="Times New Roman" w:hAnsi="Times New Roman" w:cs="Times New Roman"/>
          <w:sz w:val="26"/>
          <w:szCs w:val="26"/>
        </w:rPr>
      </w:pPr>
      <w:r w:rsidRPr="0065116E">
        <w:rPr>
          <w:rFonts w:ascii="Times New Roman" w:eastAsia="Times New Roman" w:hAnsi="Times New Roman" w:cs="Times New Roman"/>
          <w:b/>
          <w:sz w:val="26"/>
          <w:szCs w:val="26"/>
        </w:rPr>
        <w:t>Thương hiệu và danh tiếng</w:t>
      </w:r>
      <w:r w:rsidRPr="0065116E">
        <w:rPr>
          <w:rFonts w:ascii="Times New Roman" w:eastAsia="Times New Roman" w:hAnsi="Times New Roman" w:cs="Times New Roman"/>
          <w:sz w:val="26"/>
          <w:szCs w:val="26"/>
        </w:rPr>
        <w:t>: Người tiêu dùng và các bên liên quan có xu hướng ủng hộ các doanh nghiệp tuân thủ các hoạt động đạo đức và bền vững. Báo cáo ESG minh bạch có thể xây dựng lòng tin và tăng cường lòng trung thành với thương hiệu.</w:t>
      </w:r>
    </w:p>
    <w:p w:rsidR="0065116E" w:rsidRPr="0065116E" w:rsidRDefault="0065116E" w:rsidP="0065116E">
      <w:pPr>
        <w:pStyle w:val="ListParagraph"/>
        <w:numPr>
          <w:ilvl w:val="0"/>
          <w:numId w:val="10"/>
        </w:numPr>
        <w:spacing w:before="120" w:after="120" w:line="240" w:lineRule="auto"/>
        <w:jc w:val="both"/>
        <w:rPr>
          <w:rFonts w:ascii="Times New Roman" w:eastAsia="Times New Roman" w:hAnsi="Times New Roman" w:cs="Times New Roman"/>
          <w:sz w:val="26"/>
          <w:szCs w:val="26"/>
        </w:rPr>
      </w:pPr>
      <w:r w:rsidRPr="0065116E">
        <w:rPr>
          <w:rFonts w:ascii="Times New Roman" w:eastAsia="Times New Roman" w:hAnsi="Times New Roman" w:cs="Times New Roman"/>
          <w:b/>
          <w:sz w:val="26"/>
          <w:szCs w:val="26"/>
        </w:rPr>
        <w:t>Tạo ra giá trị dài hạn</w:t>
      </w:r>
      <w:r w:rsidRPr="0065116E">
        <w:rPr>
          <w:rFonts w:ascii="Times New Roman" w:eastAsia="Times New Roman" w:hAnsi="Times New Roman" w:cs="Times New Roman"/>
          <w:sz w:val="26"/>
          <w:szCs w:val="26"/>
        </w:rPr>
        <w:t xml:space="preserve">: Tập trung vào ESG ngày càng được coi là đồng nghĩa với việc tạo ra giá trị dài hạn. Các công ty giải quyết </w:t>
      </w:r>
      <w:r>
        <w:rPr>
          <w:rFonts w:ascii="Times New Roman" w:eastAsia="Times New Roman" w:hAnsi="Times New Roman" w:cs="Times New Roman"/>
          <w:sz w:val="26"/>
          <w:szCs w:val="26"/>
        </w:rPr>
        <w:t xml:space="preserve">được </w:t>
      </w:r>
      <w:r w:rsidRPr="0065116E">
        <w:rPr>
          <w:rFonts w:ascii="Times New Roman" w:eastAsia="Times New Roman" w:hAnsi="Times New Roman" w:cs="Times New Roman"/>
          <w:sz w:val="26"/>
          <w:szCs w:val="26"/>
        </w:rPr>
        <w:t xml:space="preserve">các thách thức về môi trường và xã hội có nhiều khả năng phát triển mạnh mẽ trong môi trường kinh doanh </w:t>
      </w:r>
      <w:r>
        <w:rPr>
          <w:rFonts w:ascii="Times New Roman" w:eastAsia="Times New Roman" w:hAnsi="Times New Roman" w:cs="Times New Roman"/>
          <w:sz w:val="26"/>
          <w:szCs w:val="26"/>
        </w:rPr>
        <w:t xml:space="preserve">đang </w:t>
      </w:r>
      <w:r w:rsidRPr="0065116E">
        <w:rPr>
          <w:rFonts w:ascii="Times New Roman" w:eastAsia="Times New Roman" w:hAnsi="Times New Roman" w:cs="Times New Roman"/>
          <w:sz w:val="26"/>
          <w:szCs w:val="26"/>
        </w:rPr>
        <w:t>thay đổi nhanh chóng.</w:t>
      </w:r>
    </w:p>
    <w:p w:rsidR="0065116E" w:rsidRPr="001F1894" w:rsidRDefault="0065116E" w:rsidP="0065116E">
      <w:pPr>
        <w:spacing w:before="120" w:after="120" w:line="240" w:lineRule="auto"/>
        <w:jc w:val="both"/>
        <w:rPr>
          <w:rFonts w:ascii="Times New Roman" w:eastAsia="Times New Roman" w:hAnsi="Times New Roman" w:cs="Times New Roman"/>
          <w:sz w:val="26"/>
          <w:szCs w:val="26"/>
        </w:rPr>
      </w:pPr>
      <w:r w:rsidRPr="0065116E">
        <w:rPr>
          <w:rFonts w:ascii="Times New Roman" w:eastAsia="Times New Roman" w:hAnsi="Times New Roman" w:cs="Times New Roman"/>
          <w:sz w:val="26"/>
          <w:szCs w:val="26"/>
        </w:rPr>
        <w:t xml:space="preserve">ESG không còn là "điều tốt để có" mà là một thành phần quan trọng của chiến lược kinh doanh hiện đại. CSRD và ESRS của Liên minh Châu Âu đang thiết lập các tiêu chuẩn mới cho báo cáo phát triển bền vững, thúc đẩy các công ty minh bạch và có trách nhiệm hơn. Khi các tiêu chuẩn này được áp dụng, chúng sẽ không chỉ định hình lại báo cáo của công ty mà còn ảnh </w:t>
      </w:r>
      <w:r w:rsidRPr="0065116E">
        <w:rPr>
          <w:rFonts w:ascii="Times New Roman" w:eastAsia="Times New Roman" w:hAnsi="Times New Roman" w:cs="Times New Roman"/>
          <w:sz w:val="26"/>
          <w:szCs w:val="26"/>
        </w:rPr>
        <w:lastRenderedPageBreak/>
        <w:t>hưởng đến cách các công ty hoạt động, quản lý rủi ro và tạo ra giá trị trong một thế giới đòi hỏi sự chú ý nhiều hơn đến tính bền vững.</w:t>
      </w:r>
    </w:p>
    <w:p w:rsidR="001F1894" w:rsidRPr="001F1894" w:rsidRDefault="001F1894" w:rsidP="00B30EF1">
      <w:pPr>
        <w:spacing w:after="120" w:line="240" w:lineRule="auto"/>
        <w:rPr>
          <w:rFonts w:ascii="Merriweather Sans" w:eastAsia="Times New Roman" w:hAnsi="Merriweather Sans" w:cs="Times New Roman"/>
          <w:color w:val="222222"/>
          <w:sz w:val="23"/>
          <w:szCs w:val="23"/>
        </w:rPr>
      </w:pPr>
      <w:r w:rsidRPr="001F1894">
        <w:rPr>
          <w:rFonts w:ascii="Merriweather Sans" w:eastAsia="Times New Roman" w:hAnsi="Merriweather Sans" w:cs="Times New Roman"/>
          <w:noProof/>
          <w:color w:val="222222"/>
          <w:sz w:val="23"/>
          <w:szCs w:val="23"/>
        </w:rPr>
        <w:drawing>
          <wp:inline distT="0" distB="0" distL="0" distR="0">
            <wp:extent cx="6063260" cy="2735580"/>
            <wp:effectExtent l="0" t="0" r="0" b="7620"/>
            <wp:docPr id="1" name="Picture 1" descr="ESG for sh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G for shipp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14501" cy="2758699"/>
                    </a:xfrm>
                    <a:prstGeom prst="rect">
                      <a:avLst/>
                    </a:prstGeom>
                    <a:noFill/>
                    <a:ln>
                      <a:noFill/>
                    </a:ln>
                  </pic:spPr>
                </pic:pic>
              </a:graphicData>
            </a:graphic>
          </wp:inline>
        </w:drawing>
      </w:r>
    </w:p>
    <w:p w:rsidR="0065116E" w:rsidRPr="0065116E" w:rsidRDefault="0065116E" w:rsidP="0065116E">
      <w:pPr>
        <w:spacing w:before="120" w:after="120" w:line="240" w:lineRule="auto"/>
        <w:jc w:val="both"/>
        <w:rPr>
          <w:rFonts w:ascii="Times New Roman" w:eastAsia="Times New Roman" w:hAnsi="Times New Roman" w:cs="Times New Roman"/>
          <w:b/>
          <w:sz w:val="26"/>
          <w:szCs w:val="26"/>
        </w:rPr>
      </w:pPr>
      <w:r w:rsidRPr="0065116E">
        <w:rPr>
          <w:rFonts w:ascii="Times New Roman" w:eastAsia="Times New Roman" w:hAnsi="Times New Roman" w:cs="Times New Roman"/>
          <w:b/>
          <w:sz w:val="26"/>
          <w:szCs w:val="26"/>
        </w:rPr>
        <w:t>Trong lĩnh vực</w:t>
      </w:r>
      <w:r w:rsidRPr="0065116E">
        <w:rPr>
          <w:rFonts w:ascii="Times New Roman" w:eastAsia="Times New Roman" w:hAnsi="Times New Roman" w:cs="Times New Roman"/>
          <w:b/>
          <w:sz w:val="26"/>
          <w:szCs w:val="26"/>
        </w:rPr>
        <w:t xml:space="preserve"> hàng hải</w:t>
      </w:r>
    </w:p>
    <w:p w:rsidR="0065116E" w:rsidRPr="0065116E" w:rsidRDefault="0065116E" w:rsidP="0065116E">
      <w:pPr>
        <w:spacing w:before="120" w:after="120" w:line="240" w:lineRule="auto"/>
        <w:jc w:val="both"/>
        <w:rPr>
          <w:rFonts w:ascii="Times New Roman" w:eastAsia="Times New Roman" w:hAnsi="Times New Roman" w:cs="Times New Roman"/>
          <w:sz w:val="26"/>
          <w:szCs w:val="26"/>
        </w:rPr>
      </w:pPr>
      <w:r w:rsidRPr="00B30EF1">
        <w:rPr>
          <w:rFonts w:ascii="Times New Roman" w:eastAsia="Times New Roman" w:hAnsi="Times New Roman" w:cs="Times New Roman"/>
          <w:b/>
          <w:sz w:val="26"/>
          <w:szCs w:val="26"/>
        </w:rPr>
        <w:t xml:space="preserve">Chỉ thị </w:t>
      </w:r>
      <w:r w:rsidR="00B30EF1" w:rsidRPr="00B30EF1">
        <w:rPr>
          <w:rFonts w:ascii="Times New Roman" w:eastAsia="Times New Roman" w:hAnsi="Times New Roman" w:cs="Times New Roman"/>
          <w:b/>
          <w:sz w:val="26"/>
          <w:szCs w:val="26"/>
        </w:rPr>
        <w:t xml:space="preserve">về </w:t>
      </w:r>
      <w:r w:rsidRPr="00B30EF1">
        <w:rPr>
          <w:rFonts w:ascii="Times New Roman" w:eastAsia="Times New Roman" w:hAnsi="Times New Roman" w:cs="Times New Roman"/>
          <w:b/>
          <w:sz w:val="26"/>
          <w:szCs w:val="26"/>
        </w:rPr>
        <w:t xml:space="preserve">báo cáo phát triển bền vững của doanh nghiệp (CSRD) </w:t>
      </w:r>
      <w:r w:rsidRPr="0065116E">
        <w:rPr>
          <w:rFonts w:ascii="Times New Roman" w:eastAsia="Times New Roman" w:hAnsi="Times New Roman" w:cs="Times New Roman"/>
          <w:sz w:val="26"/>
          <w:szCs w:val="26"/>
        </w:rPr>
        <w:t xml:space="preserve">và </w:t>
      </w:r>
      <w:r w:rsidRPr="00B30EF1">
        <w:rPr>
          <w:rFonts w:ascii="Times New Roman" w:eastAsia="Times New Roman" w:hAnsi="Times New Roman" w:cs="Times New Roman"/>
          <w:b/>
          <w:sz w:val="26"/>
          <w:szCs w:val="26"/>
        </w:rPr>
        <w:t>Tiêu chuẩn báo cáo phát triển bền vững của châu Âu (ESRS)</w:t>
      </w:r>
      <w:r w:rsidRPr="0065116E">
        <w:rPr>
          <w:rFonts w:ascii="Times New Roman" w:eastAsia="Times New Roman" w:hAnsi="Times New Roman" w:cs="Times New Roman"/>
          <w:sz w:val="26"/>
          <w:szCs w:val="26"/>
        </w:rPr>
        <w:t xml:space="preserve"> đi kèm sẽ mang lại những thay đổi đáng kể cho ngành hàng hải, </w:t>
      </w:r>
      <w:r w:rsidR="00B30EF1">
        <w:rPr>
          <w:rFonts w:ascii="Times New Roman" w:eastAsia="Times New Roman" w:hAnsi="Times New Roman" w:cs="Times New Roman"/>
          <w:sz w:val="26"/>
          <w:szCs w:val="26"/>
        </w:rPr>
        <w:t>chúng đòi hỏi</w:t>
      </w:r>
      <w:r w:rsidRPr="0065116E">
        <w:rPr>
          <w:rFonts w:ascii="Times New Roman" w:eastAsia="Times New Roman" w:hAnsi="Times New Roman" w:cs="Times New Roman"/>
          <w:sz w:val="26"/>
          <w:szCs w:val="26"/>
        </w:rPr>
        <w:t xml:space="preserve"> các công ty phải cung cấp các báo cáo chi tiết và minh bạch hơn về tác động xã hội và môi trường của họ. Các công ty hàng hải, đóng vai trò quan trọng trong thương mại toàn cầu nhưng cũng góp phần đáng kể vào các vấn đề môi trường như phát thải carbon, ô nhiễm đại dương và mất đa dạng sinh học, sẽ được yêu cầu </w:t>
      </w:r>
      <w:r w:rsidR="00B30EF1">
        <w:rPr>
          <w:rFonts w:ascii="Times New Roman" w:eastAsia="Times New Roman" w:hAnsi="Times New Roman" w:cs="Times New Roman"/>
          <w:sz w:val="26"/>
          <w:szCs w:val="26"/>
        </w:rPr>
        <w:t>phải báo cáo</w:t>
      </w:r>
      <w:r w:rsidRPr="0065116E">
        <w:rPr>
          <w:rFonts w:ascii="Times New Roman" w:eastAsia="Times New Roman" w:hAnsi="Times New Roman" w:cs="Times New Roman"/>
          <w:sz w:val="26"/>
          <w:szCs w:val="26"/>
        </w:rPr>
        <w:t xml:space="preserve"> thông tin về cách họ giải quyết những mối quan </w:t>
      </w:r>
      <w:r w:rsidR="00B30EF1">
        <w:rPr>
          <w:rFonts w:ascii="Times New Roman" w:eastAsia="Times New Roman" w:hAnsi="Times New Roman" w:cs="Times New Roman"/>
          <w:sz w:val="26"/>
          <w:szCs w:val="26"/>
        </w:rPr>
        <w:t>ngại</w:t>
      </w:r>
      <w:r w:rsidRPr="0065116E">
        <w:rPr>
          <w:rFonts w:ascii="Times New Roman" w:eastAsia="Times New Roman" w:hAnsi="Times New Roman" w:cs="Times New Roman"/>
          <w:sz w:val="26"/>
          <w:szCs w:val="26"/>
        </w:rPr>
        <w:t xml:space="preserve"> này. Ngoài ra, các tiêu chí xã hội, bao gồm </w:t>
      </w:r>
      <w:r w:rsidR="00B30EF1">
        <w:rPr>
          <w:rFonts w:ascii="Times New Roman" w:eastAsia="Times New Roman" w:hAnsi="Times New Roman" w:cs="Times New Roman"/>
          <w:sz w:val="26"/>
          <w:szCs w:val="26"/>
        </w:rPr>
        <w:t>việc sử dụng</w:t>
      </w:r>
      <w:r w:rsidRPr="0065116E">
        <w:rPr>
          <w:rFonts w:ascii="Times New Roman" w:eastAsia="Times New Roman" w:hAnsi="Times New Roman" w:cs="Times New Roman"/>
          <w:sz w:val="26"/>
          <w:szCs w:val="26"/>
        </w:rPr>
        <w:t xml:space="preserve"> lao động, quyền con người và phúc lợi của </w:t>
      </w:r>
      <w:r w:rsidR="00B30EF1">
        <w:rPr>
          <w:rFonts w:ascii="Times New Roman" w:eastAsia="Times New Roman" w:hAnsi="Times New Roman" w:cs="Times New Roman"/>
          <w:sz w:val="26"/>
          <w:szCs w:val="26"/>
        </w:rPr>
        <w:t>thuyền viên</w:t>
      </w:r>
      <w:r w:rsidRPr="0065116E">
        <w:rPr>
          <w:rFonts w:ascii="Times New Roman" w:eastAsia="Times New Roman" w:hAnsi="Times New Roman" w:cs="Times New Roman"/>
          <w:sz w:val="26"/>
          <w:szCs w:val="26"/>
        </w:rPr>
        <w:t xml:space="preserve">, sẽ cần phải được báo cáo, phản ánh sự phụ thuộc của ngành </w:t>
      </w:r>
      <w:r w:rsidR="00B30EF1">
        <w:rPr>
          <w:rFonts w:ascii="Times New Roman" w:eastAsia="Times New Roman" w:hAnsi="Times New Roman" w:cs="Times New Roman"/>
          <w:sz w:val="26"/>
          <w:szCs w:val="26"/>
        </w:rPr>
        <w:t xml:space="preserve">này </w:t>
      </w:r>
      <w:r w:rsidRPr="0065116E">
        <w:rPr>
          <w:rFonts w:ascii="Times New Roman" w:eastAsia="Times New Roman" w:hAnsi="Times New Roman" w:cs="Times New Roman"/>
          <w:sz w:val="26"/>
          <w:szCs w:val="26"/>
        </w:rPr>
        <w:t>vào lực lượng lao động toàn cầu, thường dễ bị tổn thương. Các quy định mới này nhằm mục đích nâng cao trách nhiệm giải trình về tính bền vững trong lĩnh vực hàng hải, thúc đẩy các công ty áp dụng các hoạt động xanh hơn, cải thiện điều kiện làm việc của người lao động và cung cấp cho các bên liên quan dữ liệu đáng tin cậy, có thể so sánh được về hiệu suất ESG của họ.</w:t>
      </w:r>
    </w:p>
    <w:p w:rsidR="0065116E" w:rsidRPr="0065116E" w:rsidRDefault="0065116E" w:rsidP="0065116E">
      <w:pPr>
        <w:spacing w:before="120" w:after="120" w:line="240" w:lineRule="auto"/>
        <w:jc w:val="both"/>
        <w:rPr>
          <w:rFonts w:ascii="Times New Roman" w:eastAsia="Times New Roman" w:hAnsi="Times New Roman" w:cs="Times New Roman"/>
          <w:sz w:val="26"/>
          <w:szCs w:val="26"/>
        </w:rPr>
      </w:pPr>
      <w:r w:rsidRPr="0065116E">
        <w:rPr>
          <w:rFonts w:ascii="Times New Roman" w:eastAsia="Times New Roman" w:hAnsi="Times New Roman" w:cs="Times New Roman"/>
          <w:sz w:val="26"/>
          <w:szCs w:val="26"/>
        </w:rPr>
        <w:t xml:space="preserve">Đây là một phần trong những gì được mô tả là "làn sóng" các quy </w:t>
      </w:r>
      <w:r w:rsidR="00B30EF1">
        <w:rPr>
          <w:rFonts w:ascii="Times New Roman" w:eastAsia="Times New Roman" w:hAnsi="Times New Roman" w:cs="Times New Roman"/>
          <w:sz w:val="26"/>
          <w:szCs w:val="26"/>
        </w:rPr>
        <w:t>định</w:t>
      </w:r>
      <w:r w:rsidRPr="0065116E">
        <w:rPr>
          <w:rFonts w:ascii="Times New Roman" w:eastAsia="Times New Roman" w:hAnsi="Times New Roman" w:cs="Times New Roman"/>
          <w:sz w:val="26"/>
          <w:szCs w:val="26"/>
        </w:rPr>
        <w:t xml:space="preserve"> </w:t>
      </w:r>
      <w:r w:rsidR="00B30EF1">
        <w:rPr>
          <w:rFonts w:ascii="Times New Roman" w:eastAsia="Times New Roman" w:hAnsi="Times New Roman" w:cs="Times New Roman"/>
          <w:sz w:val="26"/>
          <w:szCs w:val="26"/>
        </w:rPr>
        <w:t>về báo cáo</w:t>
      </w:r>
      <w:r w:rsidRPr="0065116E">
        <w:rPr>
          <w:rFonts w:ascii="Times New Roman" w:eastAsia="Times New Roman" w:hAnsi="Times New Roman" w:cs="Times New Roman"/>
          <w:sz w:val="26"/>
          <w:szCs w:val="26"/>
        </w:rPr>
        <w:t xml:space="preserve"> của Position Green, một công ty tư vấn ESG</w:t>
      </w:r>
      <w:r w:rsidR="00B30EF1">
        <w:rPr>
          <w:rFonts w:ascii="Times New Roman" w:eastAsia="Times New Roman" w:hAnsi="Times New Roman" w:cs="Times New Roman"/>
          <w:sz w:val="26"/>
          <w:szCs w:val="26"/>
        </w:rPr>
        <w:t>. Công ty này</w:t>
      </w:r>
      <w:r w:rsidRPr="0065116E">
        <w:rPr>
          <w:rFonts w:ascii="Times New Roman" w:eastAsia="Times New Roman" w:hAnsi="Times New Roman" w:cs="Times New Roman"/>
          <w:sz w:val="26"/>
          <w:szCs w:val="26"/>
        </w:rPr>
        <w:t xml:space="preserve"> cũng báo cáo rằng chỉ có 66% </w:t>
      </w:r>
      <w:r w:rsidR="00B30EF1">
        <w:rPr>
          <w:rFonts w:ascii="Times New Roman" w:eastAsia="Times New Roman" w:hAnsi="Times New Roman" w:cs="Times New Roman"/>
          <w:sz w:val="26"/>
          <w:szCs w:val="26"/>
        </w:rPr>
        <w:t>số</w:t>
      </w:r>
      <w:r w:rsidRPr="0065116E">
        <w:rPr>
          <w:rFonts w:ascii="Times New Roman" w:eastAsia="Times New Roman" w:hAnsi="Times New Roman" w:cs="Times New Roman"/>
          <w:sz w:val="26"/>
          <w:szCs w:val="26"/>
        </w:rPr>
        <w:t xml:space="preserve"> công ty niêm yết tại Bắc Âu sẵn sàng tuân thủ các quy định mới. Nhưng đây chỉ là một phần của bức tranh toàn cảnh. Nhiều công ty vận </w:t>
      </w:r>
      <w:r w:rsidR="00B30EF1">
        <w:rPr>
          <w:rFonts w:ascii="Times New Roman" w:eastAsia="Times New Roman" w:hAnsi="Times New Roman" w:cs="Times New Roman"/>
          <w:sz w:val="26"/>
          <w:szCs w:val="26"/>
        </w:rPr>
        <w:t>tải biển</w:t>
      </w:r>
      <w:r w:rsidRPr="0065116E">
        <w:rPr>
          <w:rFonts w:ascii="Times New Roman" w:eastAsia="Times New Roman" w:hAnsi="Times New Roman" w:cs="Times New Roman"/>
          <w:sz w:val="26"/>
          <w:szCs w:val="26"/>
        </w:rPr>
        <w:t xml:space="preserve"> vẫn chưa biết rằng họ là một phần trong số khoảng 49.000 công ty </w:t>
      </w:r>
      <w:r w:rsidR="00B30EF1">
        <w:rPr>
          <w:rFonts w:ascii="Times New Roman" w:eastAsia="Times New Roman" w:hAnsi="Times New Roman" w:cs="Times New Roman"/>
          <w:sz w:val="26"/>
          <w:szCs w:val="26"/>
        </w:rPr>
        <w:t xml:space="preserve">thuộc </w:t>
      </w:r>
      <w:r w:rsidRPr="0065116E">
        <w:rPr>
          <w:rFonts w:ascii="Times New Roman" w:eastAsia="Times New Roman" w:hAnsi="Times New Roman" w:cs="Times New Roman"/>
          <w:sz w:val="26"/>
          <w:szCs w:val="26"/>
        </w:rPr>
        <w:t>EU sẽ phải tuân thủ các quy định mới này trong tương lai gần.</w:t>
      </w:r>
    </w:p>
    <w:p w:rsidR="0065116E" w:rsidRPr="0065116E" w:rsidRDefault="0065116E" w:rsidP="0065116E">
      <w:pPr>
        <w:spacing w:before="120" w:after="120" w:line="240" w:lineRule="auto"/>
        <w:jc w:val="both"/>
        <w:rPr>
          <w:rFonts w:ascii="Times New Roman" w:eastAsia="Times New Roman" w:hAnsi="Times New Roman" w:cs="Times New Roman"/>
          <w:sz w:val="26"/>
          <w:szCs w:val="26"/>
        </w:rPr>
      </w:pPr>
      <w:r w:rsidRPr="0065116E">
        <w:rPr>
          <w:rFonts w:ascii="Times New Roman" w:eastAsia="Times New Roman" w:hAnsi="Times New Roman" w:cs="Times New Roman"/>
          <w:sz w:val="26"/>
          <w:szCs w:val="26"/>
        </w:rPr>
        <w:t>Hệ thống sẽ được triển khai theo bốn giai đoạn, bắt đầu từ tháng 1 năm 2024 đối với các công ty đã báo cáo theo Chỉ thị báo cáo phi tài chính (NFRD), trước khi được mở rộng sang các công ty lớn vào năm sau, các doanh nghiệp vừa và nhỏ được niêm yết từ năm 2026 và một số thực thể không phải của châu Âu hai năm sau đó.</w:t>
      </w:r>
    </w:p>
    <w:p w:rsidR="0065116E" w:rsidRPr="001F1894" w:rsidRDefault="0065116E" w:rsidP="00B30EF1">
      <w:pPr>
        <w:spacing w:before="120" w:after="0" w:line="240" w:lineRule="auto"/>
        <w:jc w:val="both"/>
        <w:rPr>
          <w:rFonts w:ascii="Times New Roman" w:eastAsia="Times New Roman" w:hAnsi="Times New Roman" w:cs="Times New Roman"/>
          <w:sz w:val="26"/>
          <w:szCs w:val="26"/>
        </w:rPr>
      </w:pPr>
      <w:r w:rsidRPr="0065116E">
        <w:rPr>
          <w:rFonts w:ascii="Times New Roman" w:eastAsia="Times New Roman" w:hAnsi="Times New Roman" w:cs="Times New Roman"/>
          <w:sz w:val="26"/>
          <w:szCs w:val="26"/>
        </w:rPr>
        <w:t>Tương lai của doanh nghiệp nằm ở khả năng cân bằng lợi nhuận với mục đích và ESG cung cấp khuôn khổ để thực hiện điều đó.</w:t>
      </w:r>
    </w:p>
    <w:p w:rsidR="00F6243C" w:rsidRPr="00B30EF1" w:rsidRDefault="00B30EF1" w:rsidP="00B30EF1">
      <w:pPr>
        <w:spacing w:after="0" w:line="240" w:lineRule="auto"/>
        <w:jc w:val="center"/>
        <w:rPr>
          <w:rFonts w:ascii="Merriweather Sans" w:eastAsia="Times New Roman" w:hAnsi="Merriweather Sans" w:cs="Times New Roman"/>
          <w:color w:val="222222"/>
          <w:sz w:val="23"/>
          <w:szCs w:val="23"/>
        </w:rPr>
      </w:pPr>
      <w:r>
        <w:rPr>
          <w:rFonts w:ascii="Merriweather Sans" w:eastAsia="Times New Roman" w:hAnsi="Merriweather Sans" w:cs="Times New Roman"/>
          <w:color w:val="222222"/>
          <w:sz w:val="23"/>
          <w:szCs w:val="23"/>
        </w:rPr>
        <w:t>------------------------------------------</w:t>
      </w:r>
      <w:bookmarkStart w:id="0" w:name="_GoBack"/>
      <w:bookmarkEnd w:id="0"/>
    </w:p>
    <w:sectPr w:rsidR="00F6243C" w:rsidRPr="00B30EF1" w:rsidSect="001F1894">
      <w:pgSz w:w="12240" w:h="15840"/>
      <w:pgMar w:top="99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rriweather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15D67"/>
    <w:multiLevelType w:val="hybridMultilevel"/>
    <w:tmpl w:val="01A8E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51313"/>
    <w:multiLevelType w:val="multilevel"/>
    <w:tmpl w:val="E50E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D93397"/>
    <w:multiLevelType w:val="hybridMultilevel"/>
    <w:tmpl w:val="8294D6C4"/>
    <w:lvl w:ilvl="0" w:tplc="1C5EAE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0F083A"/>
    <w:multiLevelType w:val="multilevel"/>
    <w:tmpl w:val="85242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842164"/>
    <w:multiLevelType w:val="hybridMultilevel"/>
    <w:tmpl w:val="5C76B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067C1"/>
    <w:multiLevelType w:val="hybridMultilevel"/>
    <w:tmpl w:val="0C905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A03EF7"/>
    <w:multiLevelType w:val="hybridMultilevel"/>
    <w:tmpl w:val="6FA0DF48"/>
    <w:lvl w:ilvl="0" w:tplc="1C5EAE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15CF7"/>
    <w:multiLevelType w:val="hybridMultilevel"/>
    <w:tmpl w:val="50F090FA"/>
    <w:lvl w:ilvl="0" w:tplc="1C5EAE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C05887"/>
    <w:multiLevelType w:val="multilevel"/>
    <w:tmpl w:val="1BDE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AF2069"/>
    <w:multiLevelType w:val="multilevel"/>
    <w:tmpl w:val="31C01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8"/>
  </w:num>
  <w:num w:numId="4">
    <w:abstractNumId w:val="3"/>
  </w:num>
  <w:num w:numId="5">
    <w:abstractNumId w:val="0"/>
  </w:num>
  <w:num w:numId="6">
    <w:abstractNumId w:val="2"/>
  </w:num>
  <w:num w:numId="7">
    <w:abstractNumId w:val="6"/>
  </w:num>
  <w:num w:numId="8">
    <w:abstractNumId w:val="7"/>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894"/>
    <w:rsid w:val="001F1894"/>
    <w:rsid w:val="00303EFA"/>
    <w:rsid w:val="0065116E"/>
    <w:rsid w:val="009B61DA"/>
    <w:rsid w:val="00B30EF1"/>
    <w:rsid w:val="00F62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EA78"/>
  <w15:chartTrackingRefBased/>
  <w15:docId w15:val="{81552D8C-74BB-4B09-88D1-4E61CB266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F18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1F18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89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F189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F1894"/>
    <w:rPr>
      <w:color w:val="0000FF"/>
      <w:u w:val="single"/>
    </w:rPr>
  </w:style>
  <w:style w:type="character" w:customStyle="1" w:styleId="td-post-date">
    <w:name w:val="td-post-date"/>
    <w:basedOn w:val="DefaultParagraphFont"/>
    <w:rsid w:val="001F1894"/>
  </w:style>
  <w:style w:type="character" w:customStyle="1" w:styleId="td-nr-views-38847">
    <w:name w:val="td-nr-views-38847"/>
    <w:basedOn w:val="DefaultParagraphFont"/>
    <w:rsid w:val="001F1894"/>
  </w:style>
  <w:style w:type="paragraph" w:styleId="NormalWeb">
    <w:name w:val="Normal (Web)"/>
    <w:basedOn w:val="Normal"/>
    <w:uiPriority w:val="99"/>
    <w:semiHidden/>
    <w:unhideWhenUsed/>
    <w:rsid w:val="001F18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1894"/>
    <w:rPr>
      <w:b/>
      <w:bCs/>
    </w:rPr>
  </w:style>
  <w:style w:type="paragraph" w:styleId="ListParagraph">
    <w:name w:val="List Paragraph"/>
    <w:basedOn w:val="Normal"/>
    <w:uiPriority w:val="34"/>
    <w:qFormat/>
    <w:rsid w:val="001F18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706014">
      <w:bodyDiv w:val="1"/>
      <w:marLeft w:val="0"/>
      <w:marRight w:val="0"/>
      <w:marTop w:val="0"/>
      <w:marBottom w:val="0"/>
      <w:divBdr>
        <w:top w:val="none" w:sz="0" w:space="0" w:color="auto"/>
        <w:left w:val="none" w:sz="0" w:space="0" w:color="auto"/>
        <w:bottom w:val="none" w:sz="0" w:space="0" w:color="auto"/>
        <w:right w:val="none" w:sz="0" w:space="0" w:color="auto"/>
      </w:divBdr>
      <w:divsChild>
        <w:div w:id="747385913">
          <w:marLeft w:val="0"/>
          <w:marRight w:val="0"/>
          <w:marTop w:val="0"/>
          <w:marBottom w:val="0"/>
          <w:divBdr>
            <w:top w:val="none" w:sz="0" w:space="0" w:color="auto"/>
            <w:left w:val="none" w:sz="0" w:space="0" w:color="auto"/>
            <w:bottom w:val="none" w:sz="0" w:space="0" w:color="auto"/>
            <w:right w:val="none" w:sz="0" w:space="0" w:color="auto"/>
          </w:divBdr>
          <w:divsChild>
            <w:div w:id="659771412">
              <w:marLeft w:val="0"/>
              <w:marRight w:val="0"/>
              <w:marTop w:val="0"/>
              <w:marBottom w:val="240"/>
              <w:divBdr>
                <w:top w:val="none" w:sz="0" w:space="0" w:color="auto"/>
                <w:left w:val="none" w:sz="0" w:space="0" w:color="auto"/>
                <w:bottom w:val="none" w:sz="0" w:space="0" w:color="auto"/>
                <w:right w:val="none" w:sz="0" w:space="0" w:color="auto"/>
              </w:divBdr>
              <w:divsChild>
                <w:div w:id="1109206592">
                  <w:marLeft w:val="0"/>
                  <w:marRight w:val="0"/>
                  <w:marTop w:val="0"/>
                  <w:marBottom w:val="0"/>
                  <w:divBdr>
                    <w:top w:val="none" w:sz="0" w:space="0" w:color="auto"/>
                    <w:left w:val="none" w:sz="0" w:space="0" w:color="auto"/>
                    <w:bottom w:val="none" w:sz="0" w:space="0" w:color="auto"/>
                    <w:right w:val="none" w:sz="0" w:space="0" w:color="auto"/>
                  </w:divBdr>
                  <w:divsChild>
                    <w:div w:id="1983734942">
                      <w:marLeft w:val="0"/>
                      <w:marRight w:val="30"/>
                      <w:marTop w:val="0"/>
                      <w:marBottom w:val="0"/>
                      <w:divBdr>
                        <w:top w:val="none" w:sz="0" w:space="0" w:color="auto"/>
                        <w:left w:val="none" w:sz="0" w:space="0" w:color="auto"/>
                        <w:bottom w:val="none" w:sz="0" w:space="0" w:color="auto"/>
                        <w:right w:val="none" w:sz="0" w:space="0" w:color="auto"/>
                      </w:divBdr>
                    </w:div>
                    <w:div w:id="647630520">
                      <w:marLeft w:val="0"/>
                      <w:marRight w:val="30"/>
                      <w:marTop w:val="0"/>
                      <w:marBottom w:val="0"/>
                      <w:divBdr>
                        <w:top w:val="none" w:sz="0" w:space="0" w:color="auto"/>
                        <w:left w:val="none" w:sz="0" w:space="0" w:color="auto"/>
                        <w:bottom w:val="none" w:sz="0" w:space="0" w:color="auto"/>
                        <w:right w:val="none" w:sz="0" w:space="0" w:color="auto"/>
                      </w:divBdr>
                    </w:div>
                  </w:divsChild>
                </w:div>
                <w:div w:id="2067072332">
                  <w:marLeft w:val="330"/>
                  <w:marRight w:val="0"/>
                  <w:marTop w:val="0"/>
                  <w:marBottom w:val="0"/>
                  <w:divBdr>
                    <w:top w:val="none" w:sz="0" w:space="0" w:color="auto"/>
                    <w:left w:val="none" w:sz="0" w:space="0" w:color="auto"/>
                    <w:bottom w:val="none" w:sz="0" w:space="0" w:color="auto"/>
                    <w:right w:val="none" w:sz="0" w:space="0" w:color="auto"/>
                  </w:divBdr>
                </w:div>
                <w:div w:id="100297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17134">
          <w:marLeft w:val="0"/>
          <w:marRight w:val="0"/>
          <w:marTop w:val="315"/>
          <w:marBottom w:val="0"/>
          <w:divBdr>
            <w:top w:val="none" w:sz="0" w:space="0" w:color="auto"/>
            <w:left w:val="none" w:sz="0" w:space="0" w:color="auto"/>
            <w:bottom w:val="none" w:sz="0" w:space="0" w:color="auto"/>
            <w:right w:val="none" w:sz="0" w:space="0" w:color="auto"/>
          </w:divBdr>
          <w:divsChild>
            <w:div w:id="180318606">
              <w:marLeft w:val="0"/>
              <w:marRight w:val="0"/>
              <w:marTop w:val="0"/>
              <w:marBottom w:val="0"/>
              <w:divBdr>
                <w:top w:val="none" w:sz="0" w:space="0" w:color="auto"/>
                <w:left w:val="none" w:sz="0" w:space="0" w:color="auto"/>
                <w:bottom w:val="none" w:sz="0" w:space="0" w:color="auto"/>
                <w:right w:val="none" w:sz="0" w:space="0" w:color="auto"/>
              </w:divBdr>
            </w:div>
            <w:div w:id="1644197334">
              <w:marLeft w:val="0"/>
              <w:marRight w:val="0"/>
              <w:marTop w:val="0"/>
              <w:marBottom w:val="0"/>
              <w:divBdr>
                <w:top w:val="none" w:sz="0" w:space="0" w:color="auto"/>
                <w:left w:val="none" w:sz="0" w:space="0" w:color="auto"/>
                <w:bottom w:val="none" w:sz="0" w:space="0" w:color="auto"/>
                <w:right w:val="none" w:sz="0" w:space="0" w:color="auto"/>
              </w:divBdr>
              <w:divsChild>
                <w:div w:id="1891729059">
                  <w:marLeft w:val="0"/>
                  <w:marRight w:val="0"/>
                  <w:marTop w:val="0"/>
                  <w:marBottom w:val="0"/>
                  <w:divBdr>
                    <w:top w:val="none" w:sz="0" w:space="0" w:color="auto"/>
                    <w:left w:val="none" w:sz="0" w:space="0" w:color="auto"/>
                    <w:bottom w:val="none" w:sz="0" w:space="0" w:color="auto"/>
                    <w:right w:val="none" w:sz="0" w:space="0" w:color="auto"/>
                  </w:divBdr>
                  <w:divsChild>
                    <w:div w:id="954168538">
                      <w:marLeft w:val="0"/>
                      <w:marRight w:val="0"/>
                      <w:marTop w:val="0"/>
                      <w:marBottom w:val="0"/>
                      <w:divBdr>
                        <w:top w:val="none" w:sz="0" w:space="0" w:color="auto"/>
                        <w:left w:val="none" w:sz="0" w:space="0" w:color="auto"/>
                        <w:bottom w:val="none" w:sz="0" w:space="0" w:color="auto"/>
                        <w:right w:val="none" w:sz="0" w:space="0" w:color="auto"/>
                      </w:divBdr>
                      <w:divsChild>
                        <w:div w:id="70814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648213">
              <w:marLeft w:val="0"/>
              <w:marRight w:val="0"/>
              <w:marTop w:val="0"/>
              <w:marBottom w:val="0"/>
              <w:divBdr>
                <w:top w:val="none" w:sz="0" w:space="0" w:color="auto"/>
                <w:left w:val="none" w:sz="0" w:space="0" w:color="auto"/>
                <w:bottom w:val="none" w:sz="0" w:space="0" w:color="auto"/>
                <w:right w:val="none" w:sz="0" w:space="0" w:color="auto"/>
              </w:divBdr>
              <w:divsChild>
                <w:div w:id="2022975510">
                  <w:marLeft w:val="0"/>
                  <w:marRight w:val="0"/>
                  <w:marTop w:val="0"/>
                  <w:marBottom w:val="0"/>
                  <w:divBdr>
                    <w:top w:val="none" w:sz="0" w:space="0" w:color="auto"/>
                    <w:left w:val="none" w:sz="0" w:space="0" w:color="auto"/>
                    <w:bottom w:val="none" w:sz="0" w:space="0" w:color="auto"/>
                    <w:right w:val="none" w:sz="0" w:space="0" w:color="auto"/>
                  </w:divBdr>
                  <w:divsChild>
                    <w:div w:id="1810317947">
                      <w:marLeft w:val="0"/>
                      <w:marRight w:val="0"/>
                      <w:marTop w:val="0"/>
                      <w:marBottom w:val="0"/>
                      <w:divBdr>
                        <w:top w:val="none" w:sz="0" w:space="0" w:color="auto"/>
                        <w:left w:val="none" w:sz="0" w:space="0" w:color="auto"/>
                        <w:bottom w:val="none" w:sz="0" w:space="0" w:color="auto"/>
                        <w:right w:val="none" w:sz="0" w:space="0" w:color="auto"/>
                      </w:divBdr>
                      <w:divsChild>
                        <w:div w:id="7490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itimecyprus.com/wp-content/uploads/2024/09/EU-Corporate-Sustainability-Reporting-Directive-CSRD_c.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s://maritimecyprus.com/author/maritimecyprus/"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maritimecyprus.com/wp-content/uploads/2024/09/ESR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2024-09-15T08:46:00Z</dcterms:created>
  <dcterms:modified xsi:type="dcterms:W3CDTF">2024-09-15T09:33:00Z</dcterms:modified>
</cp:coreProperties>
</file>