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2452" w:rsidRPr="00391F39" w:rsidRDefault="00391F39" w:rsidP="00391F39">
      <w:pPr>
        <w:jc w:val="center"/>
        <w:rPr>
          <w:rFonts w:ascii="Times New Roman" w:hAnsi="Times New Roman" w:cs="Times New Roman"/>
          <w:b/>
          <w:sz w:val="40"/>
          <w:szCs w:val="40"/>
        </w:rPr>
      </w:pPr>
      <w:r w:rsidRPr="00391F39">
        <w:rPr>
          <w:rFonts w:ascii="Times New Roman" w:hAnsi="Times New Roman" w:cs="Times New Roman"/>
          <w:b/>
          <w:sz w:val="40"/>
          <w:szCs w:val="40"/>
        </w:rPr>
        <w:t xml:space="preserve">Khảo sát </w:t>
      </w:r>
      <w:r>
        <w:rPr>
          <w:rFonts w:ascii="Times New Roman" w:hAnsi="Times New Roman" w:cs="Times New Roman"/>
          <w:b/>
          <w:sz w:val="40"/>
          <w:szCs w:val="40"/>
        </w:rPr>
        <w:t xml:space="preserve">về </w:t>
      </w:r>
      <w:r w:rsidRPr="00391F39">
        <w:rPr>
          <w:rFonts w:ascii="Times New Roman" w:hAnsi="Times New Roman" w:cs="Times New Roman"/>
          <w:b/>
          <w:sz w:val="40"/>
          <w:szCs w:val="40"/>
        </w:rPr>
        <w:t xml:space="preserve">ESG khí hậu: Vận </w:t>
      </w:r>
      <w:r>
        <w:rPr>
          <w:rFonts w:ascii="Times New Roman" w:hAnsi="Times New Roman" w:cs="Times New Roman"/>
          <w:b/>
          <w:sz w:val="40"/>
          <w:szCs w:val="40"/>
        </w:rPr>
        <w:t>tải biển</w:t>
      </w:r>
      <w:r w:rsidRPr="00391F39">
        <w:rPr>
          <w:rFonts w:ascii="Times New Roman" w:hAnsi="Times New Roman" w:cs="Times New Roman"/>
          <w:b/>
          <w:sz w:val="40"/>
          <w:szCs w:val="40"/>
        </w:rPr>
        <w:t xml:space="preserve"> hiện đang đưa các chủ đề Xã hội và Quản trị lên hàng đầu trong chương trình nghị sự</w:t>
      </w:r>
    </w:p>
    <w:p w:rsidR="00FE2625" w:rsidRPr="000435A0" w:rsidRDefault="00FE2625" w:rsidP="000435A0">
      <w:r>
        <w:rPr>
          <w:noProof/>
        </w:rPr>
        <w:drawing>
          <wp:inline distT="0" distB="0" distL="0" distR="0">
            <wp:extent cx="5943600" cy="2974972"/>
            <wp:effectExtent l="0" t="0" r="0" b="0"/>
            <wp:docPr id="1" name="Picture 1" descr="ESG in ship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G in shippi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2974972"/>
                    </a:xfrm>
                    <a:prstGeom prst="rect">
                      <a:avLst/>
                    </a:prstGeom>
                    <a:noFill/>
                    <a:ln>
                      <a:noFill/>
                    </a:ln>
                  </pic:spPr>
                </pic:pic>
              </a:graphicData>
            </a:graphic>
          </wp:inline>
        </w:drawing>
      </w:r>
    </w:p>
    <w:p w:rsidR="00FE2625" w:rsidRPr="00391F39" w:rsidRDefault="00FE2625" w:rsidP="000435A0">
      <w:pPr>
        <w:shd w:val="clear" w:color="auto" w:fill="FFFFFF"/>
        <w:spacing w:before="120" w:after="120" w:line="240" w:lineRule="auto"/>
        <w:jc w:val="right"/>
        <w:textAlignment w:val="baseline"/>
        <w:rPr>
          <w:rFonts w:ascii="Arial" w:eastAsia="Times New Roman" w:hAnsi="Arial" w:cs="Arial"/>
          <w:color w:val="0070C0"/>
          <w:sz w:val="26"/>
          <w:szCs w:val="26"/>
          <w:bdr w:val="none" w:sz="0" w:space="0" w:color="auto" w:frame="1"/>
          <w:shd w:val="clear" w:color="auto" w:fill="FFFFFF"/>
        </w:rPr>
      </w:pPr>
      <w:r w:rsidRPr="00391F39">
        <w:rPr>
          <w:rFonts w:ascii="Arial" w:eastAsia="Times New Roman" w:hAnsi="Arial" w:cs="Arial"/>
          <w:color w:val="0070C0"/>
          <w:sz w:val="26"/>
          <w:szCs w:val="26"/>
          <w:bdr w:val="none" w:sz="0" w:space="0" w:color="auto" w:frame="1"/>
          <w:shd w:val="clear" w:color="auto" w:fill="FFFFFF"/>
        </w:rPr>
        <w:t>ESG là viết tắt của Môi trường</w:t>
      </w:r>
      <w:r w:rsidR="002A0969" w:rsidRPr="00391F39">
        <w:rPr>
          <w:rFonts w:ascii="Arial" w:eastAsia="Times New Roman" w:hAnsi="Arial" w:cs="Arial"/>
          <w:color w:val="0070C0"/>
          <w:sz w:val="26"/>
          <w:szCs w:val="26"/>
          <w:bdr w:val="none" w:sz="0" w:space="0" w:color="auto" w:frame="1"/>
          <w:shd w:val="clear" w:color="auto" w:fill="FFFFFF"/>
        </w:rPr>
        <w:t xml:space="preserve"> (Environment)</w:t>
      </w:r>
      <w:r w:rsidRPr="00391F39">
        <w:rPr>
          <w:rFonts w:ascii="Arial" w:eastAsia="Times New Roman" w:hAnsi="Arial" w:cs="Arial"/>
          <w:color w:val="0070C0"/>
          <w:sz w:val="26"/>
          <w:szCs w:val="26"/>
          <w:bdr w:val="none" w:sz="0" w:space="0" w:color="auto" w:frame="1"/>
          <w:shd w:val="clear" w:color="auto" w:fill="FFFFFF"/>
        </w:rPr>
        <w:t>, Xã hội</w:t>
      </w:r>
      <w:r w:rsidR="002A0969" w:rsidRPr="00391F39">
        <w:rPr>
          <w:rFonts w:ascii="Arial" w:eastAsia="Times New Roman" w:hAnsi="Arial" w:cs="Arial"/>
          <w:color w:val="0070C0"/>
          <w:sz w:val="26"/>
          <w:szCs w:val="26"/>
          <w:bdr w:val="none" w:sz="0" w:space="0" w:color="auto" w:frame="1"/>
          <w:shd w:val="clear" w:color="auto" w:fill="FFFFFF"/>
        </w:rPr>
        <w:t xml:space="preserve"> (Social)</w:t>
      </w:r>
      <w:r w:rsidRPr="00391F39">
        <w:rPr>
          <w:rFonts w:ascii="Arial" w:eastAsia="Times New Roman" w:hAnsi="Arial" w:cs="Arial"/>
          <w:color w:val="0070C0"/>
          <w:sz w:val="26"/>
          <w:szCs w:val="26"/>
          <w:bdr w:val="none" w:sz="0" w:space="0" w:color="auto" w:frame="1"/>
          <w:shd w:val="clear" w:color="auto" w:fill="FFFFFF"/>
        </w:rPr>
        <w:t xml:space="preserve"> và Quản trị </w:t>
      </w:r>
      <w:r w:rsidR="002A0969" w:rsidRPr="00391F39">
        <w:rPr>
          <w:rFonts w:ascii="Arial" w:eastAsia="Times New Roman" w:hAnsi="Arial" w:cs="Arial"/>
          <w:color w:val="0070C0"/>
          <w:sz w:val="26"/>
          <w:szCs w:val="26"/>
          <w:bdr w:val="none" w:sz="0" w:space="0" w:color="auto" w:frame="1"/>
          <w:shd w:val="clear" w:color="auto" w:fill="FFFFFF"/>
        </w:rPr>
        <w:t xml:space="preserve">(Governance) </w:t>
      </w:r>
      <w:r w:rsidRPr="00391F39">
        <w:rPr>
          <w:rFonts w:ascii="Arial" w:eastAsia="Times New Roman" w:hAnsi="Arial" w:cs="Arial"/>
          <w:color w:val="0070C0"/>
          <w:sz w:val="26"/>
          <w:szCs w:val="26"/>
          <w:bdr w:val="none" w:sz="0" w:space="0" w:color="auto" w:frame="1"/>
          <w:shd w:val="clear" w:color="auto" w:fill="FFFFFF"/>
        </w:rPr>
        <w:t xml:space="preserve">và trong thế giới vận tải biển, nó có thể được dịch thành các hoạt động bền vững trong mô hình kinh doanh. Gần đây, các chủ đề </w:t>
      </w:r>
      <w:r w:rsidR="002A0969" w:rsidRPr="00391F39">
        <w:rPr>
          <w:rFonts w:ascii="Arial" w:eastAsia="Times New Roman" w:hAnsi="Arial" w:cs="Arial"/>
          <w:color w:val="0070C0"/>
          <w:sz w:val="26"/>
          <w:szCs w:val="26"/>
          <w:bdr w:val="none" w:sz="0" w:space="0" w:color="auto" w:frame="1"/>
          <w:shd w:val="clear" w:color="auto" w:fill="FFFFFF"/>
        </w:rPr>
        <w:t xml:space="preserve">về </w:t>
      </w:r>
      <w:r w:rsidRPr="00391F39">
        <w:rPr>
          <w:rFonts w:ascii="Arial" w:eastAsia="Times New Roman" w:hAnsi="Arial" w:cs="Arial"/>
          <w:color w:val="0070C0"/>
          <w:sz w:val="26"/>
          <w:szCs w:val="26"/>
          <w:bdr w:val="none" w:sz="0" w:space="0" w:color="auto" w:frame="1"/>
          <w:shd w:val="clear" w:color="auto" w:fill="FFFFFF"/>
        </w:rPr>
        <w:t xml:space="preserve">ESG đã nổi lên trong chương trình nghị sự của </w:t>
      </w:r>
      <w:r w:rsidR="002A0969" w:rsidRPr="00391F39">
        <w:rPr>
          <w:rFonts w:ascii="Arial" w:eastAsia="Times New Roman" w:hAnsi="Arial" w:cs="Arial"/>
          <w:color w:val="0070C0"/>
          <w:sz w:val="26"/>
          <w:szCs w:val="26"/>
          <w:bdr w:val="none" w:sz="0" w:space="0" w:color="auto" w:frame="1"/>
          <w:shd w:val="clear" w:color="auto" w:fill="FFFFFF"/>
        </w:rPr>
        <w:t>nhiều</w:t>
      </w:r>
      <w:r w:rsidRPr="00391F39">
        <w:rPr>
          <w:rFonts w:ascii="Arial" w:eastAsia="Times New Roman" w:hAnsi="Arial" w:cs="Arial"/>
          <w:color w:val="0070C0"/>
          <w:sz w:val="26"/>
          <w:szCs w:val="26"/>
          <w:bdr w:val="none" w:sz="0" w:space="0" w:color="auto" w:frame="1"/>
          <w:shd w:val="clear" w:color="auto" w:fill="FFFFFF"/>
        </w:rPr>
        <w:t xml:space="preserve"> bên liên quan trong cộng đồng hàng hải với nhiều sáng kiến ​​ESG được công bố và định hình lại chiến lược của họ thông qua </w:t>
      </w:r>
      <w:r w:rsidR="000435A0" w:rsidRPr="00391F39">
        <w:rPr>
          <w:rFonts w:ascii="Arial" w:eastAsia="Times New Roman" w:hAnsi="Arial" w:cs="Arial"/>
          <w:color w:val="0070C0"/>
          <w:sz w:val="26"/>
          <w:szCs w:val="26"/>
          <w:bdr w:val="none" w:sz="0" w:space="0" w:color="auto" w:frame="1"/>
          <w:shd w:val="clear" w:color="auto" w:fill="FFFFFF"/>
        </w:rPr>
        <w:t xml:space="preserve">các </w:t>
      </w:r>
      <w:r w:rsidRPr="00391F39">
        <w:rPr>
          <w:rFonts w:ascii="Arial" w:eastAsia="Times New Roman" w:hAnsi="Arial" w:cs="Arial"/>
          <w:color w:val="0070C0"/>
          <w:sz w:val="26"/>
          <w:szCs w:val="26"/>
          <w:bdr w:val="none" w:sz="0" w:space="0" w:color="auto" w:frame="1"/>
          <w:shd w:val="clear" w:color="auto" w:fill="FFFFFF"/>
        </w:rPr>
        <w:t>lăng kính ESG.</w:t>
      </w:r>
    </w:p>
    <w:p w:rsidR="00FE2625" w:rsidRPr="00FE2625" w:rsidRDefault="00FE2625" w:rsidP="00FE2625">
      <w:pPr>
        <w:shd w:val="clear" w:color="auto" w:fill="FFFFFF"/>
        <w:spacing w:before="120" w:after="120" w:line="240" w:lineRule="auto"/>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FE2625">
        <w:rPr>
          <w:rFonts w:ascii="Times New Roman" w:eastAsia="Times New Roman" w:hAnsi="Times New Roman" w:cs="Times New Roman"/>
          <w:color w:val="000000"/>
          <w:sz w:val="26"/>
          <w:szCs w:val="26"/>
          <w:bdr w:val="none" w:sz="0" w:space="0" w:color="auto" w:frame="1"/>
          <w:shd w:val="clear" w:color="auto" w:fill="FFFFFF"/>
        </w:rPr>
        <w:t xml:space="preserve">Trong bối cảnh này, SAFETY4SEA đã triển khai 'Khảo sát khí hậu ESG', một cuộc khảo sát rộng khắp </w:t>
      </w:r>
      <w:r w:rsidR="000435A0">
        <w:rPr>
          <w:rFonts w:ascii="Times New Roman" w:eastAsia="Times New Roman" w:hAnsi="Times New Roman" w:cs="Times New Roman"/>
          <w:color w:val="000000"/>
          <w:sz w:val="26"/>
          <w:szCs w:val="26"/>
          <w:bdr w:val="none" w:sz="0" w:space="0" w:color="auto" w:frame="1"/>
          <w:shd w:val="clear" w:color="auto" w:fill="FFFFFF"/>
        </w:rPr>
        <w:t xml:space="preserve">trong ngành và </w:t>
      </w:r>
      <w:r w:rsidRPr="00FE2625">
        <w:rPr>
          <w:rFonts w:ascii="Times New Roman" w:eastAsia="Times New Roman" w:hAnsi="Times New Roman" w:cs="Times New Roman"/>
          <w:color w:val="000000"/>
          <w:sz w:val="26"/>
          <w:szCs w:val="26"/>
          <w:bdr w:val="none" w:sz="0" w:space="0" w:color="auto" w:frame="1"/>
          <w:shd w:val="clear" w:color="auto" w:fill="FFFFFF"/>
        </w:rPr>
        <w:t xml:space="preserve">được tiến hành trong những tháng đầu </w:t>
      </w:r>
      <w:r w:rsidR="000435A0">
        <w:rPr>
          <w:rFonts w:ascii="Times New Roman" w:eastAsia="Times New Roman" w:hAnsi="Times New Roman" w:cs="Times New Roman"/>
          <w:color w:val="000000"/>
          <w:sz w:val="26"/>
          <w:szCs w:val="26"/>
          <w:bdr w:val="none" w:sz="0" w:space="0" w:color="auto" w:frame="1"/>
          <w:shd w:val="clear" w:color="auto" w:fill="FFFFFF"/>
        </w:rPr>
        <w:t xml:space="preserve">của </w:t>
      </w:r>
      <w:r w:rsidRPr="00FE2625">
        <w:rPr>
          <w:rFonts w:ascii="Times New Roman" w:eastAsia="Times New Roman" w:hAnsi="Times New Roman" w:cs="Times New Roman"/>
          <w:color w:val="000000"/>
          <w:sz w:val="26"/>
          <w:szCs w:val="26"/>
          <w:bdr w:val="none" w:sz="0" w:space="0" w:color="auto" w:frame="1"/>
          <w:shd w:val="clear" w:color="auto" w:fill="FFFFFF"/>
        </w:rPr>
        <w:t xml:space="preserve">năm 2024. Khảo sát này xem xét </w:t>
      </w:r>
      <w:r w:rsidR="000435A0">
        <w:rPr>
          <w:rFonts w:ascii="Times New Roman" w:eastAsia="Times New Roman" w:hAnsi="Times New Roman" w:cs="Times New Roman"/>
          <w:color w:val="000000"/>
          <w:sz w:val="26"/>
          <w:szCs w:val="26"/>
          <w:bdr w:val="none" w:sz="0" w:space="0" w:color="auto" w:frame="1"/>
          <w:shd w:val="clear" w:color="auto" w:fill="FFFFFF"/>
        </w:rPr>
        <w:t xml:space="preserve">đến </w:t>
      </w:r>
      <w:r w:rsidRPr="00FE2625">
        <w:rPr>
          <w:rFonts w:ascii="Times New Roman" w:eastAsia="Times New Roman" w:hAnsi="Times New Roman" w:cs="Times New Roman"/>
          <w:color w:val="000000"/>
          <w:sz w:val="26"/>
          <w:szCs w:val="26"/>
          <w:bdr w:val="none" w:sz="0" w:space="0" w:color="auto" w:frame="1"/>
          <w:shd w:val="clear" w:color="auto" w:fill="FFFFFF"/>
        </w:rPr>
        <w:t xml:space="preserve">các yếu tố quan trọng xung quanh nhận thức của ngành về những thách thức </w:t>
      </w:r>
      <w:r w:rsidR="000435A0">
        <w:rPr>
          <w:rFonts w:ascii="Times New Roman" w:eastAsia="Times New Roman" w:hAnsi="Times New Roman" w:cs="Times New Roman"/>
          <w:color w:val="000000"/>
          <w:sz w:val="26"/>
          <w:szCs w:val="26"/>
          <w:bdr w:val="none" w:sz="0" w:space="0" w:color="auto" w:frame="1"/>
          <w:shd w:val="clear" w:color="auto" w:fill="FFFFFF"/>
        </w:rPr>
        <w:t xml:space="preserve">từ </w:t>
      </w:r>
      <w:r w:rsidRPr="00FE2625">
        <w:rPr>
          <w:rFonts w:ascii="Times New Roman" w:eastAsia="Times New Roman" w:hAnsi="Times New Roman" w:cs="Times New Roman"/>
          <w:color w:val="000000"/>
          <w:sz w:val="26"/>
          <w:szCs w:val="26"/>
          <w:bdr w:val="none" w:sz="0" w:space="0" w:color="auto" w:frame="1"/>
          <w:shd w:val="clear" w:color="auto" w:fill="FFFFFF"/>
        </w:rPr>
        <w:t xml:space="preserve">ESG và </w:t>
      </w:r>
      <w:r w:rsidR="000435A0">
        <w:rPr>
          <w:rFonts w:ascii="Times New Roman" w:eastAsia="Times New Roman" w:hAnsi="Times New Roman" w:cs="Times New Roman"/>
          <w:color w:val="000000"/>
          <w:sz w:val="26"/>
          <w:szCs w:val="26"/>
          <w:bdr w:val="none" w:sz="0" w:space="0" w:color="auto" w:frame="1"/>
          <w:shd w:val="clear" w:color="auto" w:fill="FFFFFF"/>
        </w:rPr>
        <w:t>đưa ra mộr</w:t>
      </w:r>
      <w:r w:rsidRPr="00FE2625">
        <w:rPr>
          <w:rFonts w:ascii="Times New Roman" w:eastAsia="Times New Roman" w:hAnsi="Times New Roman" w:cs="Times New Roman"/>
          <w:color w:val="000000"/>
          <w:sz w:val="26"/>
          <w:szCs w:val="26"/>
          <w:bdr w:val="none" w:sz="0" w:space="0" w:color="auto" w:frame="1"/>
          <w:shd w:val="clear" w:color="auto" w:fill="FFFFFF"/>
        </w:rPr>
        <w:t xml:space="preserve"> bức tranh về cách </w:t>
      </w:r>
      <w:r w:rsidR="000435A0">
        <w:rPr>
          <w:rFonts w:ascii="Times New Roman" w:eastAsia="Times New Roman" w:hAnsi="Times New Roman" w:cs="Times New Roman"/>
          <w:color w:val="000000"/>
          <w:sz w:val="26"/>
          <w:szCs w:val="26"/>
          <w:bdr w:val="none" w:sz="0" w:space="0" w:color="auto" w:frame="1"/>
          <w:shd w:val="clear" w:color="auto" w:fill="FFFFFF"/>
        </w:rPr>
        <w:t xml:space="preserve">mà </w:t>
      </w:r>
      <w:r w:rsidRPr="00FE2625">
        <w:rPr>
          <w:rFonts w:ascii="Times New Roman" w:eastAsia="Times New Roman" w:hAnsi="Times New Roman" w:cs="Times New Roman"/>
          <w:color w:val="000000"/>
          <w:sz w:val="26"/>
          <w:szCs w:val="26"/>
          <w:bdr w:val="none" w:sz="0" w:space="0" w:color="auto" w:frame="1"/>
          <w:shd w:val="clear" w:color="auto" w:fill="FFFFFF"/>
        </w:rPr>
        <w:t xml:space="preserve">vận tải biển phản ứng với các xu hướng ESG mới và </w:t>
      </w:r>
      <w:r w:rsidR="000435A0">
        <w:rPr>
          <w:rFonts w:ascii="Times New Roman" w:eastAsia="Times New Roman" w:hAnsi="Times New Roman" w:cs="Times New Roman"/>
          <w:color w:val="000000"/>
          <w:sz w:val="26"/>
          <w:szCs w:val="26"/>
          <w:bdr w:val="none" w:sz="0" w:space="0" w:color="auto" w:frame="1"/>
          <w:shd w:val="clear" w:color="auto" w:fill="FFFFFF"/>
        </w:rPr>
        <w:t xml:space="preserve">với </w:t>
      </w:r>
      <w:r w:rsidRPr="00FE2625">
        <w:rPr>
          <w:rFonts w:ascii="Times New Roman" w:eastAsia="Times New Roman" w:hAnsi="Times New Roman" w:cs="Times New Roman"/>
          <w:color w:val="000000"/>
          <w:sz w:val="26"/>
          <w:szCs w:val="26"/>
          <w:bdr w:val="none" w:sz="0" w:space="0" w:color="auto" w:frame="1"/>
          <w:shd w:val="clear" w:color="auto" w:fill="FFFFFF"/>
        </w:rPr>
        <w:t xml:space="preserve">các </w:t>
      </w:r>
      <w:r w:rsidR="000435A0">
        <w:rPr>
          <w:rFonts w:ascii="Times New Roman" w:eastAsia="Times New Roman" w:hAnsi="Times New Roman" w:cs="Times New Roman"/>
          <w:color w:val="000000"/>
          <w:sz w:val="26"/>
          <w:szCs w:val="26"/>
          <w:bdr w:val="none" w:sz="0" w:space="0" w:color="auto" w:frame="1"/>
          <w:shd w:val="clear" w:color="auto" w:fill="FFFFFF"/>
        </w:rPr>
        <w:t>quy định</w:t>
      </w:r>
      <w:r w:rsidRPr="00FE2625">
        <w:rPr>
          <w:rFonts w:ascii="Times New Roman" w:eastAsia="Times New Roman" w:hAnsi="Times New Roman" w:cs="Times New Roman"/>
          <w:color w:val="000000"/>
          <w:sz w:val="26"/>
          <w:szCs w:val="26"/>
          <w:bdr w:val="none" w:sz="0" w:space="0" w:color="auto" w:frame="1"/>
          <w:shd w:val="clear" w:color="auto" w:fill="FFFFFF"/>
        </w:rPr>
        <w:t xml:space="preserve"> đầy thách thức, bằng cách định hình chương trình nghị sự của </w:t>
      </w:r>
      <w:r w:rsidR="000435A0">
        <w:rPr>
          <w:rFonts w:ascii="Times New Roman" w:eastAsia="Times New Roman" w:hAnsi="Times New Roman" w:cs="Times New Roman"/>
          <w:color w:val="000000"/>
          <w:sz w:val="26"/>
          <w:szCs w:val="26"/>
          <w:bdr w:val="none" w:sz="0" w:space="0" w:color="auto" w:frame="1"/>
          <w:shd w:val="clear" w:color="auto" w:fill="FFFFFF"/>
        </w:rPr>
        <w:t>mình</w:t>
      </w:r>
      <w:r w:rsidRPr="00FE2625">
        <w:rPr>
          <w:rFonts w:ascii="Times New Roman" w:eastAsia="Times New Roman" w:hAnsi="Times New Roman" w:cs="Times New Roman"/>
          <w:color w:val="000000"/>
          <w:sz w:val="26"/>
          <w:szCs w:val="26"/>
          <w:bdr w:val="none" w:sz="0" w:space="0" w:color="auto" w:frame="1"/>
          <w:shd w:val="clear" w:color="auto" w:fill="FFFFFF"/>
        </w:rPr>
        <w:t>.</w:t>
      </w:r>
    </w:p>
    <w:p w:rsidR="00FE2625" w:rsidRPr="00FE2625" w:rsidRDefault="00FE2625" w:rsidP="00FE2625">
      <w:pPr>
        <w:shd w:val="clear" w:color="auto" w:fill="FFFFFF"/>
        <w:spacing w:before="120" w:after="120" w:line="240" w:lineRule="auto"/>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FE2625">
        <w:rPr>
          <w:rFonts w:ascii="Times New Roman" w:eastAsia="Times New Roman" w:hAnsi="Times New Roman" w:cs="Times New Roman"/>
          <w:color w:val="000000"/>
          <w:sz w:val="26"/>
          <w:szCs w:val="26"/>
          <w:bdr w:val="none" w:sz="0" w:space="0" w:color="auto" w:frame="1"/>
          <w:shd w:val="clear" w:color="auto" w:fill="FFFFFF"/>
        </w:rPr>
        <w:t xml:space="preserve">Năm nay, </w:t>
      </w:r>
      <w:r w:rsidR="000435A0">
        <w:rPr>
          <w:rFonts w:ascii="Times New Roman" w:eastAsia="Times New Roman" w:hAnsi="Times New Roman" w:cs="Times New Roman"/>
          <w:color w:val="000000"/>
          <w:sz w:val="26"/>
          <w:szCs w:val="26"/>
          <w:bdr w:val="none" w:sz="0" w:space="0" w:color="auto" w:frame="1"/>
          <w:shd w:val="clear" w:color="auto" w:fill="FFFFFF"/>
        </w:rPr>
        <w:t xml:space="preserve">có </w:t>
      </w:r>
      <w:r w:rsidRPr="00FE2625">
        <w:rPr>
          <w:rFonts w:ascii="Times New Roman" w:eastAsia="Times New Roman" w:hAnsi="Times New Roman" w:cs="Times New Roman"/>
          <w:color w:val="000000"/>
          <w:sz w:val="26"/>
          <w:szCs w:val="26"/>
          <w:bdr w:val="none" w:sz="0" w:space="0" w:color="auto" w:frame="1"/>
          <w:shd w:val="clear" w:color="auto" w:fill="FFFFFF"/>
        </w:rPr>
        <w:t>1.589 cá nhân đã tham gia</w:t>
      </w:r>
      <w:r w:rsidR="000435A0">
        <w:rPr>
          <w:rFonts w:ascii="Times New Roman" w:eastAsia="Times New Roman" w:hAnsi="Times New Roman" w:cs="Times New Roman"/>
          <w:color w:val="000000"/>
          <w:sz w:val="26"/>
          <w:szCs w:val="26"/>
          <w:bdr w:val="none" w:sz="0" w:space="0" w:color="auto" w:frame="1"/>
          <w:shd w:val="clear" w:color="auto" w:fill="FFFFFF"/>
        </w:rPr>
        <w:t xml:space="preserve"> khảo sát</w:t>
      </w:r>
      <w:r w:rsidRPr="00FE2625">
        <w:rPr>
          <w:rFonts w:ascii="Times New Roman" w:eastAsia="Times New Roman" w:hAnsi="Times New Roman" w:cs="Times New Roman"/>
          <w:color w:val="000000"/>
          <w:sz w:val="26"/>
          <w:szCs w:val="26"/>
          <w:bdr w:val="none" w:sz="0" w:space="0" w:color="auto" w:frame="1"/>
          <w:shd w:val="clear" w:color="auto" w:fill="FFFFFF"/>
        </w:rPr>
        <w:t xml:space="preserve">, </w:t>
      </w:r>
      <w:r w:rsidR="000435A0">
        <w:rPr>
          <w:rFonts w:ascii="Times New Roman" w:eastAsia="Times New Roman" w:hAnsi="Times New Roman" w:cs="Times New Roman"/>
          <w:color w:val="000000"/>
          <w:sz w:val="26"/>
          <w:szCs w:val="26"/>
          <w:bdr w:val="none" w:sz="0" w:space="0" w:color="auto" w:frame="1"/>
          <w:shd w:val="clear" w:color="auto" w:fill="FFFFFF"/>
        </w:rPr>
        <w:t xml:space="preserve">họ </w:t>
      </w:r>
      <w:r w:rsidRPr="00FE2625">
        <w:rPr>
          <w:rFonts w:ascii="Times New Roman" w:eastAsia="Times New Roman" w:hAnsi="Times New Roman" w:cs="Times New Roman"/>
          <w:color w:val="000000"/>
          <w:sz w:val="26"/>
          <w:szCs w:val="26"/>
          <w:bdr w:val="none" w:sz="0" w:space="0" w:color="auto" w:frame="1"/>
          <w:shd w:val="clear" w:color="auto" w:fill="FFFFFF"/>
        </w:rPr>
        <w:t>đảm nhiệm các vị trí khác nhau trong ngành hàng hải. Các phản hồi chủ yếu đến từ các nhà quản lý và nhà cung cấp dịch vụ</w:t>
      </w:r>
      <w:r w:rsidR="000435A0" w:rsidRPr="000435A0">
        <w:rPr>
          <w:rFonts w:ascii="Times New Roman" w:eastAsia="Times New Roman" w:hAnsi="Times New Roman" w:cs="Times New Roman"/>
          <w:color w:val="000000"/>
          <w:sz w:val="26"/>
          <w:szCs w:val="26"/>
          <w:bdr w:val="none" w:sz="0" w:space="0" w:color="auto" w:frame="1"/>
          <w:shd w:val="clear" w:color="auto" w:fill="FFFFFF"/>
        </w:rPr>
        <w:t xml:space="preserve"> </w:t>
      </w:r>
      <w:r w:rsidR="000435A0" w:rsidRPr="00FE2625">
        <w:rPr>
          <w:rFonts w:ascii="Times New Roman" w:eastAsia="Times New Roman" w:hAnsi="Times New Roman" w:cs="Times New Roman"/>
          <w:color w:val="000000"/>
          <w:sz w:val="26"/>
          <w:szCs w:val="26"/>
          <w:bdr w:val="none" w:sz="0" w:space="0" w:color="auto" w:frame="1"/>
          <w:shd w:val="clear" w:color="auto" w:fill="FFFFFF"/>
        </w:rPr>
        <w:t>tàu</w:t>
      </w:r>
      <w:r w:rsidR="000435A0">
        <w:rPr>
          <w:rFonts w:ascii="Times New Roman" w:eastAsia="Times New Roman" w:hAnsi="Times New Roman" w:cs="Times New Roman"/>
          <w:color w:val="000000"/>
          <w:sz w:val="26"/>
          <w:szCs w:val="26"/>
          <w:bdr w:val="none" w:sz="0" w:space="0" w:color="auto" w:frame="1"/>
          <w:shd w:val="clear" w:color="auto" w:fill="FFFFFF"/>
        </w:rPr>
        <w:t xml:space="preserve"> biển</w:t>
      </w:r>
      <w:r w:rsidRPr="00FE2625">
        <w:rPr>
          <w:rFonts w:ascii="Times New Roman" w:eastAsia="Times New Roman" w:hAnsi="Times New Roman" w:cs="Times New Roman"/>
          <w:color w:val="000000"/>
          <w:sz w:val="26"/>
          <w:szCs w:val="26"/>
          <w:bdr w:val="none" w:sz="0" w:space="0" w:color="auto" w:frame="1"/>
          <w:shd w:val="clear" w:color="auto" w:fill="FFFFFF"/>
        </w:rPr>
        <w:t xml:space="preserve">, và một phần nhỏ hơn đến từ các Hiệp hội, Cảng, Nhà cung cấp máy móc và thiết bị, cũng như nhân viên </w:t>
      </w:r>
      <w:r w:rsidR="000435A0">
        <w:rPr>
          <w:rFonts w:ascii="Times New Roman" w:eastAsia="Times New Roman" w:hAnsi="Times New Roman" w:cs="Times New Roman"/>
          <w:color w:val="000000"/>
          <w:sz w:val="26"/>
          <w:szCs w:val="26"/>
          <w:bdr w:val="none" w:sz="0" w:space="0" w:color="auto" w:frame="1"/>
          <w:shd w:val="clear" w:color="auto" w:fill="FFFFFF"/>
        </w:rPr>
        <w:t xml:space="preserve">của ngành công nghiệp </w:t>
      </w:r>
      <w:r w:rsidRPr="00FE2625">
        <w:rPr>
          <w:rFonts w:ascii="Times New Roman" w:eastAsia="Times New Roman" w:hAnsi="Times New Roman" w:cs="Times New Roman"/>
          <w:color w:val="000000"/>
          <w:sz w:val="26"/>
          <w:szCs w:val="26"/>
          <w:bdr w:val="none" w:sz="0" w:space="0" w:color="auto" w:frame="1"/>
          <w:shd w:val="clear" w:color="auto" w:fill="FFFFFF"/>
        </w:rPr>
        <w:t>ngoài khơi. Một nửa số người tham gia là Giám đốc điều hành cấp cao, tiếp theo là Tổng giám đốc điều hành, Giám đốc và Giám đốc điều hành trẻ.</w:t>
      </w:r>
    </w:p>
    <w:p w:rsidR="00FE2625" w:rsidRPr="000435A0" w:rsidRDefault="000435A0" w:rsidP="00FE2625">
      <w:pPr>
        <w:shd w:val="clear" w:color="auto" w:fill="FFFFFF"/>
        <w:spacing w:before="120" w:after="120" w:line="240" w:lineRule="auto"/>
        <w:jc w:val="both"/>
        <w:textAlignment w:val="baseline"/>
        <w:rPr>
          <w:rFonts w:ascii="Times New Roman" w:eastAsia="Times New Roman" w:hAnsi="Times New Roman" w:cs="Times New Roman"/>
          <w:b/>
          <w:color w:val="000000"/>
          <w:sz w:val="26"/>
          <w:szCs w:val="26"/>
          <w:bdr w:val="none" w:sz="0" w:space="0" w:color="auto" w:frame="1"/>
          <w:shd w:val="clear" w:color="auto" w:fill="FFFFFF"/>
        </w:rPr>
      </w:pPr>
      <w:r w:rsidRPr="000435A0">
        <w:rPr>
          <w:rFonts w:ascii="Times New Roman" w:eastAsia="Times New Roman" w:hAnsi="Times New Roman" w:cs="Times New Roman"/>
          <w:b/>
          <w:color w:val="000000"/>
          <w:sz w:val="26"/>
          <w:szCs w:val="26"/>
          <w:bdr w:val="none" w:sz="0" w:space="0" w:color="auto" w:frame="1"/>
          <w:shd w:val="clear" w:color="auto" w:fill="FFFFFF"/>
        </w:rPr>
        <w:t>Lướt qua</w:t>
      </w:r>
      <w:r w:rsidR="00FE2625" w:rsidRPr="000435A0">
        <w:rPr>
          <w:rFonts w:ascii="Times New Roman" w:eastAsia="Times New Roman" w:hAnsi="Times New Roman" w:cs="Times New Roman"/>
          <w:b/>
          <w:color w:val="000000"/>
          <w:sz w:val="26"/>
          <w:szCs w:val="26"/>
          <w:bdr w:val="none" w:sz="0" w:space="0" w:color="auto" w:frame="1"/>
          <w:shd w:val="clear" w:color="auto" w:fill="FFFFFF"/>
        </w:rPr>
        <w:t xml:space="preserve"> về ESG</w:t>
      </w:r>
    </w:p>
    <w:p w:rsidR="00FE2625" w:rsidRPr="00FE2625" w:rsidRDefault="00FE2625" w:rsidP="00FE2625">
      <w:pPr>
        <w:shd w:val="clear" w:color="auto" w:fill="FFFFFF"/>
        <w:spacing w:before="120" w:after="120" w:line="240" w:lineRule="auto"/>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FE2625">
        <w:rPr>
          <w:rFonts w:ascii="Times New Roman" w:eastAsia="Times New Roman" w:hAnsi="Times New Roman" w:cs="Times New Roman"/>
          <w:color w:val="000000"/>
          <w:sz w:val="26"/>
          <w:szCs w:val="26"/>
          <w:bdr w:val="none" w:sz="0" w:space="0" w:color="auto" w:frame="1"/>
          <w:shd w:val="clear" w:color="auto" w:fill="FFFFFF"/>
        </w:rPr>
        <w:t xml:space="preserve">Thuật ngữ ESG dùng để chỉ một tập hợp các số liệu được sử dụng để đo lường tác động về mặt môi trường và xã hội của một tổ chức và ngày càng trở nên quan trọng trong quá trình </w:t>
      </w:r>
      <w:r w:rsidRPr="00FE2625">
        <w:rPr>
          <w:rFonts w:ascii="Times New Roman" w:eastAsia="Times New Roman" w:hAnsi="Times New Roman" w:cs="Times New Roman"/>
          <w:color w:val="000000"/>
          <w:sz w:val="26"/>
          <w:szCs w:val="26"/>
          <w:bdr w:val="none" w:sz="0" w:space="0" w:color="auto" w:frame="1"/>
          <w:shd w:val="clear" w:color="auto" w:fill="FFFFFF"/>
        </w:rPr>
        <w:lastRenderedPageBreak/>
        <w:t xml:space="preserve">ra quyết định đầu tư qua nhiều năm. Năm 2004, thuật ngữ “ESG” đã chính thức xuất hiện lần đầu tiên trong báo cáo có tiêu đề “Who Cares Wins”. Báo cáo </w:t>
      </w:r>
      <w:r w:rsidR="000435A0">
        <w:rPr>
          <w:rFonts w:ascii="Times New Roman" w:eastAsia="Times New Roman" w:hAnsi="Times New Roman" w:cs="Times New Roman"/>
          <w:color w:val="000000"/>
          <w:sz w:val="26"/>
          <w:szCs w:val="26"/>
          <w:bdr w:val="none" w:sz="0" w:space="0" w:color="auto" w:frame="1"/>
          <w:shd w:val="clear" w:color="auto" w:fill="FFFFFF"/>
        </w:rPr>
        <w:t xml:space="preserve">này </w:t>
      </w:r>
      <w:r w:rsidRPr="00FE2625">
        <w:rPr>
          <w:rFonts w:ascii="Times New Roman" w:eastAsia="Times New Roman" w:hAnsi="Times New Roman" w:cs="Times New Roman"/>
          <w:color w:val="000000"/>
          <w:sz w:val="26"/>
          <w:szCs w:val="26"/>
          <w:bdr w:val="none" w:sz="0" w:space="0" w:color="auto" w:frame="1"/>
          <w:shd w:val="clear" w:color="auto" w:fill="FFFFFF"/>
        </w:rPr>
        <w:t xml:space="preserve">minh họa cách tích hợp các yếu tố ESG vào hoạt động của công ty, chia nhỏ khái niệm này thành ba thành phần cơ bản: môi trường, xã hội và quản trị (hay quản trị doanh nghiệp). Nhưng mặc dù thuật ngữ ESG lần đầu tiên được Hiệp ước toàn cầu của Liên hợp quốc đưa ra vào năm 2004, khái niệm này đã tồn tại </w:t>
      </w:r>
      <w:r w:rsidR="000435A0">
        <w:rPr>
          <w:rFonts w:ascii="Times New Roman" w:eastAsia="Times New Roman" w:hAnsi="Times New Roman" w:cs="Times New Roman"/>
          <w:color w:val="000000"/>
          <w:sz w:val="26"/>
          <w:szCs w:val="26"/>
          <w:bdr w:val="none" w:sz="0" w:space="0" w:color="auto" w:frame="1"/>
          <w:shd w:val="clear" w:color="auto" w:fill="FFFFFF"/>
        </w:rPr>
        <w:t xml:space="preserve">từ </w:t>
      </w:r>
      <w:r w:rsidRPr="00FE2625">
        <w:rPr>
          <w:rFonts w:ascii="Times New Roman" w:eastAsia="Times New Roman" w:hAnsi="Times New Roman" w:cs="Times New Roman"/>
          <w:color w:val="000000"/>
          <w:sz w:val="26"/>
          <w:szCs w:val="26"/>
          <w:bdr w:val="none" w:sz="0" w:space="0" w:color="auto" w:frame="1"/>
          <w:shd w:val="clear" w:color="auto" w:fill="FFFFFF"/>
        </w:rPr>
        <w:t>lâu hơn nhiều.</w:t>
      </w:r>
    </w:p>
    <w:p w:rsidR="00FE2625" w:rsidRPr="00FE2625" w:rsidRDefault="00FE2625" w:rsidP="00FE2625">
      <w:pPr>
        <w:shd w:val="clear" w:color="auto" w:fill="FFFFFF"/>
        <w:spacing w:before="120" w:after="120" w:line="240" w:lineRule="auto"/>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FE2625">
        <w:rPr>
          <w:rFonts w:ascii="Times New Roman" w:eastAsia="Times New Roman" w:hAnsi="Times New Roman" w:cs="Times New Roman"/>
          <w:color w:val="000000"/>
          <w:sz w:val="26"/>
          <w:szCs w:val="26"/>
          <w:bdr w:val="none" w:sz="0" w:space="0" w:color="auto" w:frame="1"/>
          <w:shd w:val="clear" w:color="auto" w:fill="FFFFFF"/>
        </w:rPr>
        <w:t xml:space="preserve">Việc áp dụng rộng rãi </w:t>
      </w:r>
      <w:r w:rsidR="000435A0">
        <w:rPr>
          <w:rFonts w:ascii="Times New Roman" w:eastAsia="Times New Roman" w:hAnsi="Times New Roman" w:cs="Times New Roman"/>
          <w:color w:val="000000"/>
          <w:sz w:val="26"/>
          <w:szCs w:val="26"/>
          <w:bdr w:val="none" w:sz="0" w:space="0" w:color="auto" w:frame="1"/>
          <w:shd w:val="clear" w:color="auto" w:fill="FFFFFF"/>
        </w:rPr>
        <w:t xml:space="preserve">ESG </w:t>
      </w:r>
      <w:r w:rsidRPr="00FE2625">
        <w:rPr>
          <w:rFonts w:ascii="Times New Roman" w:eastAsia="Times New Roman" w:hAnsi="Times New Roman" w:cs="Times New Roman"/>
          <w:color w:val="000000"/>
          <w:sz w:val="26"/>
          <w:szCs w:val="26"/>
          <w:bdr w:val="none" w:sz="0" w:space="0" w:color="auto" w:frame="1"/>
          <w:shd w:val="clear" w:color="auto" w:fill="FFFFFF"/>
        </w:rPr>
        <w:t xml:space="preserve">có thể là do sự </w:t>
      </w:r>
      <w:r w:rsidR="000435A0">
        <w:rPr>
          <w:rFonts w:ascii="Times New Roman" w:eastAsia="Times New Roman" w:hAnsi="Times New Roman" w:cs="Times New Roman"/>
          <w:color w:val="000000"/>
          <w:sz w:val="26"/>
          <w:szCs w:val="26"/>
          <w:bdr w:val="none" w:sz="0" w:space="0" w:color="auto" w:frame="1"/>
          <w:shd w:val="clear" w:color="auto" w:fill="FFFFFF"/>
        </w:rPr>
        <w:t>thừa</w:t>
      </w:r>
      <w:r w:rsidRPr="00FE2625">
        <w:rPr>
          <w:rFonts w:ascii="Times New Roman" w:eastAsia="Times New Roman" w:hAnsi="Times New Roman" w:cs="Times New Roman"/>
          <w:color w:val="000000"/>
          <w:sz w:val="26"/>
          <w:szCs w:val="26"/>
          <w:bdr w:val="none" w:sz="0" w:space="0" w:color="auto" w:frame="1"/>
          <w:shd w:val="clear" w:color="auto" w:fill="FFFFFF"/>
        </w:rPr>
        <w:t xml:space="preserve"> nhận ngày càng tăng về tầm quan trọng của </w:t>
      </w:r>
      <w:r w:rsidR="000435A0">
        <w:rPr>
          <w:rFonts w:ascii="Times New Roman" w:eastAsia="Times New Roman" w:hAnsi="Times New Roman" w:cs="Times New Roman"/>
          <w:color w:val="000000"/>
          <w:sz w:val="26"/>
          <w:szCs w:val="26"/>
          <w:bdr w:val="none" w:sz="0" w:space="0" w:color="auto" w:frame="1"/>
          <w:shd w:val="clear" w:color="auto" w:fill="FFFFFF"/>
        </w:rPr>
        <w:t>sự</w:t>
      </w:r>
      <w:r w:rsidRPr="00FE2625">
        <w:rPr>
          <w:rFonts w:ascii="Times New Roman" w:eastAsia="Times New Roman" w:hAnsi="Times New Roman" w:cs="Times New Roman"/>
          <w:color w:val="000000"/>
          <w:sz w:val="26"/>
          <w:szCs w:val="26"/>
          <w:bdr w:val="none" w:sz="0" w:space="0" w:color="auto" w:frame="1"/>
          <w:shd w:val="clear" w:color="auto" w:fill="FFFFFF"/>
        </w:rPr>
        <w:t xml:space="preserve"> bền vững, các hoạt động kinh doanh có trách nhiệm và giá trị của bên liên quan trong nền kinh tế toàn cầu. Ngày nay, các cân nhắc về ESG là một phần không thể thiếu trong các chiến lược đầu tư, </w:t>
      </w:r>
      <w:r w:rsidR="000435A0">
        <w:rPr>
          <w:rFonts w:ascii="Times New Roman" w:eastAsia="Times New Roman" w:hAnsi="Times New Roman" w:cs="Times New Roman"/>
          <w:color w:val="000000"/>
          <w:sz w:val="26"/>
          <w:szCs w:val="26"/>
          <w:bdr w:val="none" w:sz="0" w:space="0" w:color="auto" w:frame="1"/>
          <w:shd w:val="clear" w:color="auto" w:fill="FFFFFF"/>
        </w:rPr>
        <w:t xml:space="preserve">các </w:t>
      </w:r>
      <w:r w:rsidRPr="00FE2625">
        <w:rPr>
          <w:rFonts w:ascii="Times New Roman" w:eastAsia="Times New Roman" w:hAnsi="Times New Roman" w:cs="Times New Roman"/>
          <w:color w:val="000000"/>
          <w:sz w:val="26"/>
          <w:szCs w:val="26"/>
          <w:bdr w:val="none" w:sz="0" w:space="0" w:color="auto" w:frame="1"/>
          <w:shd w:val="clear" w:color="auto" w:fill="FFFFFF"/>
        </w:rPr>
        <w:t>khuôn khổ quản trị doanh ngh</w:t>
      </w:r>
      <w:r w:rsidR="000435A0">
        <w:rPr>
          <w:rFonts w:ascii="Times New Roman" w:eastAsia="Times New Roman" w:hAnsi="Times New Roman" w:cs="Times New Roman"/>
          <w:color w:val="000000"/>
          <w:sz w:val="26"/>
          <w:szCs w:val="26"/>
          <w:bdr w:val="none" w:sz="0" w:space="0" w:color="auto" w:frame="1"/>
          <w:shd w:val="clear" w:color="auto" w:fill="FFFFFF"/>
        </w:rPr>
        <w:t>iệp và hoạt động kinh doanh trong</w:t>
      </w:r>
      <w:r w:rsidRPr="00FE2625">
        <w:rPr>
          <w:rFonts w:ascii="Times New Roman" w:eastAsia="Times New Roman" w:hAnsi="Times New Roman" w:cs="Times New Roman"/>
          <w:color w:val="000000"/>
          <w:sz w:val="26"/>
          <w:szCs w:val="26"/>
          <w:bdr w:val="none" w:sz="0" w:space="0" w:color="auto" w:frame="1"/>
          <w:shd w:val="clear" w:color="auto" w:fill="FFFFFF"/>
        </w:rPr>
        <w:t xml:space="preserve"> nhiều ngành công nghiệp khác nhau.</w:t>
      </w:r>
    </w:p>
    <w:p w:rsidR="00FE2625" w:rsidRPr="000435A0" w:rsidRDefault="000435A0" w:rsidP="00FE2625">
      <w:pPr>
        <w:shd w:val="clear" w:color="auto" w:fill="FFFFFF"/>
        <w:spacing w:before="120" w:after="120" w:line="240" w:lineRule="auto"/>
        <w:jc w:val="both"/>
        <w:textAlignment w:val="baseline"/>
        <w:rPr>
          <w:rFonts w:ascii="Times New Roman" w:eastAsia="Times New Roman" w:hAnsi="Times New Roman" w:cs="Times New Roman"/>
          <w:b/>
          <w:color w:val="000000"/>
          <w:sz w:val="26"/>
          <w:szCs w:val="26"/>
          <w:bdr w:val="none" w:sz="0" w:space="0" w:color="auto" w:frame="1"/>
          <w:shd w:val="clear" w:color="auto" w:fill="FFFFFF"/>
        </w:rPr>
      </w:pPr>
      <w:r>
        <w:rPr>
          <w:rFonts w:ascii="Times New Roman" w:eastAsia="Times New Roman" w:hAnsi="Times New Roman" w:cs="Times New Roman"/>
          <w:b/>
          <w:color w:val="000000"/>
          <w:sz w:val="26"/>
          <w:szCs w:val="26"/>
          <w:bdr w:val="none" w:sz="0" w:space="0" w:color="auto" w:frame="1"/>
          <w:shd w:val="clear" w:color="auto" w:fill="FFFFFF"/>
        </w:rPr>
        <w:t>Những</w:t>
      </w:r>
      <w:r w:rsidR="00FE2625" w:rsidRPr="000435A0">
        <w:rPr>
          <w:rFonts w:ascii="Times New Roman" w:eastAsia="Times New Roman" w:hAnsi="Times New Roman" w:cs="Times New Roman"/>
          <w:b/>
          <w:color w:val="000000"/>
          <w:sz w:val="26"/>
          <w:szCs w:val="26"/>
          <w:bdr w:val="none" w:sz="0" w:space="0" w:color="auto" w:frame="1"/>
          <w:shd w:val="clear" w:color="auto" w:fill="FFFFFF"/>
        </w:rPr>
        <w:t xml:space="preserve"> gì </w:t>
      </w:r>
      <w:r>
        <w:rPr>
          <w:rFonts w:ascii="Times New Roman" w:eastAsia="Times New Roman" w:hAnsi="Times New Roman" w:cs="Times New Roman"/>
          <w:b/>
          <w:color w:val="000000"/>
          <w:sz w:val="26"/>
          <w:szCs w:val="26"/>
          <w:bdr w:val="none" w:sz="0" w:space="0" w:color="auto" w:frame="1"/>
          <w:shd w:val="clear" w:color="auto" w:fill="FFFFFF"/>
        </w:rPr>
        <w:t xml:space="preserve">đang </w:t>
      </w:r>
      <w:r w:rsidR="00FE2625" w:rsidRPr="000435A0">
        <w:rPr>
          <w:rFonts w:ascii="Times New Roman" w:eastAsia="Times New Roman" w:hAnsi="Times New Roman" w:cs="Times New Roman"/>
          <w:b/>
          <w:color w:val="000000"/>
          <w:sz w:val="26"/>
          <w:szCs w:val="26"/>
          <w:bdr w:val="none" w:sz="0" w:space="0" w:color="auto" w:frame="1"/>
          <w:shd w:val="clear" w:color="auto" w:fill="FFFFFF"/>
        </w:rPr>
        <w:t xml:space="preserve">đứng đầu </w:t>
      </w:r>
      <w:r>
        <w:rPr>
          <w:rFonts w:ascii="Times New Roman" w:eastAsia="Times New Roman" w:hAnsi="Times New Roman" w:cs="Times New Roman"/>
          <w:b/>
          <w:color w:val="000000"/>
          <w:sz w:val="26"/>
          <w:szCs w:val="26"/>
          <w:bdr w:val="none" w:sz="0" w:space="0" w:color="auto" w:frame="1"/>
          <w:shd w:val="clear" w:color="auto" w:fill="FFFFFF"/>
        </w:rPr>
        <w:t xml:space="preserve">trong </w:t>
      </w:r>
      <w:r w:rsidR="00FE2625" w:rsidRPr="000435A0">
        <w:rPr>
          <w:rFonts w:ascii="Times New Roman" w:eastAsia="Times New Roman" w:hAnsi="Times New Roman" w:cs="Times New Roman"/>
          <w:b/>
          <w:color w:val="000000"/>
          <w:sz w:val="26"/>
          <w:szCs w:val="26"/>
          <w:bdr w:val="none" w:sz="0" w:space="0" w:color="auto" w:frame="1"/>
          <w:shd w:val="clear" w:color="auto" w:fill="FFFFFF"/>
        </w:rPr>
        <w:t xml:space="preserve">chương trình nghị sự ESG trong vận </w:t>
      </w:r>
      <w:r>
        <w:rPr>
          <w:rFonts w:ascii="Times New Roman" w:eastAsia="Times New Roman" w:hAnsi="Times New Roman" w:cs="Times New Roman"/>
          <w:b/>
          <w:color w:val="000000"/>
          <w:sz w:val="26"/>
          <w:szCs w:val="26"/>
          <w:bdr w:val="none" w:sz="0" w:space="0" w:color="auto" w:frame="1"/>
          <w:shd w:val="clear" w:color="auto" w:fill="FFFFFF"/>
        </w:rPr>
        <w:t>tải biển</w:t>
      </w:r>
      <w:r w:rsidR="00FE2625" w:rsidRPr="000435A0">
        <w:rPr>
          <w:rFonts w:ascii="Times New Roman" w:eastAsia="Times New Roman" w:hAnsi="Times New Roman" w:cs="Times New Roman"/>
          <w:b/>
          <w:color w:val="000000"/>
          <w:sz w:val="26"/>
          <w:szCs w:val="26"/>
          <w:bdr w:val="none" w:sz="0" w:space="0" w:color="auto" w:frame="1"/>
          <w:shd w:val="clear" w:color="auto" w:fill="FFFFFF"/>
        </w:rPr>
        <w:t>?</w:t>
      </w:r>
    </w:p>
    <w:p w:rsidR="00FE2625" w:rsidRPr="00FE2625" w:rsidRDefault="00FE2625" w:rsidP="00FE2625">
      <w:pPr>
        <w:shd w:val="clear" w:color="auto" w:fill="FFFFFF"/>
        <w:spacing w:before="120" w:after="120" w:line="240" w:lineRule="auto"/>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FE2625">
        <w:rPr>
          <w:rFonts w:ascii="Times New Roman" w:eastAsia="Times New Roman" w:hAnsi="Times New Roman" w:cs="Times New Roman"/>
          <w:color w:val="000000"/>
          <w:sz w:val="26"/>
          <w:szCs w:val="26"/>
          <w:bdr w:val="none" w:sz="0" w:space="0" w:color="auto" w:frame="1"/>
          <w:shd w:val="clear" w:color="auto" w:fill="FFFFFF"/>
        </w:rPr>
        <w:t xml:space="preserve">Hành trình ESG có nhiều khía cạnh cần xem xét; tuy nhiên, khía cạnh nào được ưu tiên trong chương trình nghị sự ESG của ngành? Sau đây, chúng tôi xin giới thiệu 21 yếu tố ESG hàng đầu được </w:t>
      </w:r>
      <w:r w:rsidR="000435A0">
        <w:rPr>
          <w:rFonts w:ascii="Times New Roman" w:eastAsia="Times New Roman" w:hAnsi="Times New Roman" w:cs="Times New Roman"/>
          <w:color w:val="000000"/>
          <w:sz w:val="26"/>
          <w:szCs w:val="26"/>
          <w:bdr w:val="none" w:sz="0" w:space="0" w:color="auto" w:frame="1"/>
          <w:shd w:val="clear" w:color="auto" w:fill="FFFFFF"/>
        </w:rPr>
        <w:t>tìm thấy</w:t>
      </w:r>
      <w:r w:rsidRPr="00FE2625">
        <w:rPr>
          <w:rFonts w:ascii="Times New Roman" w:eastAsia="Times New Roman" w:hAnsi="Times New Roman" w:cs="Times New Roman"/>
          <w:color w:val="000000"/>
          <w:sz w:val="26"/>
          <w:szCs w:val="26"/>
          <w:bdr w:val="none" w:sz="0" w:space="0" w:color="auto" w:frame="1"/>
          <w:shd w:val="clear" w:color="auto" w:fill="FFFFFF"/>
        </w:rPr>
        <w:t xml:space="preserve"> trong cuộc khảo sát mới nhất giữa các bên liên quan trong </w:t>
      </w:r>
      <w:r w:rsidR="000435A0">
        <w:rPr>
          <w:rFonts w:ascii="Times New Roman" w:eastAsia="Times New Roman" w:hAnsi="Times New Roman" w:cs="Times New Roman"/>
          <w:color w:val="000000"/>
          <w:sz w:val="26"/>
          <w:szCs w:val="26"/>
          <w:bdr w:val="none" w:sz="0" w:space="0" w:color="auto" w:frame="1"/>
          <w:shd w:val="clear" w:color="auto" w:fill="FFFFFF"/>
        </w:rPr>
        <w:t>hàng hải</w:t>
      </w:r>
    </w:p>
    <w:tbl>
      <w:tblPr>
        <w:tblW w:w="9630" w:type="dxa"/>
        <w:tblBorders>
          <w:top w:val="single" w:sz="6" w:space="0" w:color="B3B3B3"/>
          <w:left w:val="single" w:sz="6" w:space="0" w:color="B3B3B3"/>
          <w:bottom w:val="single" w:sz="6" w:space="0" w:color="B3B3B3"/>
          <w:right w:val="single" w:sz="6" w:space="0" w:color="B3B3B3"/>
        </w:tblBorders>
        <w:shd w:val="clear" w:color="auto" w:fill="FFFFFF"/>
        <w:tblCellMar>
          <w:left w:w="0" w:type="dxa"/>
          <w:right w:w="0" w:type="dxa"/>
        </w:tblCellMar>
        <w:tblLook w:val="04A0" w:firstRow="1" w:lastRow="0" w:firstColumn="1" w:lastColumn="0" w:noHBand="0" w:noVBand="1"/>
      </w:tblPr>
      <w:tblGrid>
        <w:gridCol w:w="1065"/>
        <w:gridCol w:w="1848"/>
        <w:gridCol w:w="5616"/>
        <w:gridCol w:w="1101"/>
      </w:tblGrid>
      <w:tr w:rsidR="002A0969" w:rsidRPr="000435A0" w:rsidTr="002A0969">
        <w:trPr>
          <w:trHeight w:val="450"/>
        </w:trPr>
        <w:tc>
          <w:tcPr>
            <w:tcW w:w="1023" w:type="dxa"/>
            <w:tcBorders>
              <w:top w:val="nil"/>
              <w:left w:val="nil"/>
              <w:bottom w:val="nil"/>
              <w:right w:val="nil"/>
            </w:tcBorders>
            <w:shd w:val="clear" w:color="auto" w:fill="002C42"/>
            <w:tcMar>
              <w:top w:w="120" w:type="dxa"/>
              <w:left w:w="300" w:type="dxa"/>
              <w:bottom w:w="120" w:type="dxa"/>
              <w:right w:w="300" w:type="dxa"/>
            </w:tcMar>
            <w:vAlign w:val="bottom"/>
            <w:hideMark/>
          </w:tcPr>
          <w:p w:rsidR="00FE2625" w:rsidRPr="00FE2625" w:rsidRDefault="00FE2625" w:rsidP="00FE2625">
            <w:pPr>
              <w:spacing w:after="0" w:line="240" w:lineRule="auto"/>
              <w:rPr>
                <w:rFonts w:ascii="inherit" w:eastAsia="Times New Roman" w:hAnsi="inherit" w:cs="Helvetica"/>
                <w:color w:val="7B7B7B"/>
              </w:rPr>
            </w:pPr>
            <w:r w:rsidRPr="000435A0">
              <w:rPr>
                <w:rFonts w:ascii="inherit" w:eastAsia="Times New Roman" w:hAnsi="inherit" w:cs="Helvetica"/>
                <w:b/>
                <w:bCs/>
                <w:color w:val="FFFFFF"/>
                <w:bdr w:val="none" w:sz="0" w:space="0" w:color="auto" w:frame="1"/>
              </w:rPr>
              <w:t>Xếp hạng</w:t>
            </w:r>
          </w:p>
        </w:tc>
        <w:tc>
          <w:tcPr>
            <w:tcW w:w="1857" w:type="dxa"/>
            <w:tcBorders>
              <w:top w:val="nil"/>
              <w:left w:val="single" w:sz="6" w:space="0" w:color="EEEEEE"/>
              <w:bottom w:val="nil"/>
              <w:right w:val="single" w:sz="6" w:space="0" w:color="EEEEEE"/>
            </w:tcBorders>
            <w:shd w:val="clear" w:color="auto" w:fill="002C42"/>
            <w:tcMar>
              <w:top w:w="120" w:type="dxa"/>
              <w:left w:w="300" w:type="dxa"/>
              <w:bottom w:w="120" w:type="dxa"/>
              <w:right w:w="300" w:type="dxa"/>
            </w:tcMar>
            <w:vAlign w:val="bottom"/>
            <w:hideMark/>
          </w:tcPr>
          <w:p w:rsidR="00FE2625" w:rsidRPr="00FE2625" w:rsidRDefault="00FE2625" w:rsidP="00FE2625">
            <w:pPr>
              <w:spacing w:after="0" w:line="240" w:lineRule="auto"/>
              <w:rPr>
                <w:rFonts w:ascii="inherit" w:eastAsia="Times New Roman" w:hAnsi="inherit" w:cs="Helvetica"/>
                <w:color w:val="7B7B7B"/>
              </w:rPr>
            </w:pPr>
            <w:r w:rsidRPr="000435A0">
              <w:rPr>
                <w:rFonts w:ascii="inherit" w:eastAsia="Times New Roman" w:hAnsi="inherit" w:cs="Helvetica"/>
                <w:b/>
                <w:bCs/>
                <w:color w:val="FFFFFF"/>
                <w:bdr w:val="none" w:sz="0" w:space="0" w:color="auto" w:frame="1"/>
              </w:rPr>
              <w:t>Nhóm yếu tố</w:t>
            </w:r>
          </w:p>
        </w:tc>
        <w:tc>
          <w:tcPr>
            <w:tcW w:w="5670" w:type="dxa"/>
            <w:tcBorders>
              <w:top w:val="nil"/>
              <w:left w:val="single" w:sz="6" w:space="0" w:color="EEEEEE"/>
              <w:bottom w:val="nil"/>
              <w:right w:val="single" w:sz="6" w:space="0" w:color="EEEEEE"/>
            </w:tcBorders>
            <w:shd w:val="clear" w:color="auto" w:fill="002C42"/>
            <w:tcMar>
              <w:top w:w="120" w:type="dxa"/>
              <w:left w:w="300" w:type="dxa"/>
              <w:bottom w:w="120" w:type="dxa"/>
              <w:right w:w="300" w:type="dxa"/>
            </w:tcMar>
            <w:vAlign w:val="bottom"/>
            <w:hideMark/>
          </w:tcPr>
          <w:p w:rsidR="00FE2625" w:rsidRPr="00FE2625" w:rsidRDefault="00FE2625" w:rsidP="00FE2625">
            <w:pPr>
              <w:spacing w:after="0" w:line="240" w:lineRule="auto"/>
              <w:rPr>
                <w:rFonts w:ascii="inherit" w:eastAsia="Times New Roman" w:hAnsi="inherit" w:cs="Helvetica"/>
                <w:color w:val="7B7B7B"/>
              </w:rPr>
            </w:pPr>
            <w:r w:rsidRPr="000435A0">
              <w:rPr>
                <w:rFonts w:ascii="inherit" w:eastAsia="Times New Roman" w:hAnsi="inherit" w:cs="Helvetica"/>
                <w:b/>
                <w:bCs/>
                <w:color w:val="FFFFFF"/>
                <w:bdr w:val="none" w:sz="0" w:space="0" w:color="auto" w:frame="1"/>
              </w:rPr>
              <w:t>Yếu tố</w:t>
            </w:r>
          </w:p>
        </w:tc>
        <w:tc>
          <w:tcPr>
            <w:tcW w:w="1080" w:type="dxa"/>
            <w:tcBorders>
              <w:top w:val="nil"/>
              <w:left w:val="nil"/>
              <w:bottom w:val="nil"/>
              <w:right w:val="nil"/>
            </w:tcBorders>
            <w:shd w:val="clear" w:color="auto" w:fill="002C42"/>
            <w:tcMar>
              <w:top w:w="120" w:type="dxa"/>
              <w:left w:w="300" w:type="dxa"/>
              <w:bottom w:w="120" w:type="dxa"/>
              <w:right w:w="300" w:type="dxa"/>
            </w:tcMar>
            <w:vAlign w:val="bottom"/>
            <w:hideMark/>
          </w:tcPr>
          <w:p w:rsidR="00FE2625" w:rsidRPr="00FE2625" w:rsidRDefault="00FE2625" w:rsidP="00FE2625">
            <w:pPr>
              <w:spacing w:after="0" w:line="240" w:lineRule="auto"/>
              <w:rPr>
                <w:rFonts w:ascii="inherit" w:eastAsia="Times New Roman" w:hAnsi="inherit" w:cs="Helvetica"/>
                <w:color w:val="7B7B7B"/>
              </w:rPr>
            </w:pPr>
            <w:r w:rsidRPr="000435A0">
              <w:rPr>
                <w:rFonts w:ascii="inherit" w:eastAsia="Times New Roman" w:hAnsi="inherit" w:cs="Helvetica"/>
                <w:b/>
                <w:bCs/>
                <w:color w:val="FFFFFF"/>
                <w:bdr w:val="none" w:sz="0" w:space="0" w:color="auto" w:frame="1"/>
              </w:rPr>
              <w:t>Điểm %</w:t>
            </w:r>
          </w:p>
        </w:tc>
      </w:tr>
      <w:tr w:rsidR="002A0969" w:rsidRPr="000435A0" w:rsidTr="002A0969">
        <w:trPr>
          <w:trHeight w:val="225"/>
        </w:trPr>
        <w:tc>
          <w:tcPr>
            <w:tcW w:w="1023" w:type="dxa"/>
            <w:tcBorders>
              <w:top w:val="nil"/>
              <w:left w:val="nil"/>
              <w:bottom w:val="nil"/>
              <w:right w:val="nil"/>
            </w:tcBorders>
            <w:shd w:val="clear" w:color="auto" w:fill="D3E8F2"/>
            <w:tcMar>
              <w:top w:w="120" w:type="dxa"/>
              <w:left w:w="300" w:type="dxa"/>
              <w:bottom w:w="120" w:type="dxa"/>
              <w:right w:w="300" w:type="dxa"/>
            </w:tcMar>
            <w:vAlign w:val="bottom"/>
            <w:hideMark/>
          </w:tcPr>
          <w:p w:rsidR="00FE2625" w:rsidRPr="00FE2625" w:rsidRDefault="00FE2625" w:rsidP="00FE2625">
            <w:pPr>
              <w:spacing w:after="0" w:line="240" w:lineRule="auto"/>
              <w:rPr>
                <w:rFonts w:ascii="inherit" w:eastAsia="Times New Roman" w:hAnsi="inherit" w:cs="Helvetica"/>
              </w:rPr>
            </w:pPr>
            <w:r w:rsidRPr="00FE2625">
              <w:rPr>
                <w:rFonts w:ascii="inherit" w:eastAsia="Times New Roman" w:hAnsi="inherit" w:cs="Helvetica"/>
              </w:rPr>
              <w:t>1</w:t>
            </w:r>
          </w:p>
        </w:tc>
        <w:tc>
          <w:tcPr>
            <w:tcW w:w="1857" w:type="dxa"/>
            <w:tcBorders>
              <w:top w:val="nil"/>
              <w:left w:val="single" w:sz="6" w:space="0" w:color="EEEEEE"/>
              <w:bottom w:val="nil"/>
              <w:right w:val="single" w:sz="6" w:space="0" w:color="EEEEEE"/>
            </w:tcBorders>
            <w:shd w:val="clear" w:color="auto" w:fill="D3E8F2"/>
            <w:tcMar>
              <w:top w:w="120" w:type="dxa"/>
              <w:left w:w="300" w:type="dxa"/>
              <w:bottom w:w="120" w:type="dxa"/>
              <w:right w:w="300" w:type="dxa"/>
            </w:tcMar>
            <w:vAlign w:val="bottom"/>
            <w:hideMark/>
          </w:tcPr>
          <w:p w:rsidR="00FE2625" w:rsidRPr="00FE2625" w:rsidRDefault="00FE2625" w:rsidP="00FE2625">
            <w:pPr>
              <w:spacing w:after="0" w:line="240" w:lineRule="auto"/>
              <w:rPr>
                <w:rFonts w:ascii="inherit" w:eastAsia="Times New Roman" w:hAnsi="inherit" w:cs="Helvetica"/>
              </w:rPr>
            </w:pPr>
            <w:r w:rsidRPr="000435A0">
              <w:rPr>
                <w:rFonts w:ascii="inherit" w:eastAsia="Times New Roman" w:hAnsi="inherit" w:cs="Helvetica"/>
              </w:rPr>
              <w:t>Xã hội</w:t>
            </w:r>
          </w:p>
        </w:tc>
        <w:tc>
          <w:tcPr>
            <w:tcW w:w="5670" w:type="dxa"/>
            <w:tcBorders>
              <w:top w:val="nil"/>
              <w:left w:val="single" w:sz="6" w:space="0" w:color="EEEEEE"/>
              <w:bottom w:val="nil"/>
              <w:right w:val="single" w:sz="6" w:space="0" w:color="EEEEEE"/>
            </w:tcBorders>
            <w:shd w:val="clear" w:color="auto" w:fill="D3E8F2"/>
            <w:tcMar>
              <w:top w:w="120" w:type="dxa"/>
              <w:left w:w="300" w:type="dxa"/>
              <w:bottom w:w="120" w:type="dxa"/>
              <w:right w:w="300" w:type="dxa"/>
            </w:tcMar>
            <w:vAlign w:val="bottom"/>
            <w:hideMark/>
          </w:tcPr>
          <w:p w:rsidR="00FE2625" w:rsidRPr="00FE2625" w:rsidRDefault="00FE2625" w:rsidP="00FE2625">
            <w:pPr>
              <w:spacing w:after="0" w:line="240" w:lineRule="auto"/>
              <w:rPr>
                <w:rFonts w:ascii="inherit" w:eastAsia="Times New Roman" w:hAnsi="inherit" w:cs="Helvetica"/>
              </w:rPr>
            </w:pPr>
            <w:r w:rsidRPr="000435A0">
              <w:rPr>
                <w:rFonts w:ascii="inherit" w:eastAsia="Times New Roman" w:hAnsi="inherit" w:cs="Helvetica"/>
              </w:rPr>
              <w:t>Kỹ năng và đào tạo của nhân viên/thuyền viên</w:t>
            </w:r>
          </w:p>
        </w:tc>
        <w:tc>
          <w:tcPr>
            <w:tcW w:w="1080" w:type="dxa"/>
            <w:tcBorders>
              <w:top w:val="nil"/>
              <w:left w:val="nil"/>
              <w:bottom w:val="nil"/>
              <w:right w:val="nil"/>
            </w:tcBorders>
            <w:shd w:val="clear" w:color="auto" w:fill="D3E8F2"/>
            <w:tcMar>
              <w:top w:w="120" w:type="dxa"/>
              <w:left w:w="300" w:type="dxa"/>
              <w:bottom w:w="120" w:type="dxa"/>
              <w:right w:w="300" w:type="dxa"/>
            </w:tcMar>
            <w:vAlign w:val="bottom"/>
            <w:hideMark/>
          </w:tcPr>
          <w:p w:rsidR="00FE2625" w:rsidRPr="00FE2625" w:rsidRDefault="00FE2625" w:rsidP="00FE2625">
            <w:pPr>
              <w:spacing w:after="0" w:line="240" w:lineRule="auto"/>
              <w:rPr>
                <w:rFonts w:ascii="inherit" w:eastAsia="Times New Roman" w:hAnsi="inherit" w:cs="Helvetica"/>
              </w:rPr>
            </w:pPr>
            <w:r w:rsidRPr="00FE2625">
              <w:rPr>
                <w:rFonts w:ascii="inherit" w:eastAsia="Times New Roman" w:hAnsi="inherit" w:cs="Helvetica"/>
              </w:rPr>
              <w:t>84.9</w:t>
            </w:r>
          </w:p>
        </w:tc>
      </w:tr>
      <w:tr w:rsidR="002A0969" w:rsidRPr="000435A0" w:rsidTr="002A0969">
        <w:trPr>
          <w:trHeight w:val="210"/>
        </w:trPr>
        <w:tc>
          <w:tcPr>
            <w:tcW w:w="1023" w:type="dxa"/>
            <w:tcBorders>
              <w:top w:val="nil"/>
              <w:left w:val="nil"/>
              <w:bottom w:val="nil"/>
              <w:right w:val="nil"/>
            </w:tcBorders>
            <w:shd w:val="clear" w:color="auto" w:fill="F4F5DF"/>
            <w:tcMar>
              <w:top w:w="120" w:type="dxa"/>
              <w:left w:w="300" w:type="dxa"/>
              <w:bottom w:w="120" w:type="dxa"/>
              <w:right w:w="300" w:type="dxa"/>
            </w:tcMar>
            <w:vAlign w:val="bottom"/>
            <w:hideMark/>
          </w:tcPr>
          <w:p w:rsidR="00FE2625" w:rsidRPr="00FE2625" w:rsidRDefault="00FE2625" w:rsidP="00FE2625">
            <w:pPr>
              <w:spacing w:after="0" w:line="240" w:lineRule="auto"/>
              <w:rPr>
                <w:rFonts w:ascii="inherit" w:eastAsia="Times New Roman" w:hAnsi="inherit" w:cs="Helvetica"/>
              </w:rPr>
            </w:pPr>
            <w:r w:rsidRPr="00FE2625">
              <w:rPr>
                <w:rFonts w:ascii="inherit" w:eastAsia="Times New Roman" w:hAnsi="inherit" w:cs="Helvetica"/>
              </w:rPr>
              <w:t>2</w:t>
            </w:r>
          </w:p>
        </w:tc>
        <w:tc>
          <w:tcPr>
            <w:tcW w:w="1857" w:type="dxa"/>
            <w:tcBorders>
              <w:top w:val="nil"/>
              <w:left w:val="single" w:sz="6" w:space="0" w:color="EEEEEE"/>
              <w:bottom w:val="nil"/>
              <w:right w:val="single" w:sz="6" w:space="0" w:color="EEEEEE"/>
            </w:tcBorders>
            <w:shd w:val="clear" w:color="auto" w:fill="F4F5DF"/>
            <w:tcMar>
              <w:top w:w="120" w:type="dxa"/>
              <w:left w:w="300" w:type="dxa"/>
              <w:bottom w:w="120" w:type="dxa"/>
              <w:right w:w="300" w:type="dxa"/>
            </w:tcMar>
            <w:vAlign w:val="bottom"/>
            <w:hideMark/>
          </w:tcPr>
          <w:p w:rsidR="00FE2625" w:rsidRPr="00FE2625" w:rsidRDefault="00FE2625" w:rsidP="00FE2625">
            <w:pPr>
              <w:spacing w:after="0" w:line="240" w:lineRule="auto"/>
              <w:rPr>
                <w:rFonts w:ascii="inherit" w:eastAsia="Times New Roman" w:hAnsi="inherit" w:cs="Helvetica"/>
              </w:rPr>
            </w:pPr>
            <w:r w:rsidRPr="000435A0">
              <w:rPr>
                <w:rFonts w:ascii="inherit" w:eastAsia="Times New Roman" w:hAnsi="inherit" w:cs="Helvetica"/>
              </w:rPr>
              <w:t>Môi trường</w:t>
            </w:r>
          </w:p>
        </w:tc>
        <w:tc>
          <w:tcPr>
            <w:tcW w:w="5670" w:type="dxa"/>
            <w:tcBorders>
              <w:top w:val="nil"/>
              <w:left w:val="single" w:sz="6" w:space="0" w:color="EEEEEE"/>
              <w:bottom w:val="nil"/>
              <w:right w:val="single" w:sz="6" w:space="0" w:color="EEEEEE"/>
            </w:tcBorders>
            <w:shd w:val="clear" w:color="auto" w:fill="F4F5DF"/>
            <w:tcMar>
              <w:top w:w="120" w:type="dxa"/>
              <w:left w:w="300" w:type="dxa"/>
              <w:bottom w:w="120" w:type="dxa"/>
              <w:right w:w="300" w:type="dxa"/>
            </w:tcMar>
            <w:vAlign w:val="bottom"/>
            <w:hideMark/>
          </w:tcPr>
          <w:p w:rsidR="00FE2625" w:rsidRPr="00FE2625" w:rsidRDefault="00FE2625" w:rsidP="00FE2625">
            <w:pPr>
              <w:spacing w:after="0" w:line="240" w:lineRule="auto"/>
              <w:rPr>
                <w:rFonts w:ascii="inherit" w:eastAsia="Times New Roman" w:hAnsi="inherit" w:cs="Helvetica"/>
              </w:rPr>
            </w:pPr>
            <w:r w:rsidRPr="000435A0">
              <w:rPr>
                <w:rFonts w:ascii="inherit" w:eastAsia="Times New Roman" w:hAnsi="inherit" w:cs="Helvetica"/>
              </w:rPr>
              <w:t>(Các) chương trình giao dịch phát thải</w:t>
            </w:r>
          </w:p>
        </w:tc>
        <w:tc>
          <w:tcPr>
            <w:tcW w:w="1080" w:type="dxa"/>
            <w:tcBorders>
              <w:top w:val="nil"/>
              <w:left w:val="nil"/>
              <w:bottom w:val="nil"/>
              <w:right w:val="nil"/>
            </w:tcBorders>
            <w:shd w:val="clear" w:color="auto" w:fill="F4F5DF"/>
            <w:tcMar>
              <w:top w:w="120" w:type="dxa"/>
              <w:left w:w="300" w:type="dxa"/>
              <w:bottom w:w="120" w:type="dxa"/>
              <w:right w:w="300" w:type="dxa"/>
            </w:tcMar>
            <w:vAlign w:val="bottom"/>
            <w:hideMark/>
          </w:tcPr>
          <w:p w:rsidR="00FE2625" w:rsidRPr="00FE2625" w:rsidRDefault="00FE2625" w:rsidP="00FE2625">
            <w:pPr>
              <w:spacing w:after="0" w:line="240" w:lineRule="auto"/>
              <w:rPr>
                <w:rFonts w:ascii="inherit" w:eastAsia="Times New Roman" w:hAnsi="inherit" w:cs="Helvetica"/>
              </w:rPr>
            </w:pPr>
            <w:r w:rsidRPr="00FE2625">
              <w:rPr>
                <w:rFonts w:ascii="inherit" w:eastAsia="Times New Roman" w:hAnsi="inherit" w:cs="Helvetica"/>
              </w:rPr>
              <w:t>84.9</w:t>
            </w:r>
          </w:p>
        </w:tc>
      </w:tr>
      <w:tr w:rsidR="002A0969" w:rsidRPr="000435A0" w:rsidTr="002A0969">
        <w:trPr>
          <w:trHeight w:val="150"/>
        </w:trPr>
        <w:tc>
          <w:tcPr>
            <w:tcW w:w="1023" w:type="dxa"/>
            <w:tcBorders>
              <w:top w:val="nil"/>
              <w:left w:val="nil"/>
              <w:bottom w:val="nil"/>
              <w:right w:val="nil"/>
            </w:tcBorders>
            <w:shd w:val="clear" w:color="auto" w:fill="F3F3F3"/>
            <w:tcMar>
              <w:top w:w="120" w:type="dxa"/>
              <w:left w:w="300" w:type="dxa"/>
              <w:bottom w:w="120" w:type="dxa"/>
              <w:right w:w="300" w:type="dxa"/>
            </w:tcMar>
            <w:vAlign w:val="bottom"/>
            <w:hideMark/>
          </w:tcPr>
          <w:p w:rsidR="00FE2625" w:rsidRPr="00FE2625" w:rsidRDefault="00FE2625" w:rsidP="00FE2625">
            <w:pPr>
              <w:spacing w:after="0" w:line="240" w:lineRule="auto"/>
              <w:rPr>
                <w:rFonts w:ascii="inherit" w:eastAsia="Times New Roman" w:hAnsi="inherit" w:cs="Helvetica"/>
              </w:rPr>
            </w:pPr>
            <w:r w:rsidRPr="00FE2625">
              <w:rPr>
                <w:rFonts w:ascii="inherit" w:eastAsia="Times New Roman" w:hAnsi="inherit" w:cs="Helvetica"/>
              </w:rPr>
              <w:t>3</w:t>
            </w:r>
          </w:p>
        </w:tc>
        <w:tc>
          <w:tcPr>
            <w:tcW w:w="1857" w:type="dxa"/>
            <w:tcBorders>
              <w:top w:val="nil"/>
              <w:left w:val="single" w:sz="6" w:space="0" w:color="EEEEEE"/>
              <w:bottom w:val="nil"/>
              <w:right w:val="single" w:sz="6" w:space="0" w:color="EEEEEE"/>
            </w:tcBorders>
            <w:shd w:val="clear" w:color="auto" w:fill="F3F3F3"/>
            <w:tcMar>
              <w:top w:w="120" w:type="dxa"/>
              <w:left w:w="300" w:type="dxa"/>
              <w:bottom w:w="120" w:type="dxa"/>
              <w:right w:w="300" w:type="dxa"/>
            </w:tcMar>
            <w:vAlign w:val="bottom"/>
            <w:hideMark/>
          </w:tcPr>
          <w:p w:rsidR="00FE2625" w:rsidRPr="00FE2625" w:rsidRDefault="00FE2625" w:rsidP="00FE2625">
            <w:pPr>
              <w:spacing w:after="0" w:line="240" w:lineRule="auto"/>
              <w:rPr>
                <w:rFonts w:ascii="inherit" w:eastAsia="Times New Roman" w:hAnsi="inherit" w:cs="Helvetica"/>
              </w:rPr>
            </w:pPr>
            <w:r w:rsidRPr="000435A0">
              <w:rPr>
                <w:rFonts w:ascii="inherit" w:eastAsia="Times New Roman" w:hAnsi="inherit" w:cs="Helvetica"/>
              </w:rPr>
              <w:t>Khác</w:t>
            </w:r>
          </w:p>
        </w:tc>
        <w:tc>
          <w:tcPr>
            <w:tcW w:w="5670" w:type="dxa"/>
            <w:tcBorders>
              <w:top w:val="nil"/>
              <w:left w:val="single" w:sz="6" w:space="0" w:color="EEEEEE"/>
              <w:bottom w:val="nil"/>
              <w:right w:val="single" w:sz="6" w:space="0" w:color="EEEEEE"/>
            </w:tcBorders>
            <w:shd w:val="clear" w:color="auto" w:fill="F3F3F3"/>
            <w:tcMar>
              <w:top w:w="120" w:type="dxa"/>
              <w:left w:w="300" w:type="dxa"/>
              <w:bottom w:w="120" w:type="dxa"/>
              <w:right w:w="300" w:type="dxa"/>
            </w:tcMar>
            <w:vAlign w:val="bottom"/>
            <w:hideMark/>
          </w:tcPr>
          <w:p w:rsidR="00FE2625" w:rsidRPr="00FE2625" w:rsidRDefault="00FE2625" w:rsidP="00FE2625">
            <w:pPr>
              <w:spacing w:after="0" w:line="240" w:lineRule="auto"/>
              <w:rPr>
                <w:rFonts w:ascii="inherit" w:eastAsia="Times New Roman" w:hAnsi="inherit" w:cs="Helvetica"/>
              </w:rPr>
            </w:pPr>
            <w:r w:rsidRPr="000435A0">
              <w:rPr>
                <w:rFonts w:ascii="inherit" w:eastAsia="Times New Roman" w:hAnsi="inherit" w:cs="Helvetica"/>
              </w:rPr>
              <w:t>Xung đột đại chính trị tác động đến chuỗi cung ứng</w:t>
            </w:r>
          </w:p>
        </w:tc>
        <w:tc>
          <w:tcPr>
            <w:tcW w:w="1080" w:type="dxa"/>
            <w:tcBorders>
              <w:top w:val="nil"/>
              <w:left w:val="nil"/>
              <w:bottom w:val="nil"/>
              <w:right w:val="nil"/>
            </w:tcBorders>
            <w:shd w:val="clear" w:color="auto" w:fill="F3F3F3"/>
            <w:tcMar>
              <w:top w:w="120" w:type="dxa"/>
              <w:left w:w="300" w:type="dxa"/>
              <w:bottom w:w="120" w:type="dxa"/>
              <w:right w:w="300" w:type="dxa"/>
            </w:tcMar>
            <w:vAlign w:val="bottom"/>
            <w:hideMark/>
          </w:tcPr>
          <w:p w:rsidR="00FE2625" w:rsidRPr="00FE2625" w:rsidRDefault="00FE2625" w:rsidP="00FE2625">
            <w:pPr>
              <w:spacing w:after="0" w:line="240" w:lineRule="auto"/>
              <w:rPr>
                <w:rFonts w:ascii="inherit" w:eastAsia="Times New Roman" w:hAnsi="inherit" w:cs="Helvetica"/>
              </w:rPr>
            </w:pPr>
            <w:r w:rsidRPr="00FE2625">
              <w:rPr>
                <w:rFonts w:ascii="inherit" w:eastAsia="Times New Roman" w:hAnsi="inherit" w:cs="Helvetica"/>
              </w:rPr>
              <w:t>84.5</w:t>
            </w:r>
          </w:p>
        </w:tc>
      </w:tr>
      <w:tr w:rsidR="002A0969" w:rsidRPr="000435A0" w:rsidTr="002A0969">
        <w:trPr>
          <w:trHeight w:val="225"/>
        </w:trPr>
        <w:tc>
          <w:tcPr>
            <w:tcW w:w="1023" w:type="dxa"/>
            <w:tcBorders>
              <w:top w:val="nil"/>
              <w:left w:val="nil"/>
              <w:bottom w:val="nil"/>
              <w:right w:val="nil"/>
            </w:tcBorders>
            <w:shd w:val="clear" w:color="auto" w:fill="F4F5DF"/>
            <w:tcMar>
              <w:top w:w="120" w:type="dxa"/>
              <w:left w:w="300" w:type="dxa"/>
              <w:bottom w:w="120" w:type="dxa"/>
              <w:right w:w="300" w:type="dxa"/>
            </w:tcMar>
            <w:vAlign w:val="bottom"/>
            <w:hideMark/>
          </w:tcPr>
          <w:p w:rsidR="00FE2625" w:rsidRPr="00FE2625" w:rsidRDefault="00FE2625" w:rsidP="00FE2625">
            <w:pPr>
              <w:spacing w:after="0" w:line="240" w:lineRule="auto"/>
              <w:rPr>
                <w:rFonts w:ascii="inherit" w:eastAsia="Times New Roman" w:hAnsi="inherit" w:cs="Helvetica"/>
              </w:rPr>
            </w:pPr>
            <w:r w:rsidRPr="00FE2625">
              <w:rPr>
                <w:rFonts w:ascii="inherit" w:eastAsia="Times New Roman" w:hAnsi="inherit" w:cs="Helvetica"/>
              </w:rPr>
              <w:t>4</w:t>
            </w:r>
          </w:p>
        </w:tc>
        <w:tc>
          <w:tcPr>
            <w:tcW w:w="1857" w:type="dxa"/>
            <w:tcBorders>
              <w:top w:val="nil"/>
              <w:left w:val="single" w:sz="6" w:space="0" w:color="EEEEEE"/>
              <w:bottom w:val="nil"/>
              <w:right w:val="single" w:sz="6" w:space="0" w:color="EEEEEE"/>
            </w:tcBorders>
            <w:shd w:val="clear" w:color="auto" w:fill="F4F5DF"/>
            <w:tcMar>
              <w:top w:w="120" w:type="dxa"/>
              <w:left w:w="300" w:type="dxa"/>
              <w:bottom w:w="120" w:type="dxa"/>
              <w:right w:w="300" w:type="dxa"/>
            </w:tcMar>
            <w:vAlign w:val="bottom"/>
            <w:hideMark/>
          </w:tcPr>
          <w:p w:rsidR="00FE2625" w:rsidRPr="00FE2625" w:rsidRDefault="00FE2625" w:rsidP="00FE2625">
            <w:pPr>
              <w:spacing w:after="0" w:line="240" w:lineRule="auto"/>
              <w:rPr>
                <w:rFonts w:ascii="inherit" w:eastAsia="Times New Roman" w:hAnsi="inherit" w:cs="Helvetica"/>
              </w:rPr>
            </w:pPr>
            <w:r w:rsidRPr="000435A0">
              <w:rPr>
                <w:rFonts w:ascii="inherit" w:eastAsia="Times New Roman" w:hAnsi="inherit" w:cs="Helvetica"/>
              </w:rPr>
              <w:t>Môi trường</w:t>
            </w:r>
          </w:p>
        </w:tc>
        <w:tc>
          <w:tcPr>
            <w:tcW w:w="5670" w:type="dxa"/>
            <w:tcBorders>
              <w:top w:val="nil"/>
              <w:left w:val="single" w:sz="6" w:space="0" w:color="EEEEEE"/>
              <w:bottom w:val="nil"/>
              <w:right w:val="single" w:sz="6" w:space="0" w:color="EEEEEE"/>
            </w:tcBorders>
            <w:shd w:val="clear" w:color="auto" w:fill="F4F5DF"/>
            <w:tcMar>
              <w:top w:w="120" w:type="dxa"/>
              <w:left w:w="300" w:type="dxa"/>
              <w:bottom w:w="120" w:type="dxa"/>
              <w:right w:w="300" w:type="dxa"/>
            </w:tcMar>
            <w:vAlign w:val="bottom"/>
            <w:hideMark/>
          </w:tcPr>
          <w:p w:rsidR="00FE2625" w:rsidRPr="00FE2625" w:rsidRDefault="002A0969" w:rsidP="002A0969">
            <w:pPr>
              <w:spacing w:after="0" w:line="240" w:lineRule="auto"/>
              <w:rPr>
                <w:rFonts w:ascii="inherit" w:eastAsia="Times New Roman" w:hAnsi="inherit" w:cs="Helvetica"/>
              </w:rPr>
            </w:pPr>
            <w:r w:rsidRPr="000435A0">
              <w:rPr>
                <w:rFonts w:ascii="inherit" w:eastAsia="Times New Roman" w:hAnsi="inherit" w:cs="Helvetica"/>
              </w:rPr>
              <w:t xml:space="preserve">Gói khí thải của </w:t>
            </w:r>
            <w:r w:rsidR="00FE2625" w:rsidRPr="00FE2625">
              <w:rPr>
                <w:rFonts w:ascii="inherit" w:eastAsia="Times New Roman" w:hAnsi="inherit" w:cs="Helvetica"/>
              </w:rPr>
              <w:t>IMO, CII, EEXI</w:t>
            </w:r>
          </w:p>
        </w:tc>
        <w:tc>
          <w:tcPr>
            <w:tcW w:w="1080" w:type="dxa"/>
            <w:tcBorders>
              <w:top w:val="nil"/>
              <w:left w:val="nil"/>
              <w:bottom w:val="nil"/>
              <w:right w:val="nil"/>
            </w:tcBorders>
            <w:shd w:val="clear" w:color="auto" w:fill="F4F5DF"/>
            <w:tcMar>
              <w:top w:w="120" w:type="dxa"/>
              <w:left w:w="300" w:type="dxa"/>
              <w:bottom w:w="120" w:type="dxa"/>
              <w:right w:w="300" w:type="dxa"/>
            </w:tcMar>
            <w:vAlign w:val="bottom"/>
            <w:hideMark/>
          </w:tcPr>
          <w:p w:rsidR="00FE2625" w:rsidRPr="00FE2625" w:rsidRDefault="00FE2625" w:rsidP="00FE2625">
            <w:pPr>
              <w:spacing w:after="0" w:line="240" w:lineRule="auto"/>
              <w:rPr>
                <w:rFonts w:ascii="inherit" w:eastAsia="Times New Roman" w:hAnsi="inherit" w:cs="Helvetica"/>
              </w:rPr>
            </w:pPr>
            <w:r w:rsidRPr="00FE2625">
              <w:rPr>
                <w:rFonts w:ascii="inherit" w:eastAsia="Times New Roman" w:hAnsi="inherit" w:cs="Helvetica"/>
              </w:rPr>
              <w:t>82.6</w:t>
            </w:r>
          </w:p>
        </w:tc>
      </w:tr>
      <w:tr w:rsidR="002A0969" w:rsidRPr="000435A0" w:rsidTr="002A0969">
        <w:trPr>
          <w:trHeight w:val="225"/>
        </w:trPr>
        <w:tc>
          <w:tcPr>
            <w:tcW w:w="1023" w:type="dxa"/>
            <w:tcBorders>
              <w:top w:val="nil"/>
              <w:left w:val="nil"/>
              <w:bottom w:val="nil"/>
              <w:right w:val="nil"/>
            </w:tcBorders>
            <w:shd w:val="clear" w:color="auto" w:fill="D3E8F2"/>
            <w:tcMar>
              <w:top w:w="120" w:type="dxa"/>
              <w:left w:w="300" w:type="dxa"/>
              <w:bottom w:w="120" w:type="dxa"/>
              <w:right w:w="300" w:type="dxa"/>
            </w:tcMar>
            <w:vAlign w:val="bottom"/>
            <w:hideMark/>
          </w:tcPr>
          <w:p w:rsidR="00FE2625" w:rsidRPr="00FE2625" w:rsidRDefault="00FE2625" w:rsidP="00FE2625">
            <w:pPr>
              <w:spacing w:after="0" w:line="240" w:lineRule="auto"/>
              <w:rPr>
                <w:rFonts w:ascii="inherit" w:eastAsia="Times New Roman" w:hAnsi="inherit" w:cs="Helvetica"/>
              </w:rPr>
            </w:pPr>
            <w:r w:rsidRPr="00FE2625">
              <w:rPr>
                <w:rFonts w:ascii="inherit" w:eastAsia="Times New Roman" w:hAnsi="inherit" w:cs="Helvetica"/>
              </w:rPr>
              <w:t>5</w:t>
            </w:r>
          </w:p>
        </w:tc>
        <w:tc>
          <w:tcPr>
            <w:tcW w:w="1857" w:type="dxa"/>
            <w:tcBorders>
              <w:top w:val="nil"/>
              <w:left w:val="single" w:sz="6" w:space="0" w:color="EEEEEE"/>
              <w:bottom w:val="nil"/>
              <w:right w:val="single" w:sz="6" w:space="0" w:color="EEEEEE"/>
            </w:tcBorders>
            <w:shd w:val="clear" w:color="auto" w:fill="D3E8F2"/>
            <w:tcMar>
              <w:top w:w="120" w:type="dxa"/>
              <w:left w:w="300" w:type="dxa"/>
              <w:bottom w:w="120" w:type="dxa"/>
              <w:right w:w="300" w:type="dxa"/>
            </w:tcMar>
            <w:vAlign w:val="bottom"/>
            <w:hideMark/>
          </w:tcPr>
          <w:p w:rsidR="00FE2625" w:rsidRPr="00FE2625" w:rsidRDefault="00FE2625" w:rsidP="00FE2625">
            <w:pPr>
              <w:spacing w:after="0" w:line="240" w:lineRule="auto"/>
              <w:rPr>
                <w:rFonts w:ascii="inherit" w:eastAsia="Times New Roman" w:hAnsi="inherit" w:cs="Helvetica"/>
              </w:rPr>
            </w:pPr>
            <w:r w:rsidRPr="000435A0">
              <w:rPr>
                <w:rFonts w:ascii="inherit" w:eastAsia="Times New Roman" w:hAnsi="inherit" w:cs="Helvetica"/>
              </w:rPr>
              <w:t>Xã hội</w:t>
            </w:r>
          </w:p>
        </w:tc>
        <w:tc>
          <w:tcPr>
            <w:tcW w:w="5670" w:type="dxa"/>
            <w:tcBorders>
              <w:top w:val="nil"/>
              <w:left w:val="single" w:sz="6" w:space="0" w:color="EEEEEE"/>
              <w:bottom w:val="nil"/>
              <w:right w:val="single" w:sz="6" w:space="0" w:color="EEEEEE"/>
            </w:tcBorders>
            <w:shd w:val="clear" w:color="auto" w:fill="D3E8F2"/>
            <w:tcMar>
              <w:top w:w="120" w:type="dxa"/>
              <w:left w:w="300" w:type="dxa"/>
              <w:bottom w:w="120" w:type="dxa"/>
              <w:right w:w="300" w:type="dxa"/>
            </w:tcMar>
            <w:vAlign w:val="bottom"/>
            <w:hideMark/>
          </w:tcPr>
          <w:p w:rsidR="00FE2625" w:rsidRPr="00FE2625" w:rsidRDefault="002A0969" w:rsidP="002A0969">
            <w:pPr>
              <w:spacing w:after="0" w:line="240" w:lineRule="auto"/>
              <w:rPr>
                <w:rFonts w:ascii="inherit" w:eastAsia="Times New Roman" w:hAnsi="inherit" w:cs="Helvetica"/>
              </w:rPr>
            </w:pPr>
            <w:r w:rsidRPr="000435A0">
              <w:rPr>
                <w:rFonts w:ascii="inherit" w:eastAsia="Times New Roman" w:hAnsi="inherit" w:cs="Helvetica"/>
              </w:rPr>
              <w:t>Phúc lợi của nhân viên/thuyền viên</w:t>
            </w:r>
          </w:p>
        </w:tc>
        <w:tc>
          <w:tcPr>
            <w:tcW w:w="1080" w:type="dxa"/>
            <w:tcBorders>
              <w:top w:val="nil"/>
              <w:left w:val="nil"/>
              <w:bottom w:val="nil"/>
              <w:right w:val="nil"/>
            </w:tcBorders>
            <w:shd w:val="clear" w:color="auto" w:fill="D3E8F2"/>
            <w:tcMar>
              <w:top w:w="120" w:type="dxa"/>
              <w:left w:w="300" w:type="dxa"/>
              <w:bottom w:w="120" w:type="dxa"/>
              <w:right w:w="300" w:type="dxa"/>
            </w:tcMar>
            <w:vAlign w:val="bottom"/>
            <w:hideMark/>
          </w:tcPr>
          <w:p w:rsidR="00FE2625" w:rsidRPr="00FE2625" w:rsidRDefault="00FE2625" w:rsidP="00FE2625">
            <w:pPr>
              <w:spacing w:after="0" w:line="240" w:lineRule="auto"/>
              <w:rPr>
                <w:rFonts w:ascii="inherit" w:eastAsia="Times New Roman" w:hAnsi="inherit" w:cs="Helvetica"/>
              </w:rPr>
            </w:pPr>
            <w:r w:rsidRPr="00FE2625">
              <w:rPr>
                <w:rFonts w:ascii="inherit" w:eastAsia="Times New Roman" w:hAnsi="inherit" w:cs="Helvetica"/>
              </w:rPr>
              <w:t>80.4</w:t>
            </w:r>
          </w:p>
        </w:tc>
      </w:tr>
      <w:tr w:rsidR="002A0969" w:rsidRPr="000435A0" w:rsidTr="002A0969">
        <w:trPr>
          <w:trHeight w:val="255"/>
        </w:trPr>
        <w:tc>
          <w:tcPr>
            <w:tcW w:w="1023" w:type="dxa"/>
            <w:tcBorders>
              <w:top w:val="nil"/>
              <w:left w:val="nil"/>
              <w:bottom w:val="nil"/>
              <w:right w:val="nil"/>
            </w:tcBorders>
            <w:shd w:val="clear" w:color="auto" w:fill="F4F5DF"/>
            <w:tcMar>
              <w:top w:w="120" w:type="dxa"/>
              <w:left w:w="300" w:type="dxa"/>
              <w:bottom w:w="120" w:type="dxa"/>
              <w:right w:w="300" w:type="dxa"/>
            </w:tcMar>
            <w:vAlign w:val="bottom"/>
            <w:hideMark/>
          </w:tcPr>
          <w:p w:rsidR="00FE2625" w:rsidRPr="00FE2625" w:rsidRDefault="00FE2625" w:rsidP="00FE2625">
            <w:pPr>
              <w:spacing w:after="0" w:line="240" w:lineRule="auto"/>
              <w:rPr>
                <w:rFonts w:ascii="inherit" w:eastAsia="Times New Roman" w:hAnsi="inherit" w:cs="Helvetica"/>
              </w:rPr>
            </w:pPr>
            <w:r w:rsidRPr="00FE2625">
              <w:rPr>
                <w:rFonts w:ascii="inherit" w:eastAsia="Times New Roman" w:hAnsi="inherit" w:cs="Helvetica"/>
              </w:rPr>
              <w:t>6</w:t>
            </w:r>
          </w:p>
        </w:tc>
        <w:tc>
          <w:tcPr>
            <w:tcW w:w="1857" w:type="dxa"/>
            <w:tcBorders>
              <w:top w:val="nil"/>
              <w:left w:val="single" w:sz="6" w:space="0" w:color="EEEEEE"/>
              <w:bottom w:val="nil"/>
              <w:right w:val="single" w:sz="6" w:space="0" w:color="EEEEEE"/>
            </w:tcBorders>
            <w:shd w:val="clear" w:color="auto" w:fill="F4F5DF"/>
            <w:tcMar>
              <w:top w:w="120" w:type="dxa"/>
              <w:left w:w="300" w:type="dxa"/>
              <w:bottom w:w="120" w:type="dxa"/>
              <w:right w:w="300" w:type="dxa"/>
            </w:tcMar>
            <w:vAlign w:val="bottom"/>
            <w:hideMark/>
          </w:tcPr>
          <w:p w:rsidR="00FE2625" w:rsidRPr="00FE2625" w:rsidRDefault="00FE2625" w:rsidP="00FE2625">
            <w:pPr>
              <w:spacing w:after="0" w:line="240" w:lineRule="auto"/>
              <w:rPr>
                <w:rFonts w:ascii="inherit" w:eastAsia="Times New Roman" w:hAnsi="inherit" w:cs="Helvetica"/>
              </w:rPr>
            </w:pPr>
            <w:r w:rsidRPr="000435A0">
              <w:rPr>
                <w:rFonts w:ascii="inherit" w:eastAsia="Times New Roman" w:hAnsi="inherit" w:cs="Helvetica"/>
              </w:rPr>
              <w:t>Môi trường</w:t>
            </w:r>
          </w:p>
        </w:tc>
        <w:tc>
          <w:tcPr>
            <w:tcW w:w="5670" w:type="dxa"/>
            <w:tcBorders>
              <w:top w:val="nil"/>
              <w:left w:val="single" w:sz="6" w:space="0" w:color="EEEEEE"/>
              <w:bottom w:val="nil"/>
              <w:right w:val="single" w:sz="6" w:space="0" w:color="EEEEEE"/>
            </w:tcBorders>
            <w:shd w:val="clear" w:color="auto" w:fill="F4F5DF"/>
            <w:tcMar>
              <w:top w:w="120" w:type="dxa"/>
              <w:left w:w="300" w:type="dxa"/>
              <w:bottom w:w="120" w:type="dxa"/>
              <w:right w:w="300" w:type="dxa"/>
            </w:tcMar>
            <w:vAlign w:val="bottom"/>
            <w:hideMark/>
          </w:tcPr>
          <w:p w:rsidR="00FE2625" w:rsidRPr="00FE2625" w:rsidRDefault="002A0969" w:rsidP="002A0969">
            <w:pPr>
              <w:spacing w:after="0" w:line="240" w:lineRule="auto"/>
              <w:rPr>
                <w:rFonts w:ascii="inherit" w:eastAsia="Times New Roman" w:hAnsi="inherit" w:cs="Helvetica"/>
              </w:rPr>
            </w:pPr>
            <w:r w:rsidRPr="000435A0">
              <w:rPr>
                <w:rFonts w:ascii="inherit" w:eastAsia="Times New Roman" w:hAnsi="inherit" w:cs="Helvetica"/>
              </w:rPr>
              <w:t>Các nhiên liệu thay thế mới</w:t>
            </w:r>
          </w:p>
        </w:tc>
        <w:tc>
          <w:tcPr>
            <w:tcW w:w="1080" w:type="dxa"/>
            <w:tcBorders>
              <w:top w:val="nil"/>
              <w:left w:val="nil"/>
              <w:bottom w:val="nil"/>
              <w:right w:val="nil"/>
            </w:tcBorders>
            <w:shd w:val="clear" w:color="auto" w:fill="F4F5DF"/>
            <w:tcMar>
              <w:top w:w="120" w:type="dxa"/>
              <w:left w:w="300" w:type="dxa"/>
              <w:bottom w:w="120" w:type="dxa"/>
              <w:right w:w="300" w:type="dxa"/>
            </w:tcMar>
            <w:vAlign w:val="bottom"/>
            <w:hideMark/>
          </w:tcPr>
          <w:p w:rsidR="00FE2625" w:rsidRPr="00FE2625" w:rsidRDefault="00FE2625" w:rsidP="00FE2625">
            <w:pPr>
              <w:spacing w:after="0" w:line="240" w:lineRule="auto"/>
              <w:rPr>
                <w:rFonts w:ascii="inherit" w:eastAsia="Times New Roman" w:hAnsi="inherit" w:cs="Helvetica"/>
              </w:rPr>
            </w:pPr>
            <w:r w:rsidRPr="00FE2625">
              <w:rPr>
                <w:rFonts w:ascii="inherit" w:eastAsia="Times New Roman" w:hAnsi="inherit" w:cs="Helvetica"/>
              </w:rPr>
              <w:t>79.6</w:t>
            </w:r>
          </w:p>
        </w:tc>
      </w:tr>
      <w:tr w:rsidR="002A0969" w:rsidRPr="000435A0" w:rsidTr="002A0969">
        <w:trPr>
          <w:trHeight w:val="255"/>
        </w:trPr>
        <w:tc>
          <w:tcPr>
            <w:tcW w:w="1023" w:type="dxa"/>
            <w:tcBorders>
              <w:top w:val="nil"/>
              <w:left w:val="nil"/>
              <w:bottom w:val="nil"/>
              <w:right w:val="nil"/>
            </w:tcBorders>
            <w:shd w:val="clear" w:color="auto" w:fill="D3E8F2"/>
            <w:tcMar>
              <w:top w:w="120" w:type="dxa"/>
              <w:left w:w="300" w:type="dxa"/>
              <w:bottom w:w="120" w:type="dxa"/>
              <w:right w:w="300" w:type="dxa"/>
            </w:tcMar>
            <w:vAlign w:val="bottom"/>
            <w:hideMark/>
          </w:tcPr>
          <w:p w:rsidR="00FE2625" w:rsidRPr="00FE2625" w:rsidRDefault="00FE2625" w:rsidP="00FE2625">
            <w:pPr>
              <w:spacing w:after="0" w:line="240" w:lineRule="auto"/>
              <w:rPr>
                <w:rFonts w:ascii="inherit" w:eastAsia="Times New Roman" w:hAnsi="inherit" w:cs="Helvetica"/>
              </w:rPr>
            </w:pPr>
            <w:r w:rsidRPr="00FE2625">
              <w:rPr>
                <w:rFonts w:ascii="inherit" w:eastAsia="Times New Roman" w:hAnsi="inherit" w:cs="Helvetica"/>
              </w:rPr>
              <w:t>7</w:t>
            </w:r>
          </w:p>
        </w:tc>
        <w:tc>
          <w:tcPr>
            <w:tcW w:w="1857" w:type="dxa"/>
            <w:tcBorders>
              <w:top w:val="nil"/>
              <w:left w:val="single" w:sz="6" w:space="0" w:color="EEEEEE"/>
              <w:bottom w:val="nil"/>
              <w:right w:val="single" w:sz="6" w:space="0" w:color="EEEEEE"/>
            </w:tcBorders>
            <w:shd w:val="clear" w:color="auto" w:fill="D3E8F2"/>
            <w:tcMar>
              <w:top w:w="120" w:type="dxa"/>
              <w:left w:w="300" w:type="dxa"/>
              <w:bottom w:w="120" w:type="dxa"/>
              <w:right w:w="300" w:type="dxa"/>
            </w:tcMar>
            <w:vAlign w:val="bottom"/>
            <w:hideMark/>
          </w:tcPr>
          <w:p w:rsidR="00FE2625" w:rsidRPr="00FE2625" w:rsidRDefault="00FE2625" w:rsidP="00FE2625">
            <w:pPr>
              <w:spacing w:after="0" w:line="240" w:lineRule="auto"/>
              <w:rPr>
                <w:rFonts w:ascii="inherit" w:eastAsia="Times New Roman" w:hAnsi="inherit" w:cs="Helvetica"/>
              </w:rPr>
            </w:pPr>
            <w:r w:rsidRPr="000435A0">
              <w:rPr>
                <w:rFonts w:ascii="inherit" w:eastAsia="Times New Roman" w:hAnsi="inherit" w:cs="Helvetica"/>
              </w:rPr>
              <w:t>Xã hội</w:t>
            </w:r>
          </w:p>
        </w:tc>
        <w:tc>
          <w:tcPr>
            <w:tcW w:w="5670" w:type="dxa"/>
            <w:tcBorders>
              <w:top w:val="nil"/>
              <w:left w:val="single" w:sz="6" w:space="0" w:color="EEEEEE"/>
              <w:bottom w:val="nil"/>
              <w:right w:val="single" w:sz="6" w:space="0" w:color="EEEEEE"/>
            </w:tcBorders>
            <w:shd w:val="clear" w:color="auto" w:fill="D3E8F2"/>
            <w:tcMar>
              <w:top w:w="120" w:type="dxa"/>
              <w:left w:w="300" w:type="dxa"/>
              <w:bottom w:w="120" w:type="dxa"/>
              <w:right w:w="300" w:type="dxa"/>
            </w:tcMar>
            <w:vAlign w:val="bottom"/>
            <w:hideMark/>
          </w:tcPr>
          <w:p w:rsidR="00FE2625" w:rsidRPr="00FE2625" w:rsidRDefault="002A0969" w:rsidP="00FE2625">
            <w:pPr>
              <w:spacing w:after="0" w:line="240" w:lineRule="auto"/>
              <w:rPr>
                <w:rFonts w:ascii="inherit" w:eastAsia="Times New Roman" w:hAnsi="inherit" w:cs="Helvetica"/>
              </w:rPr>
            </w:pPr>
            <w:r w:rsidRPr="000435A0">
              <w:rPr>
                <w:rFonts w:ascii="inherit" w:eastAsia="Times New Roman" w:hAnsi="inherit" w:cs="Helvetica"/>
              </w:rPr>
              <w:t>An toàn và sức khỏe nghề nghiệp</w:t>
            </w:r>
          </w:p>
        </w:tc>
        <w:tc>
          <w:tcPr>
            <w:tcW w:w="1080" w:type="dxa"/>
            <w:tcBorders>
              <w:top w:val="nil"/>
              <w:left w:val="nil"/>
              <w:bottom w:val="nil"/>
              <w:right w:val="nil"/>
            </w:tcBorders>
            <w:shd w:val="clear" w:color="auto" w:fill="D3E8F2"/>
            <w:tcMar>
              <w:top w:w="120" w:type="dxa"/>
              <w:left w:w="300" w:type="dxa"/>
              <w:bottom w:w="120" w:type="dxa"/>
              <w:right w:w="300" w:type="dxa"/>
            </w:tcMar>
            <w:vAlign w:val="bottom"/>
            <w:hideMark/>
          </w:tcPr>
          <w:p w:rsidR="00FE2625" w:rsidRPr="00FE2625" w:rsidRDefault="00FE2625" w:rsidP="00FE2625">
            <w:pPr>
              <w:spacing w:after="0" w:line="240" w:lineRule="auto"/>
              <w:rPr>
                <w:rFonts w:ascii="inherit" w:eastAsia="Times New Roman" w:hAnsi="inherit" w:cs="Helvetica"/>
              </w:rPr>
            </w:pPr>
            <w:r w:rsidRPr="00FE2625">
              <w:rPr>
                <w:rFonts w:ascii="inherit" w:eastAsia="Times New Roman" w:hAnsi="inherit" w:cs="Helvetica"/>
              </w:rPr>
              <w:t>78.1</w:t>
            </w:r>
          </w:p>
        </w:tc>
      </w:tr>
      <w:tr w:rsidR="002A0969" w:rsidRPr="000435A0" w:rsidTr="002A0969">
        <w:trPr>
          <w:trHeight w:val="285"/>
        </w:trPr>
        <w:tc>
          <w:tcPr>
            <w:tcW w:w="1023" w:type="dxa"/>
            <w:tcBorders>
              <w:top w:val="nil"/>
              <w:left w:val="nil"/>
              <w:bottom w:val="nil"/>
              <w:right w:val="nil"/>
            </w:tcBorders>
            <w:shd w:val="clear" w:color="auto" w:fill="D3E8F2"/>
            <w:tcMar>
              <w:top w:w="120" w:type="dxa"/>
              <w:left w:w="300" w:type="dxa"/>
              <w:bottom w:w="120" w:type="dxa"/>
              <w:right w:w="300" w:type="dxa"/>
            </w:tcMar>
            <w:vAlign w:val="bottom"/>
            <w:hideMark/>
          </w:tcPr>
          <w:p w:rsidR="00FE2625" w:rsidRPr="00FE2625" w:rsidRDefault="00FE2625" w:rsidP="00FE2625">
            <w:pPr>
              <w:spacing w:after="0" w:line="240" w:lineRule="auto"/>
              <w:rPr>
                <w:rFonts w:ascii="inherit" w:eastAsia="Times New Roman" w:hAnsi="inherit" w:cs="Helvetica"/>
              </w:rPr>
            </w:pPr>
            <w:r w:rsidRPr="00FE2625">
              <w:rPr>
                <w:rFonts w:ascii="inherit" w:eastAsia="Times New Roman" w:hAnsi="inherit" w:cs="Helvetica"/>
              </w:rPr>
              <w:t>8</w:t>
            </w:r>
          </w:p>
        </w:tc>
        <w:tc>
          <w:tcPr>
            <w:tcW w:w="1857" w:type="dxa"/>
            <w:tcBorders>
              <w:top w:val="nil"/>
              <w:left w:val="single" w:sz="6" w:space="0" w:color="EEEEEE"/>
              <w:bottom w:val="nil"/>
              <w:right w:val="single" w:sz="6" w:space="0" w:color="EEEEEE"/>
            </w:tcBorders>
            <w:shd w:val="clear" w:color="auto" w:fill="D3E8F2"/>
            <w:tcMar>
              <w:top w:w="120" w:type="dxa"/>
              <w:left w:w="300" w:type="dxa"/>
              <w:bottom w:w="120" w:type="dxa"/>
              <w:right w:w="300" w:type="dxa"/>
            </w:tcMar>
            <w:vAlign w:val="bottom"/>
            <w:hideMark/>
          </w:tcPr>
          <w:p w:rsidR="00FE2625" w:rsidRPr="00FE2625" w:rsidRDefault="00FE2625" w:rsidP="00FE2625">
            <w:pPr>
              <w:spacing w:after="0" w:line="240" w:lineRule="auto"/>
              <w:rPr>
                <w:rFonts w:ascii="inherit" w:eastAsia="Times New Roman" w:hAnsi="inherit" w:cs="Helvetica"/>
              </w:rPr>
            </w:pPr>
            <w:r w:rsidRPr="000435A0">
              <w:rPr>
                <w:rFonts w:ascii="inherit" w:eastAsia="Times New Roman" w:hAnsi="inherit" w:cs="Helvetica"/>
              </w:rPr>
              <w:t>Xã hội</w:t>
            </w:r>
          </w:p>
        </w:tc>
        <w:tc>
          <w:tcPr>
            <w:tcW w:w="5670" w:type="dxa"/>
            <w:tcBorders>
              <w:top w:val="nil"/>
              <w:left w:val="single" w:sz="6" w:space="0" w:color="EEEEEE"/>
              <w:bottom w:val="nil"/>
              <w:right w:val="single" w:sz="6" w:space="0" w:color="EEEEEE"/>
            </w:tcBorders>
            <w:shd w:val="clear" w:color="auto" w:fill="D3E8F2"/>
            <w:tcMar>
              <w:top w:w="120" w:type="dxa"/>
              <w:left w:w="300" w:type="dxa"/>
              <w:bottom w:w="120" w:type="dxa"/>
              <w:right w:w="300" w:type="dxa"/>
            </w:tcMar>
            <w:vAlign w:val="bottom"/>
            <w:hideMark/>
          </w:tcPr>
          <w:p w:rsidR="00FE2625" w:rsidRPr="00FE2625" w:rsidRDefault="002A0969" w:rsidP="00FE2625">
            <w:pPr>
              <w:spacing w:after="0" w:line="240" w:lineRule="auto"/>
              <w:rPr>
                <w:rFonts w:ascii="inherit" w:eastAsia="Times New Roman" w:hAnsi="inherit" w:cs="Helvetica"/>
              </w:rPr>
            </w:pPr>
            <w:r w:rsidRPr="000435A0">
              <w:rPr>
                <w:rFonts w:ascii="inherit" w:eastAsia="Times New Roman" w:hAnsi="inherit" w:cs="Helvetica"/>
              </w:rPr>
              <w:t>Chống tham nhũng và hành vi đạo đức</w:t>
            </w:r>
          </w:p>
        </w:tc>
        <w:tc>
          <w:tcPr>
            <w:tcW w:w="1080" w:type="dxa"/>
            <w:tcBorders>
              <w:top w:val="nil"/>
              <w:left w:val="nil"/>
              <w:bottom w:val="nil"/>
              <w:right w:val="nil"/>
            </w:tcBorders>
            <w:shd w:val="clear" w:color="auto" w:fill="D3E8F2"/>
            <w:tcMar>
              <w:top w:w="120" w:type="dxa"/>
              <w:left w:w="300" w:type="dxa"/>
              <w:bottom w:w="120" w:type="dxa"/>
              <w:right w:w="300" w:type="dxa"/>
            </w:tcMar>
            <w:vAlign w:val="bottom"/>
            <w:hideMark/>
          </w:tcPr>
          <w:p w:rsidR="00FE2625" w:rsidRPr="00FE2625" w:rsidRDefault="00FE2625" w:rsidP="00FE2625">
            <w:pPr>
              <w:spacing w:after="0" w:line="240" w:lineRule="auto"/>
              <w:rPr>
                <w:rFonts w:ascii="inherit" w:eastAsia="Times New Roman" w:hAnsi="inherit" w:cs="Helvetica"/>
              </w:rPr>
            </w:pPr>
            <w:r w:rsidRPr="00FE2625">
              <w:rPr>
                <w:rFonts w:ascii="inherit" w:eastAsia="Times New Roman" w:hAnsi="inherit" w:cs="Helvetica"/>
              </w:rPr>
              <w:t>77.0</w:t>
            </w:r>
          </w:p>
        </w:tc>
      </w:tr>
      <w:tr w:rsidR="002A0969" w:rsidRPr="000435A0" w:rsidTr="002A0969">
        <w:trPr>
          <w:trHeight w:val="255"/>
        </w:trPr>
        <w:tc>
          <w:tcPr>
            <w:tcW w:w="1023" w:type="dxa"/>
            <w:tcBorders>
              <w:top w:val="nil"/>
              <w:left w:val="nil"/>
              <w:bottom w:val="nil"/>
              <w:right w:val="nil"/>
            </w:tcBorders>
            <w:shd w:val="clear" w:color="auto" w:fill="F4F5DF"/>
            <w:tcMar>
              <w:top w:w="120" w:type="dxa"/>
              <w:left w:w="300" w:type="dxa"/>
              <w:bottom w:w="120" w:type="dxa"/>
              <w:right w:w="300" w:type="dxa"/>
            </w:tcMar>
            <w:vAlign w:val="bottom"/>
            <w:hideMark/>
          </w:tcPr>
          <w:p w:rsidR="00FE2625" w:rsidRPr="00FE2625" w:rsidRDefault="00FE2625" w:rsidP="00FE2625">
            <w:pPr>
              <w:spacing w:after="0" w:line="240" w:lineRule="auto"/>
              <w:rPr>
                <w:rFonts w:ascii="inherit" w:eastAsia="Times New Roman" w:hAnsi="inherit" w:cs="Helvetica"/>
              </w:rPr>
            </w:pPr>
            <w:r w:rsidRPr="00FE2625">
              <w:rPr>
                <w:rFonts w:ascii="inherit" w:eastAsia="Times New Roman" w:hAnsi="inherit" w:cs="Helvetica"/>
              </w:rPr>
              <w:t>9</w:t>
            </w:r>
          </w:p>
        </w:tc>
        <w:tc>
          <w:tcPr>
            <w:tcW w:w="1857" w:type="dxa"/>
            <w:tcBorders>
              <w:top w:val="nil"/>
              <w:left w:val="single" w:sz="6" w:space="0" w:color="EEEEEE"/>
              <w:bottom w:val="nil"/>
              <w:right w:val="single" w:sz="6" w:space="0" w:color="EEEEEE"/>
            </w:tcBorders>
            <w:shd w:val="clear" w:color="auto" w:fill="F4F5DF"/>
            <w:tcMar>
              <w:top w:w="120" w:type="dxa"/>
              <w:left w:w="300" w:type="dxa"/>
              <w:bottom w:w="120" w:type="dxa"/>
              <w:right w:w="300" w:type="dxa"/>
            </w:tcMar>
            <w:vAlign w:val="bottom"/>
            <w:hideMark/>
          </w:tcPr>
          <w:p w:rsidR="00FE2625" w:rsidRPr="00FE2625" w:rsidRDefault="00FE2625" w:rsidP="00FE2625">
            <w:pPr>
              <w:spacing w:after="0" w:line="240" w:lineRule="auto"/>
              <w:rPr>
                <w:rFonts w:ascii="inherit" w:eastAsia="Times New Roman" w:hAnsi="inherit" w:cs="Helvetica"/>
              </w:rPr>
            </w:pPr>
            <w:r w:rsidRPr="000435A0">
              <w:rPr>
                <w:rFonts w:ascii="inherit" w:eastAsia="Times New Roman" w:hAnsi="inherit" w:cs="Helvetica"/>
              </w:rPr>
              <w:t>Môi trường</w:t>
            </w:r>
          </w:p>
        </w:tc>
        <w:tc>
          <w:tcPr>
            <w:tcW w:w="5670" w:type="dxa"/>
            <w:tcBorders>
              <w:top w:val="nil"/>
              <w:left w:val="single" w:sz="6" w:space="0" w:color="EEEEEE"/>
              <w:bottom w:val="nil"/>
              <w:right w:val="single" w:sz="6" w:space="0" w:color="EEEEEE"/>
            </w:tcBorders>
            <w:shd w:val="clear" w:color="auto" w:fill="F4F5DF"/>
            <w:tcMar>
              <w:top w:w="120" w:type="dxa"/>
              <w:left w:w="300" w:type="dxa"/>
              <w:bottom w:w="120" w:type="dxa"/>
              <w:right w:w="300" w:type="dxa"/>
            </w:tcMar>
            <w:vAlign w:val="bottom"/>
            <w:hideMark/>
          </w:tcPr>
          <w:p w:rsidR="00FE2625" w:rsidRPr="00FE2625" w:rsidRDefault="002A0969" w:rsidP="00FE2625">
            <w:pPr>
              <w:spacing w:after="0" w:line="240" w:lineRule="auto"/>
              <w:rPr>
                <w:rFonts w:ascii="inherit" w:eastAsia="Times New Roman" w:hAnsi="inherit" w:cs="Helvetica"/>
              </w:rPr>
            </w:pPr>
            <w:r w:rsidRPr="000435A0">
              <w:rPr>
                <w:rFonts w:ascii="inherit" w:eastAsia="Times New Roman" w:hAnsi="inherit" w:cs="Helvetica"/>
              </w:rPr>
              <w:t>Pháp luật về Môi trường liên tục thay đổi</w:t>
            </w:r>
          </w:p>
        </w:tc>
        <w:tc>
          <w:tcPr>
            <w:tcW w:w="1080" w:type="dxa"/>
            <w:tcBorders>
              <w:top w:val="nil"/>
              <w:left w:val="nil"/>
              <w:bottom w:val="nil"/>
              <w:right w:val="nil"/>
            </w:tcBorders>
            <w:shd w:val="clear" w:color="auto" w:fill="F4F5DF"/>
            <w:tcMar>
              <w:top w:w="120" w:type="dxa"/>
              <w:left w:w="300" w:type="dxa"/>
              <w:bottom w:w="120" w:type="dxa"/>
              <w:right w:w="300" w:type="dxa"/>
            </w:tcMar>
            <w:vAlign w:val="bottom"/>
            <w:hideMark/>
          </w:tcPr>
          <w:p w:rsidR="00FE2625" w:rsidRPr="00FE2625" w:rsidRDefault="00FE2625" w:rsidP="00FE2625">
            <w:pPr>
              <w:spacing w:after="0" w:line="240" w:lineRule="auto"/>
              <w:rPr>
                <w:rFonts w:ascii="inherit" w:eastAsia="Times New Roman" w:hAnsi="inherit" w:cs="Helvetica"/>
              </w:rPr>
            </w:pPr>
            <w:r w:rsidRPr="00FE2625">
              <w:rPr>
                <w:rFonts w:ascii="inherit" w:eastAsia="Times New Roman" w:hAnsi="inherit" w:cs="Helvetica"/>
              </w:rPr>
              <w:t>76.6</w:t>
            </w:r>
          </w:p>
        </w:tc>
      </w:tr>
      <w:tr w:rsidR="002A0969" w:rsidRPr="000435A0" w:rsidTr="002A0969">
        <w:trPr>
          <w:trHeight w:val="255"/>
        </w:trPr>
        <w:tc>
          <w:tcPr>
            <w:tcW w:w="1023" w:type="dxa"/>
            <w:tcBorders>
              <w:top w:val="nil"/>
              <w:left w:val="nil"/>
              <w:bottom w:val="nil"/>
              <w:right w:val="nil"/>
            </w:tcBorders>
            <w:shd w:val="clear" w:color="auto" w:fill="EBF8FC"/>
            <w:tcMar>
              <w:top w:w="120" w:type="dxa"/>
              <w:left w:w="300" w:type="dxa"/>
              <w:bottom w:w="120" w:type="dxa"/>
              <w:right w:w="300" w:type="dxa"/>
            </w:tcMar>
            <w:vAlign w:val="bottom"/>
            <w:hideMark/>
          </w:tcPr>
          <w:p w:rsidR="00FE2625" w:rsidRPr="00FE2625" w:rsidRDefault="00FE2625" w:rsidP="00FE2625">
            <w:pPr>
              <w:spacing w:after="0" w:line="240" w:lineRule="auto"/>
              <w:rPr>
                <w:rFonts w:ascii="inherit" w:eastAsia="Times New Roman" w:hAnsi="inherit" w:cs="Helvetica"/>
              </w:rPr>
            </w:pPr>
            <w:r w:rsidRPr="00FE2625">
              <w:rPr>
                <w:rFonts w:ascii="inherit" w:eastAsia="Times New Roman" w:hAnsi="inherit" w:cs="Helvetica"/>
              </w:rPr>
              <w:t>10</w:t>
            </w:r>
          </w:p>
        </w:tc>
        <w:tc>
          <w:tcPr>
            <w:tcW w:w="1857" w:type="dxa"/>
            <w:tcBorders>
              <w:top w:val="nil"/>
              <w:left w:val="single" w:sz="6" w:space="0" w:color="EEEEEE"/>
              <w:bottom w:val="nil"/>
              <w:right w:val="single" w:sz="6" w:space="0" w:color="EEEEEE"/>
            </w:tcBorders>
            <w:shd w:val="clear" w:color="auto" w:fill="EBF8FC"/>
            <w:tcMar>
              <w:top w:w="120" w:type="dxa"/>
              <w:left w:w="300" w:type="dxa"/>
              <w:bottom w:w="120" w:type="dxa"/>
              <w:right w:w="300" w:type="dxa"/>
            </w:tcMar>
            <w:vAlign w:val="bottom"/>
            <w:hideMark/>
          </w:tcPr>
          <w:p w:rsidR="00FE2625" w:rsidRPr="00FE2625" w:rsidRDefault="00FE2625" w:rsidP="00FE2625">
            <w:pPr>
              <w:spacing w:after="0" w:line="240" w:lineRule="auto"/>
              <w:rPr>
                <w:rFonts w:ascii="inherit" w:eastAsia="Times New Roman" w:hAnsi="inherit" w:cs="Helvetica"/>
              </w:rPr>
            </w:pPr>
            <w:r w:rsidRPr="000435A0">
              <w:rPr>
                <w:rFonts w:ascii="inherit" w:eastAsia="Times New Roman" w:hAnsi="inherit" w:cs="Helvetica"/>
              </w:rPr>
              <w:t>Quản trị</w:t>
            </w:r>
          </w:p>
        </w:tc>
        <w:tc>
          <w:tcPr>
            <w:tcW w:w="5670" w:type="dxa"/>
            <w:tcBorders>
              <w:top w:val="nil"/>
              <w:left w:val="single" w:sz="6" w:space="0" w:color="EEEEEE"/>
              <w:bottom w:val="nil"/>
              <w:right w:val="single" w:sz="6" w:space="0" w:color="EEEEEE"/>
            </w:tcBorders>
            <w:shd w:val="clear" w:color="auto" w:fill="EBF8FC"/>
            <w:tcMar>
              <w:top w:w="120" w:type="dxa"/>
              <w:left w:w="300" w:type="dxa"/>
              <w:bottom w:w="120" w:type="dxa"/>
              <w:right w:w="300" w:type="dxa"/>
            </w:tcMar>
            <w:vAlign w:val="bottom"/>
            <w:hideMark/>
          </w:tcPr>
          <w:p w:rsidR="00FE2625" w:rsidRPr="00FE2625" w:rsidRDefault="002A0969" w:rsidP="00FE2625">
            <w:pPr>
              <w:spacing w:after="0" w:line="240" w:lineRule="auto"/>
              <w:rPr>
                <w:rFonts w:ascii="inherit" w:eastAsia="Times New Roman" w:hAnsi="inherit" w:cs="Helvetica"/>
              </w:rPr>
            </w:pPr>
            <w:r w:rsidRPr="000435A0">
              <w:rPr>
                <w:rFonts w:ascii="inherit" w:eastAsia="Times New Roman" w:hAnsi="inherit" w:cs="Helvetica"/>
              </w:rPr>
              <w:t>Sự tham gia của các bên liên quan bên trong và bên ngoài</w:t>
            </w:r>
          </w:p>
        </w:tc>
        <w:tc>
          <w:tcPr>
            <w:tcW w:w="1080" w:type="dxa"/>
            <w:tcBorders>
              <w:top w:val="nil"/>
              <w:left w:val="nil"/>
              <w:bottom w:val="nil"/>
              <w:right w:val="nil"/>
            </w:tcBorders>
            <w:shd w:val="clear" w:color="auto" w:fill="EBF8FC"/>
            <w:tcMar>
              <w:top w:w="120" w:type="dxa"/>
              <w:left w:w="300" w:type="dxa"/>
              <w:bottom w:w="120" w:type="dxa"/>
              <w:right w:w="300" w:type="dxa"/>
            </w:tcMar>
            <w:vAlign w:val="bottom"/>
            <w:hideMark/>
          </w:tcPr>
          <w:p w:rsidR="00FE2625" w:rsidRPr="00FE2625" w:rsidRDefault="00FE2625" w:rsidP="00FE2625">
            <w:pPr>
              <w:spacing w:after="0" w:line="240" w:lineRule="auto"/>
              <w:rPr>
                <w:rFonts w:ascii="inherit" w:eastAsia="Times New Roman" w:hAnsi="inherit" w:cs="Helvetica"/>
              </w:rPr>
            </w:pPr>
            <w:r w:rsidRPr="00FE2625">
              <w:rPr>
                <w:rFonts w:ascii="inherit" w:eastAsia="Times New Roman" w:hAnsi="inherit" w:cs="Helvetica"/>
              </w:rPr>
              <w:t>75.8</w:t>
            </w:r>
          </w:p>
        </w:tc>
      </w:tr>
      <w:tr w:rsidR="002A0969" w:rsidRPr="000435A0" w:rsidTr="002A0969">
        <w:trPr>
          <w:trHeight w:val="255"/>
        </w:trPr>
        <w:tc>
          <w:tcPr>
            <w:tcW w:w="1023" w:type="dxa"/>
            <w:tcBorders>
              <w:top w:val="nil"/>
              <w:left w:val="nil"/>
              <w:bottom w:val="nil"/>
              <w:right w:val="nil"/>
            </w:tcBorders>
            <w:shd w:val="clear" w:color="auto" w:fill="F4F5DF"/>
            <w:tcMar>
              <w:top w:w="120" w:type="dxa"/>
              <w:left w:w="300" w:type="dxa"/>
              <w:bottom w:w="120" w:type="dxa"/>
              <w:right w:w="300" w:type="dxa"/>
            </w:tcMar>
            <w:vAlign w:val="bottom"/>
            <w:hideMark/>
          </w:tcPr>
          <w:p w:rsidR="00FE2625" w:rsidRPr="00FE2625" w:rsidRDefault="00FE2625" w:rsidP="00FE2625">
            <w:pPr>
              <w:spacing w:after="0" w:line="240" w:lineRule="auto"/>
              <w:rPr>
                <w:rFonts w:ascii="inherit" w:eastAsia="Times New Roman" w:hAnsi="inherit" w:cs="Helvetica"/>
              </w:rPr>
            </w:pPr>
            <w:r w:rsidRPr="00FE2625">
              <w:rPr>
                <w:rFonts w:ascii="inherit" w:eastAsia="Times New Roman" w:hAnsi="inherit" w:cs="Helvetica"/>
              </w:rPr>
              <w:t>11</w:t>
            </w:r>
          </w:p>
        </w:tc>
        <w:tc>
          <w:tcPr>
            <w:tcW w:w="1857" w:type="dxa"/>
            <w:tcBorders>
              <w:top w:val="nil"/>
              <w:left w:val="single" w:sz="6" w:space="0" w:color="EEEEEE"/>
              <w:bottom w:val="nil"/>
              <w:right w:val="single" w:sz="6" w:space="0" w:color="EEEEEE"/>
            </w:tcBorders>
            <w:shd w:val="clear" w:color="auto" w:fill="F4F5DF"/>
            <w:tcMar>
              <w:top w:w="120" w:type="dxa"/>
              <w:left w:w="300" w:type="dxa"/>
              <w:bottom w:w="120" w:type="dxa"/>
              <w:right w:w="300" w:type="dxa"/>
            </w:tcMar>
            <w:vAlign w:val="bottom"/>
            <w:hideMark/>
          </w:tcPr>
          <w:p w:rsidR="00FE2625" w:rsidRPr="00FE2625" w:rsidRDefault="00FE2625" w:rsidP="00FE2625">
            <w:pPr>
              <w:spacing w:after="0" w:line="240" w:lineRule="auto"/>
              <w:rPr>
                <w:rFonts w:ascii="inherit" w:eastAsia="Times New Roman" w:hAnsi="inherit" w:cs="Helvetica"/>
              </w:rPr>
            </w:pPr>
            <w:r w:rsidRPr="000435A0">
              <w:rPr>
                <w:rFonts w:ascii="inherit" w:eastAsia="Times New Roman" w:hAnsi="inherit" w:cs="Helvetica"/>
              </w:rPr>
              <w:t>Quản trị</w:t>
            </w:r>
          </w:p>
        </w:tc>
        <w:tc>
          <w:tcPr>
            <w:tcW w:w="5670" w:type="dxa"/>
            <w:tcBorders>
              <w:top w:val="nil"/>
              <w:left w:val="single" w:sz="6" w:space="0" w:color="EEEEEE"/>
              <w:bottom w:val="nil"/>
              <w:right w:val="single" w:sz="6" w:space="0" w:color="EEEEEE"/>
            </w:tcBorders>
            <w:shd w:val="clear" w:color="auto" w:fill="F4F5DF"/>
            <w:tcMar>
              <w:top w:w="120" w:type="dxa"/>
              <w:left w:w="300" w:type="dxa"/>
              <w:bottom w:w="120" w:type="dxa"/>
              <w:right w:w="300" w:type="dxa"/>
            </w:tcMar>
            <w:vAlign w:val="bottom"/>
            <w:hideMark/>
          </w:tcPr>
          <w:p w:rsidR="00FE2625" w:rsidRPr="00FE2625" w:rsidRDefault="002A0969" w:rsidP="00FE2625">
            <w:pPr>
              <w:spacing w:after="0" w:line="240" w:lineRule="auto"/>
              <w:rPr>
                <w:rFonts w:ascii="inherit" w:eastAsia="Times New Roman" w:hAnsi="inherit" w:cs="Helvetica"/>
              </w:rPr>
            </w:pPr>
            <w:r w:rsidRPr="000435A0">
              <w:rPr>
                <w:rFonts w:ascii="inherit" w:eastAsia="Times New Roman" w:hAnsi="inherit" w:cs="Helvetica"/>
              </w:rPr>
              <w:t>Sức chống chọi của an ninh mạng</w:t>
            </w:r>
          </w:p>
        </w:tc>
        <w:tc>
          <w:tcPr>
            <w:tcW w:w="1080" w:type="dxa"/>
            <w:tcBorders>
              <w:top w:val="nil"/>
              <w:left w:val="nil"/>
              <w:bottom w:val="nil"/>
              <w:right w:val="nil"/>
            </w:tcBorders>
            <w:shd w:val="clear" w:color="auto" w:fill="F4F5DF"/>
            <w:tcMar>
              <w:top w:w="120" w:type="dxa"/>
              <w:left w:w="300" w:type="dxa"/>
              <w:bottom w:w="120" w:type="dxa"/>
              <w:right w:w="300" w:type="dxa"/>
            </w:tcMar>
            <w:vAlign w:val="bottom"/>
            <w:hideMark/>
          </w:tcPr>
          <w:p w:rsidR="00FE2625" w:rsidRPr="00FE2625" w:rsidRDefault="00FE2625" w:rsidP="00FE2625">
            <w:pPr>
              <w:spacing w:after="0" w:line="240" w:lineRule="auto"/>
              <w:rPr>
                <w:rFonts w:ascii="inherit" w:eastAsia="Times New Roman" w:hAnsi="inherit" w:cs="Helvetica"/>
              </w:rPr>
            </w:pPr>
            <w:r w:rsidRPr="00FE2625">
              <w:rPr>
                <w:rFonts w:ascii="inherit" w:eastAsia="Times New Roman" w:hAnsi="inherit" w:cs="Helvetica"/>
              </w:rPr>
              <w:t>75.1</w:t>
            </w:r>
          </w:p>
        </w:tc>
      </w:tr>
      <w:tr w:rsidR="002A0969" w:rsidRPr="000435A0" w:rsidTr="002A0969">
        <w:trPr>
          <w:trHeight w:val="255"/>
        </w:trPr>
        <w:tc>
          <w:tcPr>
            <w:tcW w:w="1023" w:type="dxa"/>
            <w:tcBorders>
              <w:top w:val="nil"/>
              <w:left w:val="nil"/>
              <w:bottom w:val="nil"/>
              <w:right w:val="nil"/>
            </w:tcBorders>
            <w:shd w:val="clear" w:color="auto" w:fill="EBF8FC"/>
            <w:tcMar>
              <w:top w:w="120" w:type="dxa"/>
              <w:left w:w="300" w:type="dxa"/>
              <w:bottom w:w="120" w:type="dxa"/>
              <w:right w:w="300" w:type="dxa"/>
            </w:tcMar>
            <w:vAlign w:val="bottom"/>
            <w:hideMark/>
          </w:tcPr>
          <w:p w:rsidR="00FE2625" w:rsidRPr="00FE2625" w:rsidRDefault="00FE2625" w:rsidP="00FE2625">
            <w:pPr>
              <w:spacing w:after="0" w:line="240" w:lineRule="auto"/>
              <w:rPr>
                <w:rFonts w:ascii="inherit" w:eastAsia="Times New Roman" w:hAnsi="inherit" w:cs="Helvetica"/>
              </w:rPr>
            </w:pPr>
            <w:r w:rsidRPr="00FE2625">
              <w:rPr>
                <w:rFonts w:ascii="inherit" w:eastAsia="Times New Roman" w:hAnsi="inherit" w:cs="Helvetica"/>
              </w:rPr>
              <w:t>12</w:t>
            </w:r>
          </w:p>
        </w:tc>
        <w:tc>
          <w:tcPr>
            <w:tcW w:w="1857" w:type="dxa"/>
            <w:tcBorders>
              <w:top w:val="nil"/>
              <w:left w:val="single" w:sz="6" w:space="0" w:color="EEEEEE"/>
              <w:bottom w:val="nil"/>
              <w:right w:val="single" w:sz="6" w:space="0" w:color="EEEEEE"/>
            </w:tcBorders>
            <w:shd w:val="clear" w:color="auto" w:fill="EBF8FC"/>
            <w:tcMar>
              <w:top w:w="120" w:type="dxa"/>
              <w:left w:w="300" w:type="dxa"/>
              <w:bottom w:w="120" w:type="dxa"/>
              <w:right w:w="300" w:type="dxa"/>
            </w:tcMar>
            <w:vAlign w:val="bottom"/>
            <w:hideMark/>
          </w:tcPr>
          <w:p w:rsidR="00FE2625" w:rsidRPr="00FE2625" w:rsidRDefault="00FE2625" w:rsidP="00FE2625">
            <w:pPr>
              <w:spacing w:after="0" w:line="240" w:lineRule="auto"/>
              <w:rPr>
                <w:rFonts w:ascii="inherit" w:eastAsia="Times New Roman" w:hAnsi="inherit" w:cs="Helvetica"/>
              </w:rPr>
            </w:pPr>
            <w:r w:rsidRPr="000435A0">
              <w:rPr>
                <w:rFonts w:ascii="inherit" w:eastAsia="Times New Roman" w:hAnsi="inherit" w:cs="Helvetica"/>
              </w:rPr>
              <w:t>Quản trị</w:t>
            </w:r>
          </w:p>
        </w:tc>
        <w:tc>
          <w:tcPr>
            <w:tcW w:w="5670" w:type="dxa"/>
            <w:tcBorders>
              <w:top w:val="nil"/>
              <w:left w:val="single" w:sz="6" w:space="0" w:color="EEEEEE"/>
              <w:bottom w:val="nil"/>
              <w:right w:val="single" w:sz="6" w:space="0" w:color="EEEEEE"/>
            </w:tcBorders>
            <w:shd w:val="clear" w:color="auto" w:fill="EBF8FC"/>
            <w:tcMar>
              <w:top w:w="120" w:type="dxa"/>
              <w:left w:w="300" w:type="dxa"/>
              <w:bottom w:w="120" w:type="dxa"/>
              <w:right w:w="300" w:type="dxa"/>
            </w:tcMar>
            <w:vAlign w:val="bottom"/>
            <w:hideMark/>
          </w:tcPr>
          <w:p w:rsidR="00FE2625" w:rsidRPr="00FE2625" w:rsidRDefault="002A0969" w:rsidP="002A0969">
            <w:pPr>
              <w:spacing w:after="0" w:line="240" w:lineRule="auto"/>
              <w:rPr>
                <w:rFonts w:ascii="inherit" w:eastAsia="Times New Roman" w:hAnsi="inherit" w:cs="Helvetica"/>
              </w:rPr>
            </w:pPr>
            <w:r w:rsidRPr="000435A0">
              <w:rPr>
                <w:rFonts w:ascii="inherit" w:eastAsia="Times New Roman" w:hAnsi="inherit" w:cs="Helvetica"/>
              </w:rPr>
              <w:t xml:space="preserve">Báo cáo về </w:t>
            </w:r>
            <w:r w:rsidR="00FE2625" w:rsidRPr="00FE2625">
              <w:rPr>
                <w:rFonts w:ascii="inherit" w:eastAsia="Times New Roman" w:hAnsi="inherit" w:cs="Helvetica"/>
              </w:rPr>
              <w:t xml:space="preserve">ESG </w:t>
            </w:r>
          </w:p>
        </w:tc>
        <w:tc>
          <w:tcPr>
            <w:tcW w:w="1080" w:type="dxa"/>
            <w:tcBorders>
              <w:top w:val="nil"/>
              <w:left w:val="nil"/>
              <w:bottom w:val="nil"/>
              <w:right w:val="nil"/>
            </w:tcBorders>
            <w:shd w:val="clear" w:color="auto" w:fill="EBF8FC"/>
            <w:tcMar>
              <w:top w:w="120" w:type="dxa"/>
              <w:left w:w="300" w:type="dxa"/>
              <w:bottom w:w="120" w:type="dxa"/>
              <w:right w:w="300" w:type="dxa"/>
            </w:tcMar>
            <w:vAlign w:val="bottom"/>
            <w:hideMark/>
          </w:tcPr>
          <w:p w:rsidR="00FE2625" w:rsidRPr="00FE2625" w:rsidRDefault="00FE2625" w:rsidP="00FE2625">
            <w:pPr>
              <w:spacing w:after="0" w:line="240" w:lineRule="auto"/>
              <w:rPr>
                <w:rFonts w:ascii="inherit" w:eastAsia="Times New Roman" w:hAnsi="inherit" w:cs="Helvetica"/>
              </w:rPr>
            </w:pPr>
            <w:r w:rsidRPr="00FE2625">
              <w:rPr>
                <w:rFonts w:ascii="inherit" w:eastAsia="Times New Roman" w:hAnsi="inherit" w:cs="Helvetica"/>
              </w:rPr>
              <w:t>73.2</w:t>
            </w:r>
          </w:p>
        </w:tc>
      </w:tr>
      <w:tr w:rsidR="002A0969" w:rsidRPr="000435A0" w:rsidTr="002A0969">
        <w:trPr>
          <w:trHeight w:val="255"/>
        </w:trPr>
        <w:tc>
          <w:tcPr>
            <w:tcW w:w="1023" w:type="dxa"/>
            <w:tcBorders>
              <w:top w:val="nil"/>
              <w:left w:val="nil"/>
              <w:bottom w:val="nil"/>
              <w:right w:val="nil"/>
            </w:tcBorders>
            <w:shd w:val="clear" w:color="auto" w:fill="EBF8FC"/>
            <w:tcMar>
              <w:top w:w="120" w:type="dxa"/>
              <w:left w:w="300" w:type="dxa"/>
              <w:bottom w:w="120" w:type="dxa"/>
              <w:right w:w="300" w:type="dxa"/>
            </w:tcMar>
            <w:vAlign w:val="bottom"/>
            <w:hideMark/>
          </w:tcPr>
          <w:p w:rsidR="00FE2625" w:rsidRPr="00FE2625" w:rsidRDefault="00FE2625" w:rsidP="00FE2625">
            <w:pPr>
              <w:spacing w:after="0" w:line="240" w:lineRule="auto"/>
              <w:rPr>
                <w:rFonts w:ascii="inherit" w:eastAsia="Times New Roman" w:hAnsi="inherit" w:cs="Helvetica"/>
              </w:rPr>
            </w:pPr>
            <w:r w:rsidRPr="00FE2625">
              <w:rPr>
                <w:rFonts w:ascii="inherit" w:eastAsia="Times New Roman" w:hAnsi="inherit" w:cs="Helvetica"/>
              </w:rPr>
              <w:t>13</w:t>
            </w:r>
          </w:p>
        </w:tc>
        <w:tc>
          <w:tcPr>
            <w:tcW w:w="1857" w:type="dxa"/>
            <w:tcBorders>
              <w:top w:val="nil"/>
              <w:left w:val="single" w:sz="6" w:space="0" w:color="EEEEEE"/>
              <w:bottom w:val="nil"/>
              <w:right w:val="single" w:sz="6" w:space="0" w:color="EEEEEE"/>
            </w:tcBorders>
            <w:shd w:val="clear" w:color="auto" w:fill="EBF8FC"/>
            <w:tcMar>
              <w:top w:w="120" w:type="dxa"/>
              <w:left w:w="300" w:type="dxa"/>
              <w:bottom w:w="120" w:type="dxa"/>
              <w:right w:w="300" w:type="dxa"/>
            </w:tcMar>
            <w:vAlign w:val="bottom"/>
            <w:hideMark/>
          </w:tcPr>
          <w:p w:rsidR="00FE2625" w:rsidRPr="00FE2625" w:rsidRDefault="00FE2625" w:rsidP="00FE2625">
            <w:pPr>
              <w:spacing w:after="0" w:line="240" w:lineRule="auto"/>
              <w:rPr>
                <w:rFonts w:ascii="inherit" w:eastAsia="Times New Roman" w:hAnsi="inherit" w:cs="Helvetica"/>
              </w:rPr>
            </w:pPr>
            <w:r w:rsidRPr="000435A0">
              <w:rPr>
                <w:rFonts w:ascii="inherit" w:eastAsia="Times New Roman" w:hAnsi="inherit" w:cs="Helvetica"/>
              </w:rPr>
              <w:t>Quản trị</w:t>
            </w:r>
          </w:p>
        </w:tc>
        <w:tc>
          <w:tcPr>
            <w:tcW w:w="5670" w:type="dxa"/>
            <w:tcBorders>
              <w:top w:val="nil"/>
              <w:left w:val="single" w:sz="6" w:space="0" w:color="EEEEEE"/>
              <w:bottom w:val="nil"/>
              <w:right w:val="single" w:sz="6" w:space="0" w:color="EEEEEE"/>
            </w:tcBorders>
            <w:shd w:val="clear" w:color="auto" w:fill="EBF8FC"/>
            <w:tcMar>
              <w:top w:w="120" w:type="dxa"/>
              <w:left w:w="300" w:type="dxa"/>
              <w:bottom w:w="120" w:type="dxa"/>
              <w:right w:w="300" w:type="dxa"/>
            </w:tcMar>
            <w:vAlign w:val="bottom"/>
            <w:hideMark/>
          </w:tcPr>
          <w:p w:rsidR="00FE2625" w:rsidRPr="00FE2625" w:rsidRDefault="002A0969" w:rsidP="002A0969">
            <w:pPr>
              <w:spacing w:after="0" w:line="240" w:lineRule="auto"/>
              <w:rPr>
                <w:rFonts w:ascii="inherit" w:eastAsia="Times New Roman" w:hAnsi="inherit" w:cs="Helvetica"/>
              </w:rPr>
            </w:pPr>
            <w:r w:rsidRPr="000435A0">
              <w:rPr>
                <w:rFonts w:ascii="inherit" w:eastAsia="Times New Roman" w:hAnsi="inherit" w:cs="Helvetica"/>
              </w:rPr>
              <w:t>Vận tải biển</w:t>
            </w:r>
            <w:r w:rsidR="00FE2625" w:rsidRPr="00FE2625">
              <w:rPr>
                <w:rFonts w:ascii="inherit" w:eastAsia="Times New Roman" w:hAnsi="inherit" w:cs="Helvetica"/>
              </w:rPr>
              <w:t xml:space="preserve"> 4.0 – </w:t>
            </w:r>
            <w:r w:rsidRPr="000435A0">
              <w:rPr>
                <w:rFonts w:ascii="inherit" w:eastAsia="Times New Roman" w:hAnsi="inherit" w:cs="Helvetica"/>
              </w:rPr>
              <w:t>Số hóa</w:t>
            </w:r>
          </w:p>
        </w:tc>
        <w:tc>
          <w:tcPr>
            <w:tcW w:w="1080" w:type="dxa"/>
            <w:tcBorders>
              <w:top w:val="nil"/>
              <w:left w:val="nil"/>
              <w:bottom w:val="nil"/>
              <w:right w:val="nil"/>
            </w:tcBorders>
            <w:shd w:val="clear" w:color="auto" w:fill="EBF8FC"/>
            <w:tcMar>
              <w:top w:w="120" w:type="dxa"/>
              <w:left w:w="300" w:type="dxa"/>
              <w:bottom w:w="120" w:type="dxa"/>
              <w:right w:w="300" w:type="dxa"/>
            </w:tcMar>
            <w:vAlign w:val="bottom"/>
            <w:hideMark/>
          </w:tcPr>
          <w:p w:rsidR="00FE2625" w:rsidRPr="00FE2625" w:rsidRDefault="00FE2625" w:rsidP="00FE2625">
            <w:pPr>
              <w:spacing w:after="0" w:line="240" w:lineRule="auto"/>
              <w:rPr>
                <w:rFonts w:ascii="inherit" w:eastAsia="Times New Roman" w:hAnsi="inherit" w:cs="Helvetica"/>
              </w:rPr>
            </w:pPr>
            <w:r w:rsidRPr="00FE2625">
              <w:rPr>
                <w:rFonts w:ascii="inherit" w:eastAsia="Times New Roman" w:hAnsi="inherit" w:cs="Helvetica"/>
              </w:rPr>
              <w:t>72.8</w:t>
            </w:r>
          </w:p>
        </w:tc>
      </w:tr>
      <w:tr w:rsidR="002A0969" w:rsidRPr="000435A0" w:rsidTr="002A0969">
        <w:trPr>
          <w:trHeight w:val="255"/>
        </w:trPr>
        <w:tc>
          <w:tcPr>
            <w:tcW w:w="1023" w:type="dxa"/>
            <w:tcBorders>
              <w:top w:val="nil"/>
              <w:left w:val="nil"/>
              <w:bottom w:val="nil"/>
              <w:right w:val="nil"/>
            </w:tcBorders>
            <w:shd w:val="clear" w:color="auto" w:fill="EBF8FC"/>
            <w:tcMar>
              <w:top w:w="120" w:type="dxa"/>
              <w:left w:w="300" w:type="dxa"/>
              <w:bottom w:w="120" w:type="dxa"/>
              <w:right w:w="300" w:type="dxa"/>
            </w:tcMar>
            <w:vAlign w:val="bottom"/>
            <w:hideMark/>
          </w:tcPr>
          <w:p w:rsidR="00FE2625" w:rsidRPr="00FE2625" w:rsidRDefault="00FE2625" w:rsidP="00FE2625">
            <w:pPr>
              <w:spacing w:after="0" w:line="240" w:lineRule="auto"/>
              <w:rPr>
                <w:rFonts w:ascii="inherit" w:eastAsia="Times New Roman" w:hAnsi="inherit" w:cs="Helvetica"/>
              </w:rPr>
            </w:pPr>
            <w:r w:rsidRPr="00FE2625">
              <w:rPr>
                <w:rFonts w:ascii="inherit" w:eastAsia="Times New Roman" w:hAnsi="inherit" w:cs="Helvetica"/>
              </w:rPr>
              <w:t>14</w:t>
            </w:r>
          </w:p>
        </w:tc>
        <w:tc>
          <w:tcPr>
            <w:tcW w:w="1857" w:type="dxa"/>
            <w:tcBorders>
              <w:top w:val="nil"/>
              <w:left w:val="single" w:sz="6" w:space="0" w:color="EEEEEE"/>
              <w:bottom w:val="nil"/>
              <w:right w:val="single" w:sz="6" w:space="0" w:color="EEEEEE"/>
            </w:tcBorders>
            <w:shd w:val="clear" w:color="auto" w:fill="EBF8FC"/>
            <w:tcMar>
              <w:top w:w="120" w:type="dxa"/>
              <w:left w:w="300" w:type="dxa"/>
              <w:bottom w:w="120" w:type="dxa"/>
              <w:right w:w="300" w:type="dxa"/>
            </w:tcMar>
            <w:vAlign w:val="bottom"/>
            <w:hideMark/>
          </w:tcPr>
          <w:p w:rsidR="00FE2625" w:rsidRPr="00FE2625" w:rsidRDefault="00FE2625" w:rsidP="00FE2625">
            <w:pPr>
              <w:spacing w:after="0" w:line="240" w:lineRule="auto"/>
              <w:rPr>
                <w:rFonts w:ascii="inherit" w:eastAsia="Times New Roman" w:hAnsi="inherit" w:cs="Helvetica"/>
              </w:rPr>
            </w:pPr>
            <w:r w:rsidRPr="000435A0">
              <w:rPr>
                <w:rFonts w:ascii="inherit" w:eastAsia="Times New Roman" w:hAnsi="inherit" w:cs="Helvetica"/>
              </w:rPr>
              <w:t>Quản trị</w:t>
            </w:r>
          </w:p>
        </w:tc>
        <w:tc>
          <w:tcPr>
            <w:tcW w:w="5670" w:type="dxa"/>
            <w:tcBorders>
              <w:top w:val="nil"/>
              <w:left w:val="single" w:sz="6" w:space="0" w:color="EEEEEE"/>
              <w:bottom w:val="nil"/>
              <w:right w:val="single" w:sz="6" w:space="0" w:color="EEEEEE"/>
            </w:tcBorders>
            <w:shd w:val="clear" w:color="auto" w:fill="EBF8FC"/>
            <w:tcMar>
              <w:top w:w="120" w:type="dxa"/>
              <w:left w:w="300" w:type="dxa"/>
              <w:bottom w:w="120" w:type="dxa"/>
              <w:right w:w="300" w:type="dxa"/>
            </w:tcMar>
            <w:vAlign w:val="bottom"/>
            <w:hideMark/>
          </w:tcPr>
          <w:p w:rsidR="00FE2625" w:rsidRPr="00FE2625" w:rsidRDefault="002A0969" w:rsidP="00FE2625">
            <w:pPr>
              <w:spacing w:after="0" w:line="240" w:lineRule="auto"/>
              <w:rPr>
                <w:rFonts w:ascii="inherit" w:eastAsia="Times New Roman" w:hAnsi="inherit" w:cs="Helvetica"/>
              </w:rPr>
            </w:pPr>
            <w:r w:rsidRPr="000435A0">
              <w:rPr>
                <w:rFonts w:ascii="inherit" w:eastAsia="Times New Roman" w:hAnsi="inherit" w:cs="Helvetica"/>
              </w:rPr>
              <w:t>Giám sát chương trình ESG</w:t>
            </w:r>
          </w:p>
        </w:tc>
        <w:tc>
          <w:tcPr>
            <w:tcW w:w="1080" w:type="dxa"/>
            <w:tcBorders>
              <w:top w:val="nil"/>
              <w:left w:val="nil"/>
              <w:bottom w:val="nil"/>
              <w:right w:val="nil"/>
            </w:tcBorders>
            <w:shd w:val="clear" w:color="auto" w:fill="EBF8FC"/>
            <w:tcMar>
              <w:top w:w="120" w:type="dxa"/>
              <w:left w:w="300" w:type="dxa"/>
              <w:bottom w:w="120" w:type="dxa"/>
              <w:right w:w="300" w:type="dxa"/>
            </w:tcMar>
            <w:vAlign w:val="bottom"/>
            <w:hideMark/>
          </w:tcPr>
          <w:p w:rsidR="00FE2625" w:rsidRPr="00FE2625" w:rsidRDefault="00FE2625" w:rsidP="00FE2625">
            <w:pPr>
              <w:spacing w:after="0" w:line="240" w:lineRule="auto"/>
              <w:rPr>
                <w:rFonts w:ascii="inherit" w:eastAsia="Times New Roman" w:hAnsi="inherit" w:cs="Helvetica"/>
              </w:rPr>
            </w:pPr>
            <w:r w:rsidRPr="00FE2625">
              <w:rPr>
                <w:rFonts w:ascii="inherit" w:eastAsia="Times New Roman" w:hAnsi="inherit" w:cs="Helvetica"/>
              </w:rPr>
              <w:t>72.8</w:t>
            </w:r>
          </w:p>
        </w:tc>
      </w:tr>
      <w:tr w:rsidR="002A0969" w:rsidRPr="000435A0" w:rsidTr="002A0969">
        <w:trPr>
          <w:trHeight w:val="255"/>
        </w:trPr>
        <w:tc>
          <w:tcPr>
            <w:tcW w:w="1023" w:type="dxa"/>
            <w:tcBorders>
              <w:top w:val="nil"/>
              <w:left w:val="nil"/>
              <w:bottom w:val="nil"/>
              <w:right w:val="nil"/>
            </w:tcBorders>
            <w:shd w:val="clear" w:color="auto" w:fill="D3E8F2"/>
            <w:tcMar>
              <w:top w:w="120" w:type="dxa"/>
              <w:left w:w="300" w:type="dxa"/>
              <w:bottom w:w="120" w:type="dxa"/>
              <w:right w:w="300" w:type="dxa"/>
            </w:tcMar>
            <w:vAlign w:val="bottom"/>
            <w:hideMark/>
          </w:tcPr>
          <w:p w:rsidR="00FE2625" w:rsidRPr="00FE2625" w:rsidRDefault="00FE2625" w:rsidP="00FE2625">
            <w:pPr>
              <w:spacing w:after="0" w:line="240" w:lineRule="auto"/>
              <w:rPr>
                <w:rFonts w:ascii="inherit" w:eastAsia="Times New Roman" w:hAnsi="inherit" w:cs="Helvetica"/>
              </w:rPr>
            </w:pPr>
            <w:r w:rsidRPr="00FE2625">
              <w:rPr>
                <w:rFonts w:ascii="inherit" w:eastAsia="Times New Roman" w:hAnsi="inherit" w:cs="Helvetica"/>
              </w:rPr>
              <w:lastRenderedPageBreak/>
              <w:t>15</w:t>
            </w:r>
          </w:p>
        </w:tc>
        <w:tc>
          <w:tcPr>
            <w:tcW w:w="1857" w:type="dxa"/>
            <w:tcBorders>
              <w:top w:val="nil"/>
              <w:left w:val="single" w:sz="6" w:space="0" w:color="EEEEEE"/>
              <w:bottom w:val="nil"/>
              <w:right w:val="single" w:sz="6" w:space="0" w:color="EEEEEE"/>
            </w:tcBorders>
            <w:shd w:val="clear" w:color="auto" w:fill="D3E8F2"/>
            <w:tcMar>
              <w:top w:w="120" w:type="dxa"/>
              <w:left w:w="300" w:type="dxa"/>
              <w:bottom w:w="120" w:type="dxa"/>
              <w:right w:w="300" w:type="dxa"/>
            </w:tcMar>
            <w:vAlign w:val="bottom"/>
            <w:hideMark/>
          </w:tcPr>
          <w:p w:rsidR="00FE2625" w:rsidRPr="00FE2625" w:rsidRDefault="00FE2625" w:rsidP="00FE2625">
            <w:pPr>
              <w:spacing w:after="0" w:line="240" w:lineRule="auto"/>
              <w:rPr>
                <w:rFonts w:ascii="inherit" w:eastAsia="Times New Roman" w:hAnsi="inherit" w:cs="Helvetica"/>
              </w:rPr>
            </w:pPr>
            <w:r w:rsidRPr="000435A0">
              <w:rPr>
                <w:rFonts w:ascii="inherit" w:eastAsia="Times New Roman" w:hAnsi="inherit" w:cs="Helvetica"/>
              </w:rPr>
              <w:t>Xã hội</w:t>
            </w:r>
          </w:p>
        </w:tc>
        <w:tc>
          <w:tcPr>
            <w:tcW w:w="5670" w:type="dxa"/>
            <w:tcBorders>
              <w:top w:val="nil"/>
              <w:left w:val="single" w:sz="6" w:space="0" w:color="EEEEEE"/>
              <w:bottom w:val="nil"/>
              <w:right w:val="single" w:sz="6" w:space="0" w:color="EEEEEE"/>
            </w:tcBorders>
            <w:shd w:val="clear" w:color="auto" w:fill="D3E8F2"/>
            <w:tcMar>
              <w:top w:w="120" w:type="dxa"/>
              <w:left w:w="300" w:type="dxa"/>
              <w:bottom w:w="120" w:type="dxa"/>
              <w:right w:w="300" w:type="dxa"/>
            </w:tcMar>
            <w:vAlign w:val="bottom"/>
            <w:hideMark/>
          </w:tcPr>
          <w:p w:rsidR="00FE2625" w:rsidRPr="00FE2625" w:rsidRDefault="002A0969" w:rsidP="00FE2625">
            <w:pPr>
              <w:spacing w:after="0" w:line="240" w:lineRule="auto"/>
              <w:rPr>
                <w:rFonts w:ascii="inherit" w:eastAsia="Times New Roman" w:hAnsi="inherit" w:cs="Helvetica"/>
              </w:rPr>
            </w:pPr>
            <w:r w:rsidRPr="000435A0">
              <w:rPr>
                <w:rFonts w:ascii="inherit" w:eastAsia="Times New Roman" w:hAnsi="inherit" w:cs="Helvetica"/>
              </w:rPr>
              <w:t>Đa dạng và hòa nhập</w:t>
            </w:r>
          </w:p>
        </w:tc>
        <w:tc>
          <w:tcPr>
            <w:tcW w:w="1080" w:type="dxa"/>
            <w:tcBorders>
              <w:top w:val="nil"/>
              <w:left w:val="nil"/>
              <w:bottom w:val="nil"/>
              <w:right w:val="nil"/>
            </w:tcBorders>
            <w:shd w:val="clear" w:color="auto" w:fill="D3E8F2"/>
            <w:tcMar>
              <w:top w:w="120" w:type="dxa"/>
              <w:left w:w="300" w:type="dxa"/>
              <w:bottom w:w="120" w:type="dxa"/>
              <w:right w:w="300" w:type="dxa"/>
            </w:tcMar>
            <w:vAlign w:val="bottom"/>
            <w:hideMark/>
          </w:tcPr>
          <w:p w:rsidR="00FE2625" w:rsidRPr="00FE2625" w:rsidRDefault="00FE2625" w:rsidP="00FE2625">
            <w:pPr>
              <w:spacing w:after="0" w:line="240" w:lineRule="auto"/>
              <w:rPr>
                <w:rFonts w:ascii="inherit" w:eastAsia="Times New Roman" w:hAnsi="inherit" w:cs="Helvetica"/>
              </w:rPr>
            </w:pPr>
            <w:r w:rsidRPr="00FE2625">
              <w:rPr>
                <w:rFonts w:ascii="inherit" w:eastAsia="Times New Roman" w:hAnsi="inherit" w:cs="Helvetica"/>
              </w:rPr>
              <w:t>72.1</w:t>
            </w:r>
          </w:p>
        </w:tc>
      </w:tr>
      <w:tr w:rsidR="002A0969" w:rsidRPr="000435A0" w:rsidTr="002A0969">
        <w:trPr>
          <w:trHeight w:val="255"/>
        </w:trPr>
        <w:tc>
          <w:tcPr>
            <w:tcW w:w="1023" w:type="dxa"/>
            <w:tcBorders>
              <w:top w:val="nil"/>
              <w:left w:val="nil"/>
              <w:bottom w:val="nil"/>
              <w:right w:val="nil"/>
            </w:tcBorders>
            <w:shd w:val="clear" w:color="auto" w:fill="F4F5DF"/>
            <w:tcMar>
              <w:top w:w="120" w:type="dxa"/>
              <w:left w:w="300" w:type="dxa"/>
              <w:bottom w:w="120" w:type="dxa"/>
              <w:right w:w="300" w:type="dxa"/>
            </w:tcMar>
            <w:vAlign w:val="bottom"/>
            <w:hideMark/>
          </w:tcPr>
          <w:p w:rsidR="00FE2625" w:rsidRPr="00FE2625" w:rsidRDefault="00FE2625" w:rsidP="00FE2625">
            <w:pPr>
              <w:spacing w:after="0" w:line="240" w:lineRule="auto"/>
              <w:rPr>
                <w:rFonts w:ascii="inherit" w:eastAsia="Times New Roman" w:hAnsi="inherit" w:cs="Helvetica"/>
              </w:rPr>
            </w:pPr>
            <w:r w:rsidRPr="00FE2625">
              <w:rPr>
                <w:rFonts w:ascii="inherit" w:eastAsia="Times New Roman" w:hAnsi="inherit" w:cs="Helvetica"/>
              </w:rPr>
              <w:t>16</w:t>
            </w:r>
          </w:p>
        </w:tc>
        <w:tc>
          <w:tcPr>
            <w:tcW w:w="1857" w:type="dxa"/>
            <w:tcBorders>
              <w:top w:val="nil"/>
              <w:left w:val="single" w:sz="6" w:space="0" w:color="EEEEEE"/>
              <w:bottom w:val="nil"/>
              <w:right w:val="single" w:sz="6" w:space="0" w:color="EEEEEE"/>
            </w:tcBorders>
            <w:shd w:val="clear" w:color="auto" w:fill="F4F5DF"/>
            <w:tcMar>
              <w:top w:w="120" w:type="dxa"/>
              <w:left w:w="300" w:type="dxa"/>
              <w:bottom w:w="120" w:type="dxa"/>
              <w:right w:w="300" w:type="dxa"/>
            </w:tcMar>
            <w:vAlign w:val="bottom"/>
            <w:hideMark/>
          </w:tcPr>
          <w:p w:rsidR="00FE2625" w:rsidRPr="00FE2625" w:rsidRDefault="00FE2625" w:rsidP="00FE2625">
            <w:pPr>
              <w:spacing w:after="0" w:line="240" w:lineRule="auto"/>
              <w:rPr>
                <w:rFonts w:ascii="inherit" w:eastAsia="Times New Roman" w:hAnsi="inherit" w:cs="Helvetica"/>
              </w:rPr>
            </w:pPr>
            <w:r w:rsidRPr="000435A0">
              <w:rPr>
                <w:rFonts w:ascii="inherit" w:eastAsia="Times New Roman" w:hAnsi="inherit" w:cs="Helvetica"/>
              </w:rPr>
              <w:t>Môi trường</w:t>
            </w:r>
          </w:p>
        </w:tc>
        <w:tc>
          <w:tcPr>
            <w:tcW w:w="5670" w:type="dxa"/>
            <w:tcBorders>
              <w:top w:val="nil"/>
              <w:left w:val="single" w:sz="6" w:space="0" w:color="EEEEEE"/>
              <w:bottom w:val="nil"/>
              <w:right w:val="single" w:sz="6" w:space="0" w:color="EEEEEE"/>
            </w:tcBorders>
            <w:shd w:val="clear" w:color="auto" w:fill="F4F5DF"/>
            <w:tcMar>
              <w:top w:w="120" w:type="dxa"/>
              <w:left w:w="300" w:type="dxa"/>
              <w:bottom w:w="120" w:type="dxa"/>
              <w:right w:w="300" w:type="dxa"/>
            </w:tcMar>
            <w:vAlign w:val="bottom"/>
            <w:hideMark/>
          </w:tcPr>
          <w:p w:rsidR="00FE2625" w:rsidRPr="00FE2625" w:rsidRDefault="002A0969" w:rsidP="00FE2625">
            <w:pPr>
              <w:spacing w:after="0" w:line="240" w:lineRule="auto"/>
              <w:rPr>
                <w:rFonts w:ascii="inherit" w:eastAsia="Times New Roman" w:hAnsi="inherit" w:cs="Helvetica"/>
              </w:rPr>
            </w:pPr>
            <w:r w:rsidRPr="000435A0">
              <w:rPr>
                <w:rFonts w:ascii="inherit" w:eastAsia="Times New Roman" w:hAnsi="inherit" w:cs="Helvetica"/>
              </w:rPr>
              <w:t>Quản lý nước dằn tàu</w:t>
            </w:r>
          </w:p>
        </w:tc>
        <w:tc>
          <w:tcPr>
            <w:tcW w:w="1080" w:type="dxa"/>
            <w:tcBorders>
              <w:top w:val="nil"/>
              <w:left w:val="nil"/>
              <w:bottom w:val="nil"/>
              <w:right w:val="nil"/>
            </w:tcBorders>
            <w:shd w:val="clear" w:color="auto" w:fill="F4F5DF"/>
            <w:tcMar>
              <w:top w:w="120" w:type="dxa"/>
              <w:left w:w="300" w:type="dxa"/>
              <w:bottom w:w="120" w:type="dxa"/>
              <w:right w:w="300" w:type="dxa"/>
            </w:tcMar>
            <w:vAlign w:val="bottom"/>
            <w:hideMark/>
          </w:tcPr>
          <w:p w:rsidR="00FE2625" w:rsidRPr="00FE2625" w:rsidRDefault="00FE2625" w:rsidP="00FE2625">
            <w:pPr>
              <w:spacing w:after="0" w:line="240" w:lineRule="auto"/>
              <w:rPr>
                <w:rFonts w:ascii="inherit" w:eastAsia="Times New Roman" w:hAnsi="inherit" w:cs="Helvetica"/>
              </w:rPr>
            </w:pPr>
            <w:r w:rsidRPr="00FE2625">
              <w:rPr>
                <w:rFonts w:ascii="inherit" w:eastAsia="Times New Roman" w:hAnsi="inherit" w:cs="Helvetica"/>
              </w:rPr>
              <w:t>70.9</w:t>
            </w:r>
          </w:p>
        </w:tc>
      </w:tr>
      <w:tr w:rsidR="002A0969" w:rsidRPr="000435A0" w:rsidTr="002A0969">
        <w:trPr>
          <w:trHeight w:val="270"/>
        </w:trPr>
        <w:tc>
          <w:tcPr>
            <w:tcW w:w="1023" w:type="dxa"/>
            <w:tcBorders>
              <w:top w:val="nil"/>
              <w:left w:val="nil"/>
              <w:bottom w:val="nil"/>
              <w:right w:val="nil"/>
            </w:tcBorders>
            <w:shd w:val="clear" w:color="auto" w:fill="EBF8FC"/>
            <w:tcMar>
              <w:top w:w="120" w:type="dxa"/>
              <w:left w:w="300" w:type="dxa"/>
              <w:bottom w:w="120" w:type="dxa"/>
              <w:right w:w="300" w:type="dxa"/>
            </w:tcMar>
            <w:vAlign w:val="bottom"/>
            <w:hideMark/>
          </w:tcPr>
          <w:p w:rsidR="00FE2625" w:rsidRPr="00FE2625" w:rsidRDefault="00FE2625" w:rsidP="00FE2625">
            <w:pPr>
              <w:spacing w:after="0" w:line="240" w:lineRule="auto"/>
              <w:rPr>
                <w:rFonts w:ascii="inherit" w:eastAsia="Times New Roman" w:hAnsi="inherit" w:cs="Helvetica"/>
              </w:rPr>
            </w:pPr>
            <w:r w:rsidRPr="00FE2625">
              <w:rPr>
                <w:rFonts w:ascii="inherit" w:eastAsia="Times New Roman" w:hAnsi="inherit" w:cs="Helvetica"/>
              </w:rPr>
              <w:t>17</w:t>
            </w:r>
          </w:p>
        </w:tc>
        <w:tc>
          <w:tcPr>
            <w:tcW w:w="1857" w:type="dxa"/>
            <w:tcBorders>
              <w:top w:val="nil"/>
              <w:left w:val="single" w:sz="6" w:space="0" w:color="EEEEEE"/>
              <w:bottom w:val="nil"/>
              <w:right w:val="single" w:sz="6" w:space="0" w:color="EEEEEE"/>
            </w:tcBorders>
            <w:shd w:val="clear" w:color="auto" w:fill="EBF8FC"/>
            <w:tcMar>
              <w:top w:w="120" w:type="dxa"/>
              <w:left w:w="300" w:type="dxa"/>
              <w:bottom w:w="120" w:type="dxa"/>
              <w:right w:w="300" w:type="dxa"/>
            </w:tcMar>
            <w:vAlign w:val="bottom"/>
            <w:hideMark/>
          </w:tcPr>
          <w:p w:rsidR="00FE2625" w:rsidRPr="00FE2625" w:rsidRDefault="00FE2625" w:rsidP="00FE2625">
            <w:pPr>
              <w:spacing w:after="0" w:line="240" w:lineRule="auto"/>
              <w:rPr>
                <w:rFonts w:ascii="inherit" w:eastAsia="Times New Roman" w:hAnsi="inherit" w:cs="Helvetica"/>
              </w:rPr>
            </w:pPr>
            <w:r w:rsidRPr="000435A0">
              <w:rPr>
                <w:rFonts w:ascii="inherit" w:eastAsia="Times New Roman" w:hAnsi="inherit" w:cs="Helvetica"/>
              </w:rPr>
              <w:t>Quản trị</w:t>
            </w:r>
          </w:p>
        </w:tc>
        <w:tc>
          <w:tcPr>
            <w:tcW w:w="5670" w:type="dxa"/>
            <w:tcBorders>
              <w:top w:val="nil"/>
              <w:left w:val="single" w:sz="6" w:space="0" w:color="EEEEEE"/>
              <w:bottom w:val="nil"/>
              <w:right w:val="single" w:sz="6" w:space="0" w:color="EEEEEE"/>
            </w:tcBorders>
            <w:shd w:val="clear" w:color="auto" w:fill="EBF8FC"/>
            <w:tcMar>
              <w:top w:w="120" w:type="dxa"/>
              <w:left w:w="300" w:type="dxa"/>
              <w:bottom w:w="120" w:type="dxa"/>
              <w:right w:w="300" w:type="dxa"/>
            </w:tcMar>
            <w:vAlign w:val="bottom"/>
            <w:hideMark/>
          </w:tcPr>
          <w:p w:rsidR="00FE2625" w:rsidRPr="00FE2625" w:rsidRDefault="002A0969" w:rsidP="00FE2625">
            <w:pPr>
              <w:spacing w:after="0" w:line="240" w:lineRule="auto"/>
              <w:rPr>
                <w:rFonts w:ascii="inherit" w:eastAsia="Times New Roman" w:hAnsi="inherit" w:cs="Helvetica"/>
              </w:rPr>
            </w:pPr>
            <w:r w:rsidRPr="000435A0">
              <w:rPr>
                <w:rFonts w:ascii="inherit" w:eastAsia="Times New Roman" w:hAnsi="inherit" w:cs="Helvetica"/>
              </w:rPr>
              <w:t>Các nguyên tắc Poseidon &amp; phân bổ Tài chính có trách nhiệm</w:t>
            </w:r>
          </w:p>
        </w:tc>
        <w:tc>
          <w:tcPr>
            <w:tcW w:w="1080" w:type="dxa"/>
            <w:tcBorders>
              <w:top w:val="nil"/>
              <w:left w:val="nil"/>
              <w:bottom w:val="nil"/>
              <w:right w:val="nil"/>
            </w:tcBorders>
            <w:shd w:val="clear" w:color="auto" w:fill="EBF8FC"/>
            <w:tcMar>
              <w:top w:w="120" w:type="dxa"/>
              <w:left w:w="300" w:type="dxa"/>
              <w:bottom w:w="120" w:type="dxa"/>
              <w:right w:w="300" w:type="dxa"/>
            </w:tcMar>
            <w:vAlign w:val="bottom"/>
            <w:hideMark/>
          </w:tcPr>
          <w:p w:rsidR="00FE2625" w:rsidRPr="00FE2625" w:rsidRDefault="00FE2625" w:rsidP="00FE2625">
            <w:pPr>
              <w:spacing w:after="0" w:line="240" w:lineRule="auto"/>
              <w:rPr>
                <w:rFonts w:ascii="inherit" w:eastAsia="Times New Roman" w:hAnsi="inherit" w:cs="Helvetica"/>
              </w:rPr>
            </w:pPr>
            <w:r w:rsidRPr="00FE2625">
              <w:rPr>
                <w:rFonts w:ascii="inherit" w:eastAsia="Times New Roman" w:hAnsi="inherit" w:cs="Helvetica"/>
              </w:rPr>
              <w:t>70.2</w:t>
            </w:r>
          </w:p>
        </w:tc>
      </w:tr>
      <w:tr w:rsidR="002A0969" w:rsidRPr="000435A0" w:rsidTr="002A0969">
        <w:trPr>
          <w:trHeight w:val="255"/>
        </w:trPr>
        <w:tc>
          <w:tcPr>
            <w:tcW w:w="1023" w:type="dxa"/>
            <w:tcBorders>
              <w:top w:val="nil"/>
              <w:left w:val="nil"/>
              <w:bottom w:val="nil"/>
              <w:right w:val="nil"/>
            </w:tcBorders>
            <w:shd w:val="clear" w:color="auto" w:fill="F4F5DF"/>
            <w:tcMar>
              <w:top w:w="120" w:type="dxa"/>
              <w:left w:w="300" w:type="dxa"/>
              <w:bottom w:w="120" w:type="dxa"/>
              <w:right w:w="300" w:type="dxa"/>
            </w:tcMar>
            <w:vAlign w:val="bottom"/>
            <w:hideMark/>
          </w:tcPr>
          <w:p w:rsidR="00FE2625" w:rsidRPr="00FE2625" w:rsidRDefault="00FE2625" w:rsidP="00FE2625">
            <w:pPr>
              <w:spacing w:after="0" w:line="240" w:lineRule="auto"/>
              <w:rPr>
                <w:rFonts w:ascii="inherit" w:eastAsia="Times New Roman" w:hAnsi="inherit" w:cs="Helvetica"/>
              </w:rPr>
            </w:pPr>
            <w:r w:rsidRPr="00FE2625">
              <w:rPr>
                <w:rFonts w:ascii="inherit" w:eastAsia="Times New Roman" w:hAnsi="inherit" w:cs="Helvetica"/>
              </w:rPr>
              <w:t>18</w:t>
            </w:r>
          </w:p>
        </w:tc>
        <w:tc>
          <w:tcPr>
            <w:tcW w:w="1857" w:type="dxa"/>
            <w:tcBorders>
              <w:top w:val="nil"/>
              <w:left w:val="single" w:sz="6" w:space="0" w:color="EEEEEE"/>
              <w:bottom w:val="nil"/>
              <w:right w:val="single" w:sz="6" w:space="0" w:color="EEEEEE"/>
            </w:tcBorders>
            <w:shd w:val="clear" w:color="auto" w:fill="F4F5DF"/>
            <w:tcMar>
              <w:top w:w="120" w:type="dxa"/>
              <w:left w:w="300" w:type="dxa"/>
              <w:bottom w:w="120" w:type="dxa"/>
              <w:right w:w="300" w:type="dxa"/>
            </w:tcMar>
            <w:vAlign w:val="bottom"/>
            <w:hideMark/>
          </w:tcPr>
          <w:p w:rsidR="00FE2625" w:rsidRPr="00FE2625" w:rsidRDefault="00FE2625" w:rsidP="00FE2625">
            <w:pPr>
              <w:spacing w:after="0" w:line="240" w:lineRule="auto"/>
              <w:rPr>
                <w:rFonts w:ascii="inherit" w:eastAsia="Times New Roman" w:hAnsi="inherit" w:cs="Helvetica"/>
              </w:rPr>
            </w:pPr>
            <w:r w:rsidRPr="000435A0">
              <w:rPr>
                <w:rFonts w:ascii="inherit" w:eastAsia="Times New Roman" w:hAnsi="inherit" w:cs="Helvetica"/>
              </w:rPr>
              <w:t>Môi trường</w:t>
            </w:r>
          </w:p>
        </w:tc>
        <w:tc>
          <w:tcPr>
            <w:tcW w:w="5670" w:type="dxa"/>
            <w:tcBorders>
              <w:top w:val="nil"/>
              <w:left w:val="single" w:sz="6" w:space="0" w:color="EEEEEE"/>
              <w:bottom w:val="nil"/>
              <w:right w:val="single" w:sz="6" w:space="0" w:color="EEEEEE"/>
            </w:tcBorders>
            <w:shd w:val="clear" w:color="auto" w:fill="F4F5DF"/>
            <w:tcMar>
              <w:top w:w="120" w:type="dxa"/>
              <w:left w:w="300" w:type="dxa"/>
              <w:bottom w:w="120" w:type="dxa"/>
              <w:right w:w="300" w:type="dxa"/>
            </w:tcMar>
            <w:vAlign w:val="bottom"/>
            <w:hideMark/>
          </w:tcPr>
          <w:p w:rsidR="00FE2625" w:rsidRPr="00FE2625" w:rsidRDefault="002A0969" w:rsidP="00FE2625">
            <w:pPr>
              <w:spacing w:after="0" w:line="240" w:lineRule="auto"/>
              <w:rPr>
                <w:rFonts w:ascii="inherit" w:eastAsia="Times New Roman" w:hAnsi="inherit" w:cs="Helvetica"/>
              </w:rPr>
            </w:pPr>
            <w:r w:rsidRPr="000435A0">
              <w:rPr>
                <w:rFonts w:ascii="inherit" w:eastAsia="Times New Roman" w:hAnsi="inherit" w:cs="Helvetica"/>
              </w:rPr>
              <w:t>Tái chế tàu có trách nhiệm</w:t>
            </w:r>
          </w:p>
        </w:tc>
        <w:tc>
          <w:tcPr>
            <w:tcW w:w="1080" w:type="dxa"/>
            <w:tcBorders>
              <w:top w:val="nil"/>
              <w:left w:val="nil"/>
              <w:bottom w:val="nil"/>
              <w:right w:val="nil"/>
            </w:tcBorders>
            <w:shd w:val="clear" w:color="auto" w:fill="F4F5DF"/>
            <w:tcMar>
              <w:top w:w="120" w:type="dxa"/>
              <w:left w:w="300" w:type="dxa"/>
              <w:bottom w:w="120" w:type="dxa"/>
              <w:right w:w="300" w:type="dxa"/>
            </w:tcMar>
            <w:vAlign w:val="bottom"/>
            <w:hideMark/>
          </w:tcPr>
          <w:p w:rsidR="00FE2625" w:rsidRPr="00FE2625" w:rsidRDefault="00FE2625" w:rsidP="00FE2625">
            <w:pPr>
              <w:spacing w:after="0" w:line="240" w:lineRule="auto"/>
              <w:rPr>
                <w:rFonts w:ascii="inherit" w:eastAsia="Times New Roman" w:hAnsi="inherit" w:cs="Helvetica"/>
              </w:rPr>
            </w:pPr>
            <w:r w:rsidRPr="00FE2625">
              <w:rPr>
                <w:rFonts w:ascii="inherit" w:eastAsia="Times New Roman" w:hAnsi="inherit" w:cs="Helvetica"/>
              </w:rPr>
              <w:t>69.4</w:t>
            </w:r>
          </w:p>
        </w:tc>
      </w:tr>
      <w:tr w:rsidR="002A0969" w:rsidRPr="000435A0" w:rsidTr="002A0969">
        <w:trPr>
          <w:trHeight w:val="255"/>
        </w:trPr>
        <w:tc>
          <w:tcPr>
            <w:tcW w:w="1023" w:type="dxa"/>
            <w:tcBorders>
              <w:top w:val="nil"/>
              <w:left w:val="nil"/>
              <w:bottom w:val="nil"/>
              <w:right w:val="nil"/>
            </w:tcBorders>
            <w:shd w:val="clear" w:color="auto" w:fill="F4F5DF"/>
            <w:tcMar>
              <w:top w:w="120" w:type="dxa"/>
              <w:left w:w="300" w:type="dxa"/>
              <w:bottom w:w="120" w:type="dxa"/>
              <w:right w:w="300" w:type="dxa"/>
            </w:tcMar>
            <w:vAlign w:val="bottom"/>
            <w:hideMark/>
          </w:tcPr>
          <w:p w:rsidR="00FE2625" w:rsidRPr="00FE2625" w:rsidRDefault="00FE2625" w:rsidP="00FE2625">
            <w:pPr>
              <w:spacing w:after="0" w:line="240" w:lineRule="auto"/>
              <w:rPr>
                <w:rFonts w:ascii="inherit" w:eastAsia="Times New Roman" w:hAnsi="inherit" w:cs="Helvetica"/>
              </w:rPr>
            </w:pPr>
            <w:r w:rsidRPr="00FE2625">
              <w:rPr>
                <w:rFonts w:ascii="inherit" w:eastAsia="Times New Roman" w:hAnsi="inherit" w:cs="Helvetica"/>
              </w:rPr>
              <w:t>19</w:t>
            </w:r>
          </w:p>
        </w:tc>
        <w:tc>
          <w:tcPr>
            <w:tcW w:w="1857" w:type="dxa"/>
            <w:tcBorders>
              <w:top w:val="nil"/>
              <w:left w:val="single" w:sz="6" w:space="0" w:color="EEEEEE"/>
              <w:bottom w:val="nil"/>
              <w:right w:val="single" w:sz="6" w:space="0" w:color="EEEEEE"/>
            </w:tcBorders>
            <w:shd w:val="clear" w:color="auto" w:fill="F4F5DF"/>
            <w:tcMar>
              <w:top w:w="120" w:type="dxa"/>
              <w:left w:w="300" w:type="dxa"/>
              <w:bottom w:w="120" w:type="dxa"/>
              <w:right w:w="300" w:type="dxa"/>
            </w:tcMar>
            <w:vAlign w:val="bottom"/>
            <w:hideMark/>
          </w:tcPr>
          <w:p w:rsidR="00FE2625" w:rsidRPr="00FE2625" w:rsidRDefault="00FE2625" w:rsidP="00FE2625">
            <w:pPr>
              <w:spacing w:after="0" w:line="240" w:lineRule="auto"/>
              <w:rPr>
                <w:rFonts w:ascii="inherit" w:eastAsia="Times New Roman" w:hAnsi="inherit" w:cs="Helvetica"/>
              </w:rPr>
            </w:pPr>
            <w:r w:rsidRPr="000435A0">
              <w:rPr>
                <w:rFonts w:ascii="inherit" w:eastAsia="Times New Roman" w:hAnsi="inherit" w:cs="Helvetica"/>
              </w:rPr>
              <w:t>Môi trường</w:t>
            </w:r>
          </w:p>
        </w:tc>
        <w:tc>
          <w:tcPr>
            <w:tcW w:w="5670" w:type="dxa"/>
            <w:tcBorders>
              <w:top w:val="nil"/>
              <w:left w:val="single" w:sz="6" w:space="0" w:color="EEEEEE"/>
              <w:bottom w:val="nil"/>
              <w:right w:val="single" w:sz="6" w:space="0" w:color="EEEEEE"/>
            </w:tcBorders>
            <w:shd w:val="clear" w:color="auto" w:fill="F4F5DF"/>
            <w:tcMar>
              <w:top w:w="120" w:type="dxa"/>
              <w:left w:w="300" w:type="dxa"/>
              <w:bottom w:w="120" w:type="dxa"/>
              <w:right w:w="300" w:type="dxa"/>
            </w:tcMar>
            <w:vAlign w:val="bottom"/>
            <w:hideMark/>
          </w:tcPr>
          <w:p w:rsidR="00FE2625" w:rsidRPr="00FE2625" w:rsidRDefault="002A0969" w:rsidP="00FE2625">
            <w:pPr>
              <w:spacing w:after="0" w:line="240" w:lineRule="auto"/>
              <w:rPr>
                <w:rFonts w:ascii="inherit" w:eastAsia="Times New Roman" w:hAnsi="inherit" w:cs="Helvetica"/>
              </w:rPr>
            </w:pPr>
            <w:r w:rsidRPr="000435A0">
              <w:rPr>
                <w:rFonts w:ascii="inherit" w:eastAsia="Times New Roman" w:hAnsi="inherit" w:cs="Helvetica"/>
              </w:rPr>
              <w:t>Tái chế tàu có trách nhiệm</w:t>
            </w:r>
          </w:p>
        </w:tc>
        <w:tc>
          <w:tcPr>
            <w:tcW w:w="1080" w:type="dxa"/>
            <w:tcBorders>
              <w:top w:val="nil"/>
              <w:left w:val="nil"/>
              <w:bottom w:val="nil"/>
              <w:right w:val="nil"/>
            </w:tcBorders>
            <w:shd w:val="clear" w:color="auto" w:fill="F4F5DF"/>
            <w:tcMar>
              <w:top w:w="120" w:type="dxa"/>
              <w:left w:w="300" w:type="dxa"/>
              <w:bottom w:w="120" w:type="dxa"/>
              <w:right w:w="300" w:type="dxa"/>
            </w:tcMar>
            <w:vAlign w:val="bottom"/>
            <w:hideMark/>
          </w:tcPr>
          <w:p w:rsidR="00FE2625" w:rsidRPr="00FE2625" w:rsidRDefault="00FE2625" w:rsidP="00FE2625">
            <w:pPr>
              <w:spacing w:after="0" w:line="240" w:lineRule="auto"/>
              <w:rPr>
                <w:rFonts w:ascii="inherit" w:eastAsia="Times New Roman" w:hAnsi="inherit" w:cs="Helvetica"/>
              </w:rPr>
            </w:pPr>
            <w:r w:rsidRPr="00FE2625">
              <w:rPr>
                <w:rFonts w:ascii="inherit" w:eastAsia="Times New Roman" w:hAnsi="inherit" w:cs="Helvetica"/>
              </w:rPr>
              <w:t>66.8</w:t>
            </w:r>
          </w:p>
        </w:tc>
      </w:tr>
      <w:tr w:rsidR="002A0969" w:rsidRPr="000435A0" w:rsidTr="002A0969">
        <w:trPr>
          <w:trHeight w:val="270"/>
        </w:trPr>
        <w:tc>
          <w:tcPr>
            <w:tcW w:w="1023" w:type="dxa"/>
            <w:tcBorders>
              <w:top w:val="nil"/>
              <w:left w:val="nil"/>
              <w:bottom w:val="nil"/>
              <w:right w:val="nil"/>
            </w:tcBorders>
            <w:shd w:val="clear" w:color="auto" w:fill="F3F3F3"/>
            <w:tcMar>
              <w:top w:w="120" w:type="dxa"/>
              <w:left w:w="300" w:type="dxa"/>
              <w:bottom w:w="120" w:type="dxa"/>
              <w:right w:w="300" w:type="dxa"/>
            </w:tcMar>
            <w:vAlign w:val="bottom"/>
            <w:hideMark/>
          </w:tcPr>
          <w:p w:rsidR="00FE2625" w:rsidRPr="00FE2625" w:rsidRDefault="00FE2625" w:rsidP="00FE2625">
            <w:pPr>
              <w:spacing w:after="0" w:line="240" w:lineRule="auto"/>
              <w:rPr>
                <w:rFonts w:ascii="inherit" w:eastAsia="Times New Roman" w:hAnsi="inherit" w:cs="Helvetica"/>
              </w:rPr>
            </w:pPr>
            <w:r w:rsidRPr="00FE2625">
              <w:rPr>
                <w:rFonts w:ascii="inherit" w:eastAsia="Times New Roman" w:hAnsi="inherit" w:cs="Helvetica"/>
              </w:rPr>
              <w:t>20</w:t>
            </w:r>
          </w:p>
        </w:tc>
        <w:tc>
          <w:tcPr>
            <w:tcW w:w="1857" w:type="dxa"/>
            <w:tcBorders>
              <w:top w:val="nil"/>
              <w:left w:val="single" w:sz="6" w:space="0" w:color="EEEEEE"/>
              <w:bottom w:val="nil"/>
              <w:right w:val="single" w:sz="6" w:space="0" w:color="EEEEEE"/>
            </w:tcBorders>
            <w:shd w:val="clear" w:color="auto" w:fill="F3F3F3"/>
            <w:tcMar>
              <w:top w:w="120" w:type="dxa"/>
              <w:left w:w="300" w:type="dxa"/>
              <w:bottom w:w="120" w:type="dxa"/>
              <w:right w:w="300" w:type="dxa"/>
            </w:tcMar>
            <w:vAlign w:val="bottom"/>
            <w:hideMark/>
          </w:tcPr>
          <w:p w:rsidR="00FE2625" w:rsidRPr="00FE2625" w:rsidRDefault="00FE2625" w:rsidP="00FE2625">
            <w:pPr>
              <w:spacing w:after="0" w:line="240" w:lineRule="auto"/>
              <w:rPr>
                <w:rFonts w:ascii="inherit" w:eastAsia="Times New Roman" w:hAnsi="inherit" w:cs="Helvetica"/>
              </w:rPr>
            </w:pPr>
            <w:r w:rsidRPr="000435A0">
              <w:rPr>
                <w:rFonts w:ascii="inherit" w:eastAsia="Times New Roman" w:hAnsi="inherit" w:cs="Helvetica"/>
              </w:rPr>
              <w:t>Khác</w:t>
            </w:r>
          </w:p>
        </w:tc>
        <w:tc>
          <w:tcPr>
            <w:tcW w:w="5670" w:type="dxa"/>
            <w:tcBorders>
              <w:top w:val="nil"/>
              <w:left w:val="single" w:sz="6" w:space="0" w:color="EEEEEE"/>
              <w:bottom w:val="nil"/>
              <w:right w:val="single" w:sz="6" w:space="0" w:color="EEEEEE"/>
            </w:tcBorders>
            <w:shd w:val="clear" w:color="auto" w:fill="F3F3F3"/>
            <w:tcMar>
              <w:top w:w="120" w:type="dxa"/>
              <w:left w:w="300" w:type="dxa"/>
              <w:bottom w:w="120" w:type="dxa"/>
              <w:right w:w="300" w:type="dxa"/>
            </w:tcMar>
            <w:vAlign w:val="bottom"/>
            <w:hideMark/>
          </w:tcPr>
          <w:p w:rsidR="00FE2625" w:rsidRPr="00FE2625" w:rsidRDefault="002A0969" w:rsidP="00FE2625">
            <w:pPr>
              <w:spacing w:after="0" w:line="240" w:lineRule="auto"/>
              <w:rPr>
                <w:rFonts w:ascii="inherit" w:eastAsia="Times New Roman" w:hAnsi="inherit" w:cs="Helvetica"/>
              </w:rPr>
            </w:pPr>
            <w:r w:rsidRPr="000435A0">
              <w:rPr>
                <w:rFonts w:ascii="inherit" w:eastAsia="Times New Roman" w:hAnsi="inherit" w:cs="Helvetica"/>
              </w:rPr>
              <w:t>Gián đoạn kinh doanh</w:t>
            </w:r>
          </w:p>
        </w:tc>
        <w:tc>
          <w:tcPr>
            <w:tcW w:w="1080" w:type="dxa"/>
            <w:tcBorders>
              <w:top w:val="nil"/>
              <w:left w:val="nil"/>
              <w:bottom w:val="nil"/>
              <w:right w:val="nil"/>
            </w:tcBorders>
            <w:shd w:val="clear" w:color="auto" w:fill="F3F3F3"/>
            <w:tcMar>
              <w:top w:w="120" w:type="dxa"/>
              <w:left w:w="300" w:type="dxa"/>
              <w:bottom w:w="120" w:type="dxa"/>
              <w:right w:w="300" w:type="dxa"/>
            </w:tcMar>
            <w:vAlign w:val="bottom"/>
            <w:hideMark/>
          </w:tcPr>
          <w:p w:rsidR="00FE2625" w:rsidRPr="00FE2625" w:rsidRDefault="00FE2625" w:rsidP="00FE2625">
            <w:pPr>
              <w:spacing w:after="0" w:line="240" w:lineRule="auto"/>
              <w:rPr>
                <w:rFonts w:ascii="inherit" w:eastAsia="Times New Roman" w:hAnsi="inherit" w:cs="Helvetica"/>
              </w:rPr>
            </w:pPr>
            <w:r w:rsidRPr="00FE2625">
              <w:rPr>
                <w:rFonts w:ascii="inherit" w:eastAsia="Times New Roman" w:hAnsi="inherit" w:cs="Helvetica"/>
              </w:rPr>
              <w:t>66.4</w:t>
            </w:r>
          </w:p>
        </w:tc>
      </w:tr>
      <w:tr w:rsidR="002A0969" w:rsidRPr="000435A0" w:rsidTr="002A0969">
        <w:trPr>
          <w:trHeight w:val="255"/>
        </w:trPr>
        <w:tc>
          <w:tcPr>
            <w:tcW w:w="1023" w:type="dxa"/>
            <w:tcBorders>
              <w:top w:val="nil"/>
              <w:left w:val="nil"/>
              <w:bottom w:val="nil"/>
              <w:right w:val="nil"/>
            </w:tcBorders>
            <w:shd w:val="clear" w:color="auto" w:fill="D3E8F2"/>
            <w:tcMar>
              <w:top w:w="120" w:type="dxa"/>
              <w:left w:w="300" w:type="dxa"/>
              <w:bottom w:w="120" w:type="dxa"/>
              <w:right w:w="300" w:type="dxa"/>
            </w:tcMar>
            <w:vAlign w:val="bottom"/>
            <w:hideMark/>
          </w:tcPr>
          <w:p w:rsidR="00FE2625" w:rsidRPr="00FE2625" w:rsidRDefault="00FE2625" w:rsidP="00FE2625">
            <w:pPr>
              <w:spacing w:after="0" w:line="240" w:lineRule="auto"/>
              <w:rPr>
                <w:rFonts w:ascii="inherit" w:eastAsia="Times New Roman" w:hAnsi="inherit" w:cs="Helvetica"/>
              </w:rPr>
            </w:pPr>
            <w:r w:rsidRPr="00FE2625">
              <w:rPr>
                <w:rFonts w:ascii="inherit" w:eastAsia="Times New Roman" w:hAnsi="inherit" w:cs="Helvetica"/>
              </w:rPr>
              <w:t>21</w:t>
            </w:r>
          </w:p>
        </w:tc>
        <w:tc>
          <w:tcPr>
            <w:tcW w:w="1857" w:type="dxa"/>
            <w:tcBorders>
              <w:top w:val="nil"/>
              <w:left w:val="single" w:sz="6" w:space="0" w:color="EEEEEE"/>
              <w:bottom w:val="nil"/>
              <w:right w:val="single" w:sz="6" w:space="0" w:color="EEEEEE"/>
            </w:tcBorders>
            <w:shd w:val="clear" w:color="auto" w:fill="D3E8F2"/>
            <w:tcMar>
              <w:top w:w="120" w:type="dxa"/>
              <w:left w:w="300" w:type="dxa"/>
              <w:bottom w:w="120" w:type="dxa"/>
              <w:right w:w="300" w:type="dxa"/>
            </w:tcMar>
            <w:vAlign w:val="bottom"/>
            <w:hideMark/>
          </w:tcPr>
          <w:p w:rsidR="00FE2625" w:rsidRPr="00FE2625" w:rsidRDefault="00FE2625" w:rsidP="00FE2625">
            <w:pPr>
              <w:spacing w:after="0" w:line="240" w:lineRule="auto"/>
              <w:rPr>
                <w:rFonts w:ascii="inherit" w:eastAsia="Times New Roman" w:hAnsi="inherit" w:cs="Helvetica"/>
              </w:rPr>
            </w:pPr>
            <w:r w:rsidRPr="000435A0">
              <w:rPr>
                <w:rFonts w:ascii="inherit" w:eastAsia="Times New Roman" w:hAnsi="inherit" w:cs="Helvetica"/>
              </w:rPr>
              <w:t>Xã hội</w:t>
            </w:r>
          </w:p>
        </w:tc>
        <w:tc>
          <w:tcPr>
            <w:tcW w:w="5670" w:type="dxa"/>
            <w:tcBorders>
              <w:top w:val="nil"/>
              <w:left w:val="single" w:sz="6" w:space="0" w:color="EEEEEE"/>
              <w:bottom w:val="nil"/>
              <w:right w:val="single" w:sz="6" w:space="0" w:color="EEEEEE"/>
            </w:tcBorders>
            <w:shd w:val="clear" w:color="auto" w:fill="D3E8F2"/>
            <w:tcMar>
              <w:top w:w="120" w:type="dxa"/>
              <w:left w:w="300" w:type="dxa"/>
              <w:bottom w:w="120" w:type="dxa"/>
              <w:right w:w="300" w:type="dxa"/>
            </w:tcMar>
            <w:vAlign w:val="bottom"/>
            <w:hideMark/>
          </w:tcPr>
          <w:p w:rsidR="00FE2625" w:rsidRPr="00FE2625" w:rsidRDefault="002A0969" w:rsidP="00FE2625">
            <w:pPr>
              <w:spacing w:after="0" w:line="240" w:lineRule="auto"/>
              <w:rPr>
                <w:rFonts w:ascii="inherit" w:eastAsia="Times New Roman" w:hAnsi="inherit" w:cs="Helvetica"/>
              </w:rPr>
            </w:pPr>
            <w:r w:rsidRPr="000435A0">
              <w:rPr>
                <w:rFonts w:ascii="inherit" w:eastAsia="Times New Roman" w:hAnsi="inherit" w:cs="Helvetica"/>
              </w:rPr>
              <w:t>Hỗ trợ cộng đồng địa phương</w:t>
            </w:r>
          </w:p>
        </w:tc>
        <w:tc>
          <w:tcPr>
            <w:tcW w:w="1080" w:type="dxa"/>
            <w:tcBorders>
              <w:top w:val="nil"/>
              <w:left w:val="nil"/>
              <w:bottom w:val="nil"/>
              <w:right w:val="nil"/>
            </w:tcBorders>
            <w:shd w:val="clear" w:color="auto" w:fill="D3E8F2"/>
            <w:tcMar>
              <w:top w:w="120" w:type="dxa"/>
              <w:left w:w="300" w:type="dxa"/>
              <w:bottom w:w="120" w:type="dxa"/>
              <w:right w:w="300" w:type="dxa"/>
            </w:tcMar>
            <w:vAlign w:val="bottom"/>
            <w:hideMark/>
          </w:tcPr>
          <w:p w:rsidR="00FE2625" w:rsidRPr="00FE2625" w:rsidRDefault="00FE2625" w:rsidP="00FE2625">
            <w:pPr>
              <w:spacing w:after="0" w:line="240" w:lineRule="auto"/>
              <w:rPr>
                <w:rFonts w:ascii="inherit" w:eastAsia="Times New Roman" w:hAnsi="inherit" w:cs="Helvetica"/>
              </w:rPr>
            </w:pPr>
            <w:r w:rsidRPr="00FE2625">
              <w:rPr>
                <w:rFonts w:ascii="inherit" w:eastAsia="Times New Roman" w:hAnsi="inherit" w:cs="Helvetica"/>
              </w:rPr>
              <w:t>63.8</w:t>
            </w:r>
          </w:p>
        </w:tc>
      </w:tr>
    </w:tbl>
    <w:p w:rsidR="002A0969" w:rsidRPr="002A0969" w:rsidRDefault="000435A0" w:rsidP="002A0969">
      <w:pPr>
        <w:shd w:val="clear" w:color="auto" w:fill="FFFFFF"/>
        <w:spacing w:before="120" w:after="120" w:line="240" w:lineRule="auto"/>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K</w:t>
      </w:r>
      <w:r w:rsidR="002A0969" w:rsidRPr="002A0969">
        <w:rPr>
          <w:rFonts w:ascii="Times New Roman" w:eastAsia="Times New Roman" w:hAnsi="Times New Roman" w:cs="Times New Roman"/>
          <w:sz w:val="26"/>
          <w:szCs w:val="26"/>
        </w:rPr>
        <w:t xml:space="preserve">ết quả khảo sát cho thấy ngành hàng hải hiện đang </w:t>
      </w:r>
      <w:r>
        <w:rPr>
          <w:rFonts w:ascii="Times New Roman" w:eastAsia="Times New Roman" w:hAnsi="Times New Roman" w:cs="Times New Roman"/>
          <w:sz w:val="26"/>
          <w:szCs w:val="26"/>
        </w:rPr>
        <w:t>tập trung vào</w:t>
      </w:r>
      <w:r w:rsidR="002A0969" w:rsidRPr="002A0969">
        <w:rPr>
          <w:rFonts w:ascii="Times New Roman" w:eastAsia="Times New Roman" w:hAnsi="Times New Roman" w:cs="Times New Roman"/>
          <w:sz w:val="26"/>
          <w:szCs w:val="26"/>
        </w:rPr>
        <w:t xml:space="preserve"> các chủ đề xã hội và quản trị quan trọng, nâng cao nhận thức về các vấn đề như Kỹ năng &amp; Đào tạo của Nhân viên/Thuyền viên, Phúc lợi của Nhân viên/Thuyền viên, Sức khỏe và </w:t>
      </w:r>
      <w:proofErr w:type="gramStart"/>
      <w:r w:rsidR="002A0969" w:rsidRPr="002A0969">
        <w:rPr>
          <w:rFonts w:ascii="Times New Roman" w:eastAsia="Times New Roman" w:hAnsi="Times New Roman" w:cs="Times New Roman"/>
          <w:sz w:val="26"/>
          <w:szCs w:val="26"/>
        </w:rPr>
        <w:t>An</w:t>
      </w:r>
      <w:proofErr w:type="gramEnd"/>
      <w:r w:rsidR="002A0969" w:rsidRPr="002A0969">
        <w:rPr>
          <w:rFonts w:ascii="Times New Roman" w:eastAsia="Times New Roman" w:hAnsi="Times New Roman" w:cs="Times New Roman"/>
          <w:sz w:val="26"/>
          <w:szCs w:val="26"/>
        </w:rPr>
        <w:t xml:space="preserve"> toàn Nghề nghiệp, Chống tham nhũng &amp; Hành vi đạo đức trên mặt trận xã hội.</w:t>
      </w:r>
    </w:p>
    <w:p w:rsidR="002A0969" w:rsidRPr="002A0969" w:rsidRDefault="002A0969" w:rsidP="002A0969">
      <w:pPr>
        <w:shd w:val="clear" w:color="auto" w:fill="FFFFFF"/>
        <w:spacing w:before="120" w:after="120" w:line="240" w:lineRule="auto"/>
        <w:jc w:val="both"/>
        <w:textAlignment w:val="baseline"/>
        <w:rPr>
          <w:rFonts w:ascii="Times New Roman" w:eastAsia="Times New Roman" w:hAnsi="Times New Roman" w:cs="Times New Roman"/>
          <w:sz w:val="26"/>
          <w:szCs w:val="26"/>
        </w:rPr>
      </w:pPr>
      <w:r w:rsidRPr="002A0969">
        <w:rPr>
          <w:rFonts w:ascii="Times New Roman" w:eastAsia="Times New Roman" w:hAnsi="Times New Roman" w:cs="Times New Roman"/>
          <w:sz w:val="26"/>
          <w:szCs w:val="26"/>
        </w:rPr>
        <w:t xml:space="preserve">Về mặt quản trị, ngày càng tập trung vào Sự tham gia của các bên liên quan Nội bộ &amp; Bên ngoài, Khả năng </w:t>
      </w:r>
      <w:r w:rsidR="00D5206A">
        <w:rPr>
          <w:rFonts w:ascii="Times New Roman" w:eastAsia="Times New Roman" w:hAnsi="Times New Roman" w:cs="Times New Roman"/>
          <w:sz w:val="26"/>
          <w:szCs w:val="26"/>
        </w:rPr>
        <w:t>chống chọi của</w:t>
      </w:r>
      <w:r w:rsidRPr="002A0969">
        <w:rPr>
          <w:rFonts w:ascii="Times New Roman" w:eastAsia="Times New Roman" w:hAnsi="Times New Roman" w:cs="Times New Roman"/>
          <w:sz w:val="26"/>
          <w:szCs w:val="26"/>
        </w:rPr>
        <w:t xml:space="preserve"> mạng và Báo cáo ESG. Nhìn chung, có cách tiếp cận toàn diện đối với các cân nhắc về </w:t>
      </w:r>
      <w:r w:rsidR="00D5206A">
        <w:rPr>
          <w:rFonts w:ascii="Times New Roman" w:eastAsia="Times New Roman" w:hAnsi="Times New Roman" w:cs="Times New Roman"/>
          <w:sz w:val="26"/>
          <w:szCs w:val="26"/>
        </w:rPr>
        <w:t>Môi trường, Xã hội và Quản trị</w:t>
      </w:r>
      <w:r w:rsidRPr="002A0969">
        <w:rPr>
          <w:rFonts w:ascii="Times New Roman" w:eastAsia="Times New Roman" w:hAnsi="Times New Roman" w:cs="Times New Roman"/>
          <w:sz w:val="26"/>
          <w:szCs w:val="26"/>
        </w:rPr>
        <w:t xml:space="preserve"> trong ngành hàng hải, với các ưu tiên riêng biệt nổi lên trên ba trụ cột.</w:t>
      </w:r>
    </w:p>
    <w:p w:rsidR="002A0969" w:rsidRPr="000435A0" w:rsidRDefault="002A0969" w:rsidP="002A0969">
      <w:pPr>
        <w:shd w:val="clear" w:color="auto" w:fill="FFFFFF"/>
        <w:spacing w:before="120" w:after="120" w:line="240" w:lineRule="auto"/>
        <w:jc w:val="both"/>
        <w:textAlignment w:val="baseline"/>
        <w:rPr>
          <w:rFonts w:ascii="Times New Roman" w:eastAsia="Times New Roman" w:hAnsi="Times New Roman" w:cs="Times New Roman"/>
          <w:b/>
          <w:sz w:val="26"/>
          <w:szCs w:val="26"/>
        </w:rPr>
      </w:pPr>
      <w:r w:rsidRPr="000435A0">
        <w:rPr>
          <w:rFonts w:ascii="Times New Roman" w:eastAsia="Times New Roman" w:hAnsi="Times New Roman" w:cs="Times New Roman"/>
          <w:b/>
          <w:sz w:val="26"/>
          <w:szCs w:val="26"/>
        </w:rPr>
        <w:t>Những phát hiện chính của khảo sát</w:t>
      </w:r>
    </w:p>
    <w:p w:rsidR="002A0969" w:rsidRPr="00D5206A" w:rsidRDefault="002A0969" w:rsidP="002A0969">
      <w:pPr>
        <w:shd w:val="clear" w:color="auto" w:fill="FFFFFF"/>
        <w:spacing w:before="120" w:after="120" w:line="240" w:lineRule="auto"/>
        <w:jc w:val="both"/>
        <w:textAlignment w:val="baseline"/>
        <w:rPr>
          <w:rFonts w:ascii="Times New Roman" w:eastAsia="Times New Roman" w:hAnsi="Times New Roman" w:cs="Times New Roman"/>
          <w:color w:val="4472C4" w:themeColor="accent1"/>
          <w:sz w:val="26"/>
          <w:szCs w:val="26"/>
        </w:rPr>
      </w:pPr>
      <w:r w:rsidRPr="00D5206A">
        <w:rPr>
          <w:rFonts w:ascii="Times New Roman" w:eastAsia="Times New Roman" w:hAnsi="Times New Roman" w:cs="Times New Roman"/>
          <w:color w:val="4472C4" w:themeColor="accent1"/>
          <w:sz w:val="26"/>
          <w:szCs w:val="26"/>
        </w:rPr>
        <w:t xml:space="preserve">Năm ưu tiên hàng đầu trong chương trình nghị sự ESG của ngành là: Kỹ năng &amp; Đào tạo của Nhân viên/Thuyền viên (84,9%); Chương trình giao dịch khí thải (84,9%); </w:t>
      </w:r>
      <w:r w:rsidR="00D5206A" w:rsidRPr="00D5206A">
        <w:rPr>
          <w:rFonts w:ascii="Times New Roman" w:eastAsia="Times New Roman" w:hAnsi="Times New Roman" w:cs="Times New Roman"/>
          <w:color w:val="4472C4" w:themeColor="accent1"/>
          <w:sz w:val="26"/>
          <w:szCs w:val="26"/>
        </w:rPr>
        <w:t>Các xung đột địa chính trị t</w:t>
      </w:r>
      <w:r w:rsidRPr="00D5206A">
        <w:rPr>
          <w:rFonts w:ascii="Times New Roman" w:eastAsia="Times New Roman" w:hAnsi="Times New Roman" w:cs="Times New Roman"/>
          <w:color w:val="4472C4" w:themeColor="accent1"/>
          <w:sz w:val="26"/>
          <w:szCs w:val="26"/>
        </w:rPr>
        <w:t xml:space="preserve">ác động đến Chuỗi cung ứng (84,5%); Gói </w:t>
      </w:r>
      <w:r w:rsidR="00D5206A" w:rsidRPr="00D5206A">
        <w:rPr>
          <w:rFonts w:ascii="Times New Roman" w:eastAsia="Times New Roman" w:hAnsi="Times New Roman" w:cs="Times New Roman"/>
          <w:color w:val="4472C4" w:themeColor="accent1"/>
          <w:sz w:val="26"/>
          <w:szCs w:val="26"/>
        </w:rPr>
        <w:t>giảm phát</w:t>
      </w:r>
      <w:r w:rsidRPr="00D5206A">
        <w:rPr>
          <w:rFonts w:ascii="Times New Roman" w:eastAsia="Times New Roman" w:hAnsi="Times New Roman" w:cs="Times New Roman"/>
          <w:color w:val="4472C4" w:themeColor="accent1"/>
          <w:sz w:val="26"/>
          <w:szCs w:val="26"/>
        </w:rPr>
        <w:t xml:space="preserve"> thải </w:t>
      </w:r>
      <w:r w:rsidR="00D5206A" w:rsidRPr="00D5206A">
        <w:rPr>
          <w:rFonts w:ascii="Times New Roman" w:eastAsia="Times New Roman" w:hAnsi="Times New Roman" w:cs="Times New Roman"/>
          <w:color w:val="4472C4" w:themeColor="accent1"/>
          <w:sz w:val="26"/>
          <w:szCs w:val="26"/>
        </w:rPr>
        <w:t xml:space="preserve">của </w:t>
      </w:r>
      <w:r w:rsidRPr="00D5206A">
        <w:rPr>
          <w:rFonts w:ascii="Times New Roman" w:eastAsia="Times New Roman" w:hAnsi="Times New Roman" w:cs="Times New Roman"/>
          <w:color w:val="4472C4" w:themeColor="accent1"/>
          <w:sz w:val="26"/>
          <w:szCs w:val="26"/>
        </w:rPr>
        <w:t>IMO, CII, EEXI (82,6%) và; Phúc lợi của Nhân viên/Thuyền viên (80,4%).</w:t>
      </w:r>
    </w:p>
    <w:p w:rsidR="002A0969" w:rsidRPr="002A0969" w:rsidRDefault="002A0969" w:rsidP="002A0969">
      <w:pPr>
        <w:shd w:val="clear" w:color="auto" w:fill="FFFFFF"/>
        <w:spacing w:before="120" w:after="120" w:line="240" w:lineRule="auto"/>
        <w:jc w:val="both"/>
        <w:textAlignment w:val="baseline"/>
        <w:rPr>
          <w:rFonts w:ascii="Times New Roman" w:eastAsia="Times New Roman" w:hAnsi="Times New Roman" w:cs="Times New Roman"/>
          <w:sz w:val="26"/>
          <w:szCs w:val="26"/>
        </w:rPr>
      </w:pPr>
      <w:r w:rsidRPr="002A0969">
        <w:rPr>
          <w:rFonts w:ascii="Times New Roman" w:eastAsia="Times New Roman" w:hAnsi="Times New Roman" w:cs="Times New Roman"/>
          <w:sz w:val="26"/>
          <w:szCs w:val="26"/>
        </w:rPr>
        <w:t>Theo khảo sát</w:t>
      </w:r>
      <w:r w:rsidR="00D5206A">
        <w:rPr>
          <w:rFonts w:ascii="Times New Roman" w:eastAsia="Times New Roman" w:hAnsi="Times New Roman" w:cs="Times New Roman"/>
          <w:sz w:val="26"/>
          <w:szCs w:val="26"/>
        </w:rPr>
        <w:t xml:space="preserve"> này</w:t>
      </w:r>
      <w:r w:rsidRPr="002A0969">
        <w:rPr>
          <w:rFonts w:ascii="Times New Roman" w:eastAsia="Times New Roman" w:hAnsi="Times New Roman" w:cs="Times New Roman"/>
          <w:sz w:val="26"/>
          <w:szCs w:val="26"/>
        </w:rPr>
        <w:t>:</w:t>
      </w:r>
    </w:p>
    <w:p w:rsidR="002A0969" w:rsidRPr="00D5206A" w:rsidRDefault="002A0969" w:rsidP="00D5206A">
      <w:pPr>
        <w:pStyle w:val="ListParagraph"/>
        <w:numPr>
          <w:ilvl w:val="0"/>
          <w:numId w:val="4"/>
        </w:numPr>
        <w:shd w:val="clear" w:color="auto" w:fill="FFFFFF"/>
        <w:spacing w:before="120" w:after="120" w:line="240" w:lineRule="auto"/>
        <w:jc w:val="both"/>
        <w:textAlignment w:val="baseline"/>
        <w:rPr>
          <w:rFonts w:ascii="Times New Roman" w:eastAsia="Times New Roman" w:hAnsi="Times New Roman" w:cs="Times New Roman"/>
          <w:sz w:val="26"/>
          <w:szCs w:val="26"/>
        </w:rPr>
      </w:pPr>
      <w:r w:rsidRPr="00D5206A">
        <w:rPr>
          <w:rFonts w:ascii="Times New Roman" w:eastAsia="Times New Roman" w:hAnsi="Times New Roman" w:cs="Times New Roman"/>
          <w:sz w:val="26"/>
          <w:szCs w:val="26"/>
        </w:rPr>
        <w:t xml:space="preserve">Ngành </w:t>
      </w:r>
      <w:r w:rsidR="00D5206A">
        <w:rPr>
          <w:rFonts w:ascii="Times New Roman" w:eastAsia="Times New Roman" w:hAnsi="Times New Roman" w:cs="Times New Roman"/>
          <w:sz w:val="26"/>
          <w:szCs w:val="26"/>
        </w:rPr>
        <w:t>Hàng hải đang</w:t>
      </w:r>
      <w:r w:rsidRPr="00D5206A">
        <w:rPr>
          <w:rFonts w:ascii="Times New Roman" w:eastAsia="Times New Roman" w:hAnsi="Times New Roman" w:cs="Times New Roman"/>
          <w:sz w:val="26"/>
          <w:szCs w:val="26"/>
        </w:rPr>
        <w:t xml:space="preserve"> đặc biệt chú trọng đến các yếu tố xã hội, nhấn mạnh cam kết quản lý </w:t>
      </w:r>
      <w:r w:rsidR="00D5206A">
        <w:rPr>
          <w:rFonts w:ascii="Times New Roman" w:eastAsia="Times New Roman" w:hAnsi="Times New Roman" w:cs="Times New Roman"/>
          <w:sz w:val="26"/>
          <w:szCs w:val="26"/>
        </w:rPr>
        <w:t xml:space="preserve">nguồn </w:t>
      </w:r>
      <w:r w:rsidRPr="00D5206A">
        <w:rPr>
          <w:rFonts w:ascii="Times New Roman" w:eastAsia="Times New Roman" w:hAnsi="Times New Roman" w:cs="Times New Roman"/>
          <w:sz w:val="26"/>
          <w:szCs w:val="26"/>
        </w:rPr>
        <w:t>vốn con người, phúc lợi của nhân viên và các hoạt động kinh doanh có đạo đức, phản ánh ý thức trách nhiệm xã hội mạnh mẽ.</w:t>
      </w:r>
    </w:p>
    <w:p w:rsidR="002A0969" w:rsidRPr="00D5206A" w:rsidRDefault="002A0969" w:rsidP="00D5206A">
      <w:pPr>
        <w:pStyle w:val="ListParagraph"/>
        <w:numPr>
          <w:ilvl w:val="0"/>
          <w:numId w:val="4"/>
        </w:numPr>
        <w:shd w:val="clear" w:color="auto" w:fill="FFFFFF"/>
        <w:spacing w:before="120" w:after="120" w:line="240" w:lineRule="auto"/>
        <w:jc w:val="both"/>
        <w:textAlignment w:val="baseline"/>
        <w:rPr>
          <w:rFonts w:ascii="Times New Roman" w:eastAsia="Times New Roman" w:hAnsi="Times New Roman" w:cs="Times New Roman"/>
          <w:sz w:val="26"/>
          <w:szCs w:val="26"/>
        </w:rPr>
      </w:pPr>
      <w:r w:rsidRPr="00D5206A">
        <w:rPr>
          <w:rFonts w:ascii="Times New Roman" w:eastAsia="Times New Roman" w:hAnsi="Times New Roman" w:cs="Times New Roman"/>
          <w:sz w:val="26"/>
          <w:szCs w:val="26"/>
        </w:rPr>
        <w:t xml:space="preserve">Các mối quan tâm về môi trường tiếp </w:t>
      </w:r>
      <w:r w:rsidR="00D5206A">
        <w:rPr>
          <w:rFonts w:ascii="Times New Roman" w:eastAsia="Times New Roman" w:hAnsi="Times New Roman" w:cs="Times New Roman"/>
          <w:sz w:val="26"/>
          <w:szCs w:val="26"/>
        </w:rPr>
        <w:t xml:space="preserve">tục đóng vai trò nổi bật trong </w:t>
      </w:r>
      <w:r w:rsidR="00D5206A">
        <w:rPr>
          <w:rFonts w:ascii="Helvetica" w:eastAsia="Times New Roman" w:hAnsi="Helvetica" w:cs="Helvetica"/>
          <w:color w:val="0087CD"/>
          <w:sz w:val="24"/>
          <w:szCs w:val="24"/>
          <w:u w:val="single"/>
          <w:bdr w:val="none" w:sz="0" w:space="0" w:color="auto" w:frame="1"/>
        </w:rPr>
        <w:t xml:space="preserve">chương trình nghị sự </w:t>
      </w:r>
      <w:r w:rsidR="00D5206A" w:rsidRPr="00FE2625">
        <w:rPr>
          <w:rFonts w:ascii="Helvetica" w:eastAsia="Times New Roman" w:hAnsi="Helvetica" w:cs="Helvetica"/>
          <w:color w:val="0087CD"/>
          <w:sz w:val="24"/>
          <w:szCs w:val="24"/>
          <w:u w:val="single"/>
          <w:bdr w:val="none" w:sz="0" w:space="0" w:color="auto" w:frame="1"/>
        </w:rPr>
        <w:t xml:space="preserve">ESG </w:t>
      </w:r>
      <w:r w:rsidR="00D5206A">
        <w:rPr>
          <w:rFonts w:ascii="Helvetica" w:eastAsia="Times New Roman" w:hAnsi="Helvetica" w:cs="Helvetica"/>
          <w:color w:val="0087CD"/>
          <w:sz w:val="24"/>
          <w:szCs w:val="24"/>
          <w:u w:val="single"/>
          <w:bdr w:val="none" w:sz="0" w:space="0" w:color="auto" w:frame="1"/>
        </w:rPr>
        <w:t>của ngành</w:t>
      </w:r>
      <w:r w:rsidRPr="00D5206A">
        <w:rPr>
          <w:rFonts w:ascii="Times New Roman" w:eastAsia="Times New Roman" w:hAnsi="Times New Roman" w:cs="Times New Roman"/>
          <w:sz w:val="26"/>
          <w:szCs w:val="26"/>
        </w:rPr>
        <w:t xml:space="preserve">, tập trung vào việc giải quyết vấn đề giảm phát thải, phòng ngừa ô nhiễm và tuân thủ các quy định đang </w:t>
      </w:r>
      <w:r w:rsidR="00D5206A">
        <w:rPr>
          <w:rFonts w:ascii="Times New Roman" w:eastAsia="Times New Roman" w:hAnsi="Times New Roman" w:cs="Times New Roman"/>
          <w:sz w:val="26"/>
          <w:szCs w:val="26"/>
        </w:rPr>
        <w:t>ngày càng chặt chẽ</w:t>
      </w:r>
      <w:r w:rsidRPr="00D5206A">
        <w:rPr>
          <w:rFonts w:ascii="Times New Roman" w:eastAsia="Times New Roman" w:hAnsi="Times New Roman" w:cs="Times New Roman"/>
          <w:sz w:val="26"/>
          <w:szCs w:val="26"/>
        </w:rPr>
        <w:t>.</w:t>
      </w:r>
    </w:p>
    <w:p w:rsidR="002A0969" w:rsidRPr="00D5206A" w:rsidRDefault="002A0969" w:rsidP="00D5206A">
      <w:pPr>
        <w:pStyle w:val="ListParagraph"/>
        <w:numPr>
          <w:ilvl w:val="0"/>
          <w:numId w:val="4"/>
        </w:numPr>
        <w:shd w:val="clear" w:color="auto" w:fill="FFFFFF"/>
        <w:spacing w:before="120" w:after="120" w:line="240" w:lineRule="auto"/>
        <w:jc w:val="both"/>
        <w:textAlignment w:val="baseline"/>
        <w:rPr>
          <w:rFonts w:ascii="Times New Roman" w:eastAsia="Times New Roman" w:hAnsi="Times New Roman" w:cs="Times New Roman"/>
          <w:sz w:val="26"/>
          <w:szCs w:val="26"/>
        </w:rPr>
      </w:pPr>
      <w:r w:rsidRPr="00D5206A">
        <w:rPr>
          <w:rFonts w:ascii="Times New Roman" w:eastAsia="Times New Roman" w:hAnsi="Times New Roman" w:cs="Times New Roman"/>
          <w:sz w:val="26"/>
          <w:szCs w:val="26"/>
        </w:rPr>
        <w:t xml:space="preserve">Ngày càng có nhiều sự </w:t>
      </w:r>
      <w:r w:rsidR="00D5206A">
        <w:rPr>
          <w:rFonts w:ascii="Times New Roman" w:eastAsia="Times New Roman" w:hAnsi="Times New Roman" w:cs="Times New Roman"/>
          <w:sz w:val="26"/>
          <w:szCs w:val="26"/>
        </w:rPr>
        <w:t>thừa</w:t>
      </w:r>
      <w:r w:rsidRPr="00D5206A">
        <w:rPr>
          <w:rFonts w:ascii="Times New Roman" w:eastAsia="Times New Roman" w:hAnsi="Times New Roman" w:cs="Times New Roman"/>
          <w:sz w:val="26"/>
          <w:szCs w:val="26"/>
        </w:rPr>
        <w:t xml:space="preserve"> nhận về tầm quan trọng của việc đầu tư vào phát triển lực lượng lao động và nâng cao kỹ năng.</w:t>
      </w:r>
    </w:p>
    <w:p w:rsidR="002A0969" w:rsidRPr="00D5206A" w:rsidRDefault="002A0969" w:rsidP="00D5206A">
      <w:pPr>
        <w:pStyle w:val="ListParagraph"/>
        <w:numPr>
          <w:ilvl w:val="0"/>
          <w:numId w:val="4"/>
        </w:numPr>
        <w:shd w:val="clear" w:color="auto" w:fill="FFFFFF"/>
        <w:spacing w:before="120" w:after="120" w:line="240" w:lineRule="auto"/>
        <w:jc w:val="both"/>
        <w:textAlignment w:val="baseline"/>
        <w:rPr>
          <w:rFonts w:ascii="Times New Roman" w:eastAsia="Times New Roman" w:hAnsi="Times New Roman" w:cs="Times New Roman"/>
          <w:sz w:val="26"/>
          <w:szCs w:val="26"/>
        </w:rPr>
      </w:pPr>
      <w:r w:rsidRPr="00D5206A">
        <w:rPr>
          <w:rFonts w:ascii="Times New Roman" w:eastAsia="Times New Roman" w:hAnsi="Times New Roman" w:cs="Times New Roman"/>
          <w:sz w:val="26"/>
          <w:szCs w:val="26"/>
        </w:rPr>
        <w:t>Các yếu tố liên quan đến quản trị đóng vai trò quan trọng trong việc định hình chương trình nghị sự ESG của ngành, tập trung vào việc cải thiện tính minh bạch, quản lý rủi ro, chuyển đổi số và trách nhiệm giải trình.</w:t>
      </w:r>
    </w:p>
    <w:p w:rsidR="002A0969" w:rsidRPr="00D5206A" w:rsidRDefault="002A0969" w:rsidP="00D5206A">
      <w:pPr>
        <w:pStyle w:val="ListParagraph"/>
        <w:numPr>
          <w:ilvl w:val="0"/>
          <w:numId w:val="4"/>
        </w:numPr>
        <w:shd w:val="clear" w:color="auto" w:fill="FFFFFF"/>
        <w:spacing w:before="120" w:after="120" w:line="240" w:lineRule="auto"/>
        <w:jc w:val="both"/>
        <w:textAlignment w:val="baseline"/>
        <w:rPr>
          <w:rFonts w:ascii="Times New Roman" w:eastAsia="Times New Roman" w:hAnsi="Times New Roman" w:cs="Times New Roman"/>
          <w:sz w:val="26"/>
          <w:szCs w:val="26"/>
        </w:rPr>
      </w:pPr>
      <w:r w:rsidRPr="00D5206A">
        <w:rPr>
          <w:rFonts w:ascii="Times New Roman" w:eastAsia="Times New Roman" w:hAnsi="Times New Roman" w:cs="Times New Roman"/>
          <w:sz w:val="26"/>
          <w:szCs w:val="26"/>
        </w:rPr>
        <w:t>Các sáng kiến ​​liên quan đến hoạt động quản trị có thể tăng cường khả năng phục hồi hoạt động và điều chỉnh các chiến lược kinh doanh theo các nguyên tắc ESG, phản ánh cam kết quản trị doanh nghiệp tốt và tạo ra giá trị lâu dài.</w:t>
      </w:r>
    </w:p>
    <w:p w:rsidR="002A0969" w:rsidRDefault="002A0969" w:rsidP="00D5206A">
      <w:pPr>
        <w:pStyle w:val="ListParagraph"/>
        <w:numPr>
          <w:ilvl w:val="0"/>
          <w:numId w:val="4"/>
        </w:numPr>
        <w:shd w:val="clear" w:color="auto" w:fill="FFFFFF"/>
        <w:spacing w:before="120" w:after="120" w:line="240" w:lineRule="auto"/>
        <w:jc w:val="both"/>
        <w:textAlignment w:val="baseline"/>
        <w:rPr>
          <w:rFonts w:ascii="Times New Roman" w:eastAsia="Times New Roman" w:hAnsi="Times New Roman" w:cs="Times New Roman"/>
          <w:sz w:val="26"/>
          <w:szCs w:val="26"/>
        </w:rPr>
      </w:pPr>
      <w:r w:rsidRPr="00D5206A">
        <w:rPr>
          <w:rFonts w:ascii="Times New Roman" w:eastAsia="Times New Roman" w:hAnsi="Times New Roman" w:cs="Times New Roman"/>
          <w:sz w:val="26"/>
          <w:szCs w:val="26"/>
        </w:rPr>
        <w:lastRenderedPageBreak/>
        <w:t>Khả năng phục hồi của chuỗi cung ứng trước các xung đột địa chính trị và gián đoạn kinh doanh được đặt lên hàng đầu trong chương trình nghị sự, cho thấy nhu cầu về các biện pháp chủ động để giảm thiểu rủi ro, tăng cường khả năng phục hồi và đảm bảo tính liên tục của hoạt động trong bối cảnh bất ổn địa chính trị.</w:t>
      </w:r>
    </w:p>
    <w:p w:rsidR="00D5206A" w:rsidRPr="00D5206A" w:rsidRDefault="00D5206A" w:rsidP="00D5206A">
      <w:pPr>
        <w:shd w:val="clear" w:color="auto" w:fill="FFFFFF"/>
        <w:spacing w:before="120" w:after="120" w:line="240" w:lineRule="auto"/>
        <w:jc w:val="both"/>
        <w:textAlignment w:val="baseline"/>
        <w:rPr>
          <w:rFonts w:ascii="Times New Roman" w:eastAsia="Times New Roman" w:hAnsi="Times New Roman" w:cs="Times New Roman"/>
          <w:b/>
          <w:sz w:val="26"/>
          <w:szCs w:val="26"/>
        </w:rPr>
      </w:pPr>
      <w:r w:rsidRPr="00D5206A">
        <w:rPr>
          <w:rFonts w:ascii="Times New Roman" w:eastAsia="Times New Roman" w:hAnsi="Times New Roman" w:cs="Times New Roman"/>
          <w:b/>
          <w:sz w:val="26"/>
          <w:szCs w:val="26"/>
        </w:rPr>
        <w:t>So sánh với khảo sát trước</w:t>
      </w:r>
      <w:r>
        <w:rPr>
          <w:rFonts w:ascii="Times New Roman" w:eastAsia="Times New Roman" w:hAnsi="Times New Roman" w:cs="Times New Roman"/>
          <w:b/>
          <w:sz w:val="26"/>
          <w:szCs w:val="26"/>
        </w:rPr>
        <w:t xml:space="preserve"> đây</w:t>
      </w:r>
      <w:r w:rsidRPr="00D5206A">
        <w:rPr>
          <w:rFonts w:ascii="Times New Roman" w:eastAsia="Times New Roman" w:hAnsi="Times New Roman" w:cs="Times New Roman"/>
          <w:b/>
          <w:sz w:val="26"/>
          <w:szCs w:val="26"/>
        </w:rPr>
        <w:t xml:space="preserve">: Những thay đổi </w:t>
      </w:r>
      <w:r>
        <w:rPr>
          <w:rFonts w:ascii="Times New Roman" w:eastAsia="Times New Roman" w:hAnsi="Times New Roman" w:cs="Times New Roman"/>
          <w:b/>
          <w:sz w:val="26"/>
          <w:szCs w:val="26"/>
        </w:rPr>
        <w:t>sau</w:t>
      </w:r>
      <w:r w:rsidRPr="00D5206A">
        <w:rPr>
          <w:rFonts w:ascii="Times New Roman" w:eastAsia="Times New Roman" w:hAnsi="Times New Roman" w:cs="Times New Roman"/>
          <w:b/>
          <w:sz w:val="26"/>
          <w:szCs w:val="26"/>
        </w:rPr>
        <w:t xml:space="preserve"> hai năm</w:t>
      </w:r>
    </w:p>
    <w:p w:rsidR="00D5206A" w:rsidRPr="00D5206A" w:rsidRDefault="00D5206A" w:rsidP="00D5206A">
      <w:pPr>
        <w:shd w:val="clear" w:color="auto" w:fill="FFFFFF"/>
        <w:spacing w:before="120" w:after="120" w:line="240" w:lineRule="auto"/>
        <w:jc w:val="both"/>
        <w:textAlignment w:val="baseline"/>
        <w:rPr>
          <w:rFonts w:ascii="Times New Roman" w:eastAsia="Times New Roman" w:hAnsi="Times New Roman" w:cs="Times New Roman"/>
          <w:sz w:val="26"/>
          <w:szCs w:val="26"/>
        </w:rPr>
      </w:pPr>
      <w:r w:rsidRPr="00D5206A">
        <w:rPr>
          <w:rFonts w:ascii="Times New Roman" w:eastAsia="Times New Roman" w:hAnsi="Times New Roman" w:cs="Times New Roman"/>
          <w:sz w:val="26"/>
          <w:szCs w:val="26"/>
        </w:rPr>
        <w:t xml:space="preserve">Để nhắc lại, </w:t>
      </w:r>
      <w:hyperlink r:id="rId6" w:tgtFrame="_blank" w:history="1">
        <w:r w:rsidRPr="00E91268">
          <w:rPr>
            <w:rFonts w:ascii="Times New Roman" w:eastAsia="Times New Roman" w:hAnsi="Times New Roman" w:cs="Times New Roman"/>
            <w:color w:val="0087CD"/>
            <w:sz w:val="24"/>
            <w:szCs w:val="24"/>
            <w:u w:val="single"/>
            <w:bdr w:val="none" w:sz="0" w:space="0" w:color="auto" w:frame="1"/>
          </w:rPr>
          <w:t>SAFETY4SEA đã có cuộc khảo sát đầu tiên</w:t>
        </w:r>
      </w:hyperlink>
      <w:r>
        <w:rPr>
          <w:rFonts w:ascii="Helvetica" w:eastAsia="Times New Roman" w:hAnsi="Helvetica" w:cs="Helvetica"/>
          <w:color w:val="333333"/>
          <w:sz w:val="24"/>
          <w:szCs w:val="24"/>
        </w:rPr>
        <w:t xml:space="preserve"> </w:t>
      </w:r>
      <w:r w:rsidRPr="00D5206A">
        <w:rPr>
          <w:rFonts w:ascii="Times New Roman" w:eastAsia="Times New Roman" w:hAnsi="Times New Roman" w:cs="Times New Roman"/>
          <w:sz w:val="26"/>
          <w:szCs w:val="26"/>
        </w:rPr>
        <w:t xml:space="preserve">vào năm 2022, </w:t>
      </w:r>
      <w:r w:rsidR="004F4B3B">
        <w:rPr>
          <w:rFonts w:ascii="Times New Roman" w:eastAsia="Times New Roman" w:hAnsi="Times New Roman" w:cs="Times New Roman"/>
          <w:sz w:val="26"/>
          <w:szCs w:val="26"/>
        </w:rPr>
        <w:t>ở</w:t>
      </w:r>
      <w:r w:rsidRPr="00D5206A">
        <w:rPr>
          <w:rFonts w:ascii="Times New Roman" w:eastAsia="Times New Roman" w:hAnsi="Times New Roman" w:cs="Times New Roman"/>
          <w:sz w:val="26"/>
          <w:szCs w:val="26"/>
        </w:rPr>
        <w:t xml:space="preserve"> thời điểm đó tập trung nhiều hơn vào các</w:t>
      </w:r>
      <w:r w:rsidR="004F4B3B">
        <w:rPr>
          <w:rFonts w:ascii="Times New Roman" w:eastAsia="Times New Roman" w:hAnsi="Times New Roman" w:cs="Times New Roman"/>
          <w:sz w:val="26"/>
          <w:szCs w:val="26"/>
        </w:rPr>
        <w:t xml:space="preserve"> khía cạnh môi trường. Cụ thể, Pháp l</w:t>
      </w:r>
      <w:r w:rsidRPr="00D5206A">
        <w:rPr>
          <w:rFonts w:ascii="Times New Roman" w:eastAsia="Times New Roman" w:hAnsi="Times New Roman" w:cs="Times New Roman"/>
          <w:sz w:val="26"/>
          <w:szCs w:val="26"/>
        </w:rPr>
        <w:t xml:space="preserve">uật </w:t>
      </w:r>
      <w:r w:rsidR="004F4B3B">
        <w:rPr>
          <w:rFonts w:ascii="Times New Roman" w:eastAsia="Times New Roman" w:hAnsi="Times New Roman" w:cs="Times New Roman"/>
          <w:sz w:val="26"/>
          <w:szCs w:val="26"/>
        </w:rPr>
        <w:t xml:space="preserve">về </w:t>
      </w:r>
      <w:r w:rsidRPr="00D5206A">
        <w:rPr>
          <w:rFonts w:ascii="Times New Roman" w:eastAsia="Times New Roman" w:hAnsi="Times New Roman" w:cs="Times New Roman"/>
          <w:sz w:val="26"/>
          <w:szCs w:val="26"/>
        </w:rPr>
        <w:t xml:space="preserve">Môi trường </w:t>
      </w:r>
      <w:r w:rsidR="004F4B3B">
        <w:rPr>
          <w:rFonts w:ascii="Times New Roman" w:eastAsia="Times New Roman" w:hAnsi="Times New Roman" w:cs="Times New Roman"/>
          <w:sz w:val="26"/>
          <w:szCs w:val="26"/>
        </w:rPr>
        <w:t xml:space="preserve">đang </w:t>
      </w:r>
      <w:r w:rsidRPr="00D5206A">
        <w:rPr>
          <w:rFonts w:ascii="Times New Roman" w:eastAsia="Times New Roman" w:hAnsi="Times New Roman" w:cs="Times New Roman"/>
          <w:sz w:val="26"/>
          <w:szCs w:val="26"/>
        </w:rPr>
        <w:t xml:space="preserve">Thay đổi Liên tục (88,3%), Gói Phát thải </w:t>
      </w:r>
      <w:r w:rsidR="004F4B3B">
        <w:rPr>
          <w:rFonts w:ascii="Times New Roman" w:eastAsia="Times New Roman" w:hAnsi="Times New Roman" w:cs="Times New Roman"/>
          <w:sz w:val="26"/>
          <w:szCs w:val="26"/>
        </w:rPr>
        <w:t>của</w:t>
      </w:r>
      <w:r w:rsidRPr="00D5206A">
        <w:rPr>
          <w:rFonts w:ascii="Times New Roman" w:eastAsia="Times New Roman" w:hAnsi="Times New Roman" w:cs="Times New Roman"/>
          <w:sz w:val="26"/>
          <w:szCs w:val="26"/>
        </w:rPr>
        <w:t xml:space="preserve"> IMO, CII, EEXI (85,0%) và Gián đoạn Kinh doanh (84,7%) là ba mối quan tâm hàng đầu cách đây hai năm. Kể từ đó, đã có một số thay đổi đáng chú ý và nhất quán trong các lĩnh vực ưu tiên:</w:t>
      </w:r>
    </w:p>
    <w:p w:rsidR="00D5206A" w:rsidRPr="00D5206A" w:rsidRDefault="00D5206A" w:rsidP="00D5206A">
      <w:pPr>
        <w:shd w:val="clear" w:color="auto" w:fill="FFFFFF"/>
        <w:spacing w:before="120" w:after="120" w:line="240" w:lineRule="auto"/>
        <w:jc w:val="both"/>
        <w:textAlignment w:val="baseline"/>
        <w:rPr>
          <w:rFonts w:ascii="Times New Roman" w:eastAsia="Times New Roman" w:hAnsi="Times New Roman" w:cs="Times New Roman"/>
          <w:sz w:val="26"/>
          <w:szCs w:val="26"/>
        </w:rPr>
      </w:pPr>
      <w:r w:rsidRPr="004F4B3B">
        <w:rPr>
          <w:rFonts w:ascii="Times New Roman" w:eastAsia="Times New Roman" w:hAnsi="Times New Roman" w:cs="Times New Roman"/>
          <w:b/>
          <w:sz w:val="26"/>
          <w:szCs w:val="26"/>
        </w:rPr>
        <w:t xml:space="preserve">1. </w:t>
      </w:r>
      <w:r w:rsidR="004F4B3B" w:rsidRPr="004F4B3B">
        <w:rPr>
          <w:rFonts w:ascii="Times New Roman" w:eastAsia="Times New Roman" w:hAnsi="Times New Roman" w:cs="Times New Roman"/>
          <w:b/>
          <w:sz w:val="26"/>
          <w:szCs w:val="26"/>
        </w:rPr>
        <w:t>Pháp l</w:t>
      </w:r>
      <w:r w:rsidRPr="004F4B3B">
        <w:rPr>
          <w:rFonts w:ascii="Times New Roman" w:eastAsia="Times New Roman" w:hAnsi="Times New Roman" w:cs="Times New Roman"/>
          <w:b/>
          <w:sz w:val="26"/>
          <w:szCs w:val="26"/>
        </w:rPr>
        <w:t xml:space="preserve">uật </w:t>
      </w:r>
      <w:r w:rsidR="004F4B3B" w:rsidRPr="004F4B3B">
        <w:rPr>
          <w:rFonts w:ascii="Times New Roman" w:eastAsia="Times New Roman" w:hAnsi="Times New Roman" w:cs="Times New Roman"/>
          <w:b/>
          <w:sz w:val="26"/>
          <w:szCs w:val="26"/>
        </w:rPr>
        <w:t xml:space="preserve">về </w:t>
      </w:r>
      <w:r w:rsidRPr="004F4B3B">
        <w:rPr>
          <w:rFonts w:ascii="Times New Roman" w:eastAsia="Times New Roman" w:hAnsi="Times New Roman" w:cs="Times New Roman"/>
          <w:b/>
          <w:sz w:val="26"/>
          <w:szCs w:val="26"/>
        </w:rPr>
        <w:t xml:space="preserve">Môi trường </w:t>
      </w:r>
      <w:r w:rsidR="004F4B3B" w:rsidRPr="004F4B3B">
        <w:rPr>
          <w:rFonts w:ascii="Times New Roman" w:eastAsia="Times New Roman" w:hAnsi="Times New Roman" w:cs="Times New Roman"/>
          <w:b/>
          <w:sz w:val="26"/>
          <w:szCs w:val="26"/>
        </w:rPr>
        <w:t xml:space="preserve">đang </w:t>
      </w:r>
      <w:r w:rsidRPr="004F4B3B">
        <w:rPr>
          <w:rFonts w:ascii="Times New Roman" w:eastAsia="Times New Roman" w:hAnsi="Times New Roman" w:cs="Times New Roman"/>
          <w:b/>
          <w:sz w:val="26"/>
          <w:szCs w:val="26"/>
        </w:rPr>
        <w:t>Thay đổi Liên tụ</w:t>
      </w:r>
      <w:bookmarkStart w:id="0" w:name="_GoBack"/>
      <w:bookmarkEnd w:id="0"/>
      <w:r w:rsidRPr="004F4B3B">
        <w:rPr>
          <w:rFonts w:ascii="Times New Roman" w:eastAsia="Times New Roman" w:hAnsi="Times New Roman" w:cs="Times New Roman"/>
          <w:b/>
          <w:sz w:val="26"/>
          <w:szCs w:val="26"/>
        </w:rPr>
        <w:t xml:space="preserve">c: </w:t>
      </w:r>
      <w:r w:rsidRPr="004F4B3B">
        <w:rPr>
          <w:rFonts w:ascii="Times New Roman" w:eastAsia="Times New Roman" w:hAnsi="Times New Roman" w:cs="Times New Roman"/>
          <w:sz w:val="26"/>
          <w:szCs w:val="26"/>
        </w:rPr>
        <w:t xml:space="preserve">Trong cả hai cuộc khảo sát, yếu tố </w:t>
      </w:r>
      <w:r w:rsidRPr="00D5206A">
        <w:rPr>
          <w:rFonts w:ascii="Times New Roman" w:eastAsia="Times New Roman" w:hAnsi="Times New Roman" w:cs="Times New Roman"/>
          <w:sz w:val="26"/>
          <w:szCs w:val="26"/>
        </w:rPr>
        <w:t xml:space="preserve">này được xếp hạng cao, cho thấy mối quan tâm và nhận thức liên tục về những thay đổi </w:t>
      </w:r>
      <w:r w:rsidR="004F4B3B">
        <w:rPr>
          <w:rFonts w:ascii="Times New Roman" w:eastAsia="Times New Roman" w:hAnsi="Times New Roman" w:cs="Times New Roman"/>
          <w:sz w:val="26"/>
          <w:szCs w:val="26"/>
        </w:rPr>
        <w:t xml:space="preserve">liên tục của pháp luật </w:t>
      </w:r>
      <w:r w:rsidRPr="00D5206A">
        <w:rPr>
          <w:rFonts w:ascii="Times New Roman" w:eastAsia="Times New Roman" w:hAnsi="Times New Roman" w:cs="Times New Roman"/>
          <w:sz w:val="26"/>
          <w:szCs w:val="26"/>
        </w:rPr>
        <w:t xml:space="preserve">ảnh hưởng đến các hoạt động </w:t>
      </w:r>
      <w:r w:rsidR="004F4B3B">
        <w:rPr>
          <w:rFonts w:ascii="Times New Roman" w:eastAsia="Times New Roman" w:hAnsi="Times New Roman" w:cs="Times New Roman"/>
          <w:sz w:val="26"/>
          <w:szCs w:val="26"/>
        </w:rPr>
        <w:t>liên quan đến</w:t>
      </w:r>
      <w:r w:rsidRPr="00D5206A">
        <w:rPr>
          <w:rFonts w:ascii="Times New Roman" w:eastAsia="Times New Roman" w:hAnsi="Times New Roman" w:cs="Times New Roman"/>
          <w:sz w:val="26"/>
          <w:szCs w:val="26"/>
        </w:rPr>
        <w:t xml:space="preserve"> môi trường.</w:t>
      </w:r>
    </w:p>
    <w:p w:rsidR="00D5206A" w:rsidRPr="00D5206A" w:rsidRDefault="00D5206A" w:rsidP="00D5206A">
      <w:pPr>
        <w:shd w:val="clear" w:color="auto" w:fill="FFFFFF"/>
        <w:spacing w:before="120" w:after="120" w:line="240" w:lineRule="auto"/>
        <w:jc w:val="both"/>
        <w:textAlignment w:val="baseline"/>
        <w:rPr>
          <w:rFonts w:ascii="Times New Roman" w:eastAsia="Times New Roman" w:hAnsi="Times New Roman" w:cs="Times New Roman"/>
          <w:sz w:val="26"/>
          <w:szCs w:val="26"/>
        </w:rPr>
      </w:pPr>
      <w:r w:rsidRPr="004F4B3B">
        <w:rPr>
          <w:rFonts w:ascii="Times New Roman" w:eastAsia="Times New Roman" w:hAnsi="Times New Roman" w:cs="Times New Roman"/>
          <w:b/>
          <w:sz w:val="26"/>
          <w:szCs w:val="26"/>
        </w:rPr>
        <w:t xml:space="preserve">2. Gói Phát thải </w:t>
      </w:r>
      <w:r w:rsidR="004F4B3B">
        <w:rPr>
          <w:rFonts w:ascii="Times New Roman" w:eastAsia="Times New Roman" w:hAnsi="Times New Roman" w:cs="Times New Roman"/>
          <w:b/>
          <w:sz w:val="26"/>
          <w:szCs w:val="26"/>
        </w:rPr>
        <w:t xml:space="preserve">của </w:t>
      </w:r>
      <w:r w:rsidRPr="004F4B3B">
        <w:rPr>
          <w:rFonts w:ascii="Times New Roman" w:eastAsia="Times New Roman" w:hAnsi="Times New Roman" w:cs="Times New Roman"/>
          <w:b/>
          <w:sz w:val="26"/>
          <w:szCs w:val="26"/>
        </w:rPr>
        <w:t>IMO, CII, EEXI</w:t>
      </w:r>
      <w:r w:rsidRPr="00D5206A">
        <w:rPr>
          <w:rFonts w:ascii="Times New Roman" w:eastAsia="Times New Roman" w:hAnsi="Times New Roman" w:cs="Times New Roman"/>
          <w:sz w:val="26"/>
          <w:szCs w:val="26"/>
        </w:rPr>
        <w:t xml:space="preserve">: Yếu tố này vẫn nổi bật trong cả hai cuộc khảo sát, nhấn mạnh vào trọng tâm của ngành là tuân thủ các quy định về phát thải và cải thiện hiệu suất </w:t>
      </w:r>
      <w:r w:rsidR="004F4B3B">
        <w:rPr>
          <w:rFonts w:ascii="Times New Roman" w:eastAsia="Times New Roman" w:hAnsi="Times New Roman" w:cs="Times New Roman"/>
          <w:sz w:val="26"/>
          <w:szCs w:val="26"/>
        </w:rPr>
        <w:t xml:space="preserve">về </w:t>
      </w:r>
      <w:r w:rsidRPr="00D5206A">
        <w:rPr>
          <w:rFonts w:ascii="Times New Roman" w:eastAsia="Times New Roman" w:hAnsi="Times New Roman" w:cs="Times New Roman"/>
          <w:sz w:val="26"/>
          <w:szCs w:val="26"/>
        </w:rPr>
        <w:t>môi trường.</w:t>
      </w:r>
    </w:p>
    <w:p w:rsidR="00D5206A" w:rsidRPr="00D5206A" w:rsidRDefault="00D5206A" w:rsidP="00D5206A">
      <w:pPr>
        <w:shd w:val="clear" w:color="auto" w:fill="FFFFFF"/>
        <w:spacing w:before="120" w:after="120" w:line="240" w:lineRule="auto"/>
        <w:jc w:val="both"/>
        <w:textAlignment w:val="baseline"/>
        <w:rPr>
          <w:rFonts w:ascii="Times New Roman" w:eastAsia="Times New Roman" w:hAnsi="Times New Roman" w:cs="Times New Roman"/>
          <w:sz w:val="26"/>
          <w:szCs w:val="26"/>
        </w:rPr>
      </w:pPr>
      <w:r w:rsidRPr="004F4B3B">
        <w:rPr>
          <w:rFonts w:ascii="Times New Roman" w:eastAsia="Times New Roman" w:hAnsi="Times New Roman" w:cs="Times New Roman"/>
          <w:b/>
          <w:sz w:val="26"/>
          <w:szCs w:val="26"/>
        </w:rPr>
        <w:t>3. Phúc lợi của Nhân viên/Thuyền viên</w:t>
      </w:r>
      <w:r w:rsidRPr="00D5206A">
        <w:rPr>
          <w:rFonts w:ascii="Times New Roman" w:eastAsia="Times New Roman" w:hAnsi="Times New Roman" w:cs="Times New Roman"/>
          <w:sz w:val="26"/>
          <w:szCs w:val="26"/>
        </w:rPr>
        <w:t>: Mặc dù Phúc lợi của Nhân viên/Thuyền viên vẫn là mối quan tâm hàng đầu trong cả hai cuộc khảo sát, nhưng mức độ ưu tiên của nó đã giảm nhẹ trong cuộc khảo sát năm 2024 so với năm 2022.</w:t>
      </w:r>
    </w:p>
    <w:p w:rsidR="00D5206A" w:rsidRPr="00D5206A" w:rsidRDefault="00D5206A" w:rsidP="00D5206A">
      <w:pPr>
        <w:shd w:val="clear" w:color="auto" w:fill="FFFFFF"/>
        <w:spacing w:before="120" w:after="120" w:line="240" w:lineRule="auto"/>
        <w:jc w:val="both"/>
        <w:textAlignment w:val="baseline"/>
        <w:rPr>
          <w:rFonts w:ascii="Times New Roman" w:eastAsia="Times New Roman" w:hAnsi="Times New Roman" w:cs="Times New Roman"/>
          <w:sz w:val="26"/>
          <w:szCs w:val="26"/>
        </w:rPr>
      </w:pPr>
      <w:r w:rsidRPr="004F4B3B">
        <w:rPr>
          <w:rFonts w:ascii="Times New Roman" w:eastAsia="Times New Roman" w:hAnsi="Times New Roman" w:cs="Times New Roman"/>
          <w:b/>
          <w:sz w:val="26"/>
          <w:szCs w:val="26"/>
        </w:rPr>
        <w:t>4. Kỹ năng và Đào tạo của Nhân viên/Thuyền viên</w:t>
      </w:r>
      <w:r w:rsidRPr="00D5206A">
        <w:rPr>
          <w:rFonts w:ascii="Times New Roman" w:eastAsia="Times New Roman" w:hAnsi="Times New Roman" w:cs="Times New Roman"/>
          <w:sz w:val="26"/>
          <w:szCs w:val="26"/>
        </w:rPr>
        <w:t xml:space="preserve">: Yếu tố này đã được ưu tiên trong cuộc khảo sát năm 2024, phản ánh sự </w:t>
      </w:r>
      <w:r w:rsidR="004F4B3B">
        <w:rPr>
          <w:rFonts w:ascii="Times New Roman" w:eastAsia="Times New Roman" w:hAnsi="Times New Roman" w:cs="Times New Roman"/>
          <w:sz w:val="26"/>
          <w:szCs w:val="26"/>
        </w:rPr>
        <w:t>thừa</w:t>
      </w:r>
      <w:r w:rsidRPr="00D5206A">
        <w:rPr>
          <w:rFonts w:ascii="Times New Roman" w:eastAsia="Times New Roman" w:hAnsi="Times New Roman" w:cs="Times New Roman"/>
          <w:sz w:val="26"/>
          <w:szCs w:val="26"/>
        </w:rPr>
        <w:t xml:space="preserve"> nhận ngày càng tăng về tầm quan trọng của việc đầu tư vào phát triển lực lượng lao động và nâng cao kỹ năng.</w:t>
      </w:r>
    </w:p>
    <w:p w:rsidR="00D5206A" w:rsidRPr="00D5206A" w:rsidRDefault="00D5206A" w:rsidP="00D5206A">
      <w:pPr>
        <w:shd w:val="clear" w:color="auto" w:fill="FFFFFF"/>
        <w:spacing w:before="120" w:after="120" w:line="240" w:lineRule="auto"/>
        <w:jc w:val="both"/>
        <w:textAlignment w:val="baseline"/>
        <w:rPr>
          <w:rFonts w:ascii="Times New Roman" w:eastAsia="Times New Roman" w:hAnsi="Times New Roman" w:cs="Times New Roman"/>
          <w:sz w:val="26"/>
          <w:szCs w:val="26"/>
        </w:rPr>
      </w:pPr>
      <w:r w:rsidRPr="004F4B3B">
        <w:rPr>
          <w:rFonts w:ascii="Times New Roman" w:eastAsia="Times New Roman" w:hAnsi="Times New Roman" w:cs="Times New Roman"/>
          <w:b/>
          <w:sz w:val="26"/>
          <w:szCs w:val="26"/>
        </w:rPr>
        <w:t>5. Tác động của Xung đột địa chính trị đến Chuỗi cung ứng</w:t>
      </w:r>
      <w:r w:rsidRPr="00D5206A">
        <w:rPr>
          <w:rFonts w:ascii="Times New Roman" w:eastAsia="Times New Roman" w:hAnsi="Times New Roman" w:cs="Times New Roman"/>
          <w:sz w:val="26"/>
          <w:szCs w:val="26"/>
        </w:rPr>
        <w:t>: Đây là một yếu tố mới được bổ sung vào các yếu tố hàng đầu trong cuộc khảo sát năm 2024, cho thấy nhận thức cao hơn về rủi ro địa chính trị và tác động của chúng đối với khả năng phục hồi của chuỗi cung ứng.</w:t>
      </w:r>
    </w:p>
    <w:p w:rsidR="00D5206A" w:rsidRPr="00D5206A" w:rsidRDefault="00D5206A" w:rsidP="00D5206A">
      <w:pPr>
        <w:shd w:val="clear" w:color="auto" w:fill="FFFFFF"/>
        <w:spacing w:before="120" w:after="120" w:line="240" w:lineRule="auto"/>
        <w:jc w:val="both"/>
        <w:textAlignment w:val="baseline"/>
        <w:rPr>
          <w:rFonts w:ascii="Times New Roman" w:eastAsia="Times New Roman" w:hAnsi="Times New Roman" w:cs="Times New Roman"/>
          <w:sz w:val="26"/>
          <w:szCs w:val="26"/>
        </w:rPr>
      </w:pPr>
      <w:r w:rsidRPr="004F4B3B">
        <w:rPr>
          <w:rFonts w:ascii="Times New Roman" w:eastAsia="Times New Roman" w:hAnsi="Times New Roman" w:cs="Times New Roman"/>
          <w:b/>
          <w:sz w:val="26"/>
          <w:szCs w:val="26"/>
        </w:rPr>
        <w:t>6. Nhiên liệu thay thế mới:</w:t>
      </w:r>
      <w:r w:rsidRPr="00D5206A">
        <w:rPr>
          <w:rFonts w:ascii="Times New Roman" w:eastAsia="Times New Roman" w:hAnsi="Times New Roman" w:cs="Times New Roman"/>
          <w:sz w:val="26"/>
          <w:szCs w:val="26"/>
        </w:rPr>
        <w:t xml:space="preserve"> Mặc dù vẫn quan trọng, nhưng mức độ ưu tiên của yếu tố này đã giảm nhẹ trong cuộc khảo sát năm 2024 so với năm 2022, cho thấy có thể có sự thay đổi trọng tâm hoặc </w:t>
      </w:r>
      <w:r w:rsidR="004F4B3B">
        <w:rPr>
          <w:rFonts w:ascii="Times New Roman" w:eastAsia="Times New Roman" w:hAnsi="Times New Roman" w:cs="Times New Roman"/>
          <w:sz w:val="26"/>
          <w:szCs w:val="26"/>
        </w:rPr>
        <w:t xml:space="preserve">đã có </w:t>
      </w:r>
      <w:r w:rsidRPr="00D5206A">
        <w:rPr>
          <w:rFonts w:ascii="Times New Roman" w:eastAsia="Times New Roman" w:hAnsi="Times New Roman" w:cs="Times New Roman"/>
          <w:sz w:val="26"/>
          <w:szCs w:val="26"/>
        </w:rPr>
        <w:t xml:space="preserve">tiến triển trong việc </w:t>
      </w:r>
      <w:r w:rsidR="004F4B3B">
        <w:rPr>
          <w:rFonts w:ascii="Times New Roman" w:eastAsia="Times New Roman" w:hAnsi="Times New Roman" w:cs="Times New Roman"/>
          <w:sz w:val="26"/>
          <w:szCs w:val="26"/>
        </w:rPr>
        <w:t>sử</w:t>
      </w:r>
      <w:r w:rsidRPr="00D5206A">
        <w:rPr>
          <w:rFonts w:ascii="Times New Roman" w:eastAsia="Times New Roman" w:hAnsi="Times New Roman" w:cs="Times New Roman"/>
          <w:sz w:val="26"/>
          <w:szCs w:val="26"/>
        </w:rPr>
        <w:t xml:space="preserve"> dụng nhiên liệu thay thế.</w:t>
      </w:r>
    </w:p>
    <w:p w:rsidR="00D5206A" w:rsidRPr="004F4B3B" w:rsidRDefault="00D5206A" w:rsidP="00D5206A">
      <w:pPr>
        <w:shd w:val="clear" w:color="auto" w:fill="FFFFFF"/>
        <w:spacing w:before="120" w:after="120" w:line="240" w:lineRule="auto"/>
        <w:jc w:val="both"/>
        <w:textAlignment w:val="baseline"/>
        <w:rPr>
          <w:rFonts w:ascii="Times New Roman" w:eastAsia="Times New Roman" w:hAnsi="Times New Roman" w:cs="Times New Roman"/>
          <w:b/>
          <w:sz w:val="26"/>
          <w:szCs w:val="26"/>
        </w:rPr>
      </w:pPr>
      <w:r w:rsidRPr="004F4B3B">
        <w:rPr>
          <w:rFonts w:ascii="Times New Roman" w:eastAsia="Times New Roman" w:hAnsi="Times New Roman" w:cs="Times New Roman"/>
          <w:b/>
          <w:sz w:val="26"/>
          <w:szCs w:val="26"/>
        </w:rPr>
        <w:t>Phân tích các yếu tố ESG quan trọng: Tại sao chúng lại quan trọng</w:t>
      </w:r>
    </w:p>
    <w:p w:rsidR="00D5206A" w:rsidRDefault="00D5206A" w:rsidP="00D5206A">
      <w:pPr>
        <w:shd w:val="clear" w:color="auto" w:fill="FFFFFF"/>
        <w:spacing w:before="120" w:after="120" w:line="240" w:lineRule="auto"/>
        <w:jc w:val="both"/>
        <w:textAlignment w:val="baseline"/>
        <w:rPr>
          <w:rFonts w:ascii="Times New Roman" w:eastAsia="Times New Roman" w:hAnsi="Times New Roman" w:cs="Times New Roman"/>
          <w:sz w:val="26"/>
          <w:szCs w:val="26"/>
        </w:rPr>
      </w:pPr>
      <w:r w:rsidRPr="00D5206A">
        <w:rPr>
          <w:rFonts w:ascii="Times New Roman" w:eastAsia="Times New Roman" w:hAnsi="Times New Roman" w:cs="Times New Roman"/>
          <w:sz w:val="26"/>
          <w:szCs w:val="26"/>
        </w:rPr>
        <w:t xml:space="preserve">Nhìn chung, những phát hiện của cuộc khảo sát năm nay nhấn mạnh </w:t>
      </w:r>
      <w:r w:rsidR="004F4B3B">
        <w:rPr>
          <w:rFonts w:ascii="Times New Roman" w:eastAsia="Times New Roman" w:hAnsi="Times New Roman" w:cs="Times New Roman"/>
          <w:sz w:val="26"/>
          <w:szCs w:val="26"/>
        </w:rPr>
        <w:t>tính</w:t>
      </w:r>
      <w:r w:rsidRPr="00D5206A">
        <w:rPr>
          <w:rFonts w:ascii="Times New Roman" w:eastAsia="Times New Roman" w:hAnsi="Times New Roman" w:cs="Times New Roman"/>
          <w:sz w:val="26"/>
          <w:szCs w:val="26"/>
        </w:rPr>
        <w:t xml:space="preserve"> chất đa diện của các cân nhắc về ESG trong ngành vận tải biển. Các bên liên quan đã tập trung vào việc thúc đẩy các hoạt động bền vững, tăng cường khả năng </w:t>
      </w:r>
      <w:r w:rsidR="004F4B3B">
        <w:rPr>
          <w:rFonts w:ascii="Times New Roman" w:eastAsia="Times New Roman" w:hAnsi="Times New Roman" w:cs="Times New Roman"/>
          <w:sz w:val="26"/>
          <w:szCs w:val="26"/>
        </w:rPr>
        <w:t>chống chọi</w:t>
      </w:r>
      <w:r w:rsidRPr="00D5206A">
        <w:rPr>
          <w:rFonts w:ascii="Times New Roman" w:eastAsia="Times New Roman" w:hAnsi="Times New Roman" w:cs="Times New Roman"/>
          <w:sz w:val="26"/>
          <w:szCs w:val="26"/>
        </w:rPr>
        <w:t xml:space="preserve"> và tạo ra giá trị lâu dài phù hợp với các nguyên tắc ESG.</w:t>
      </w:r>
    </w:p>
    <w:p w:rsidR="004F4B3B" w:rsidRPr="004F4B3B" w:rsidRDefault="004F4B3B" w:rsidP="004F4B3B">
      <w:pPr>
        <w:shd w:val="clear" w:color="auto" w:fill="FFFFFF"/>
        <w:spacing w:before="120" w:after="120" w:line="240" w:lineRule="auto"/>
        <w:jc w:val="center"/>
        <w:textAlignment w:val="baseline"/>
        <w:rPr>
          <w:rFonts w:ascii="Arial" w:eastAsia="Times New Roman" w:hAnsi="Arial" w:cs="Arial"/>
          <w:sz w:val="26"/>
          <w:szCs w:val="26"/>
        </w:rPr>
      </w:pPr>
      <w:r w:rsidRPr="004F4B3B">
        <w:rPr>
          <w:rFonts w:ascii="Arial" w:eastAsia="Times New Roman" w:hAnsi="Arial" w:cs="Arial"/>
          <w:sz w:val="26"/>
          <w:szCs w:val="26"/>
        </w:rPr>
        <w:t xml:space="preserve">Sự nhấn mạnh đáng kể vào các yếu tố xã hội và các yếu tố liên quan đến quản trị làm nổi bật sự </w:t>
      </w:r>
      <w:r>
        <w:rPr>
          <w:rFonts w:ascii="Arial" w:eastAsia="Times New Roman" w:hAnsi="Arial" w:cs="Arial"/>
          <w:sz w:val="26"/>
          <w:szCs w:val="26"/>
        </w:rPr>
        <w:t>thừa</w:t>
      </w:r>
      <w:r w:rsidRPr="004F4B3B">
        <w:rPr>
          <w:rFonts w:ascii="Arial" w:eastAsia="Times New Roman" w:hAnsi="Arial" w:cs="Arial"/>
          <w:sz w:val="26"/>
          <w:szCs w:val="26"/>
        </w:rPr>
        <w:t xml:space="preserve"> nhận của ngành về tầm quan trọng của việc áp dụng cả ba chiều của ESG một cách bình đẳng để thúc đẩy </w:t>
      </w:r>
      <w:r>
        <w:rPr>
          <w:rFonts w:ascii="Arial" w:eastAsia="Times New Roman" w:hAnsi="Arial" w:cs="Arial"/>
          <w:sz w:val="26"/>
          <w:szCs w:val="26"/>
        </w:rPr>
        <w:t xml:space="preserve">một </w:t>
      </w:r>
      <w:r w:rsidRPr="004F4B3B">
        <w:rPr>
          <w:rFonts w:ascii="Arial" w:eastAsia="Times New Roman" w:hAnsi="Arial" w:cs="Arial"/>
          <w:sz w:val="26"/>
          <w:szCs w:val="26"/>
        </w:rPr>
        <w:t>tương lai bền vững.</w:t>
      </w:r>
    </w:p>
    <w:p w:rsidR="004F4B3B" w:rsidRPr="004F4B3B" w:rsidRDefault="004F4B3B" w:rsidP="004F4B3B">
      <w:pPr>
        <w:shd w:val="clear" w:color="auto" w:fill="FFFFFF"/>
        <w:spacing w:before="120" w:after="120" w:line="240" w:lineRule="auto"/>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Sự</w:t>
      </w:r>
      <w:r w:rsidRPr="004F4B3B">
        <w:rPr>
          <w:rFonts w:ascii="Times New Roman" w:eastAsia="Times New Roman" w:hAnsi="Times New Roman" w:cs="Times New Roman"/>
          <w:sz w:val="26"/>
          <w:szCs w:val="26"/>
        </w:rPr>
        <w:t xml:space="preserve"> bền vững về môi trường vẫn là một lĩnh vực quan trọng trong chương trình nghị sự ESG của ngành, tuy nhiên trọng tâm đã được chuyển sang các chủ đề khác, thay vì quá trình </w:t>
      </w:r>
      <w:r>
        <w:rPr>
          <w:rFonts w:ascii="Times New Roman" w:eastAsia="Times New Roman" w:hAnsi="Times New Roman" w:cs="Times New Roman"/>
          <w:sz w:val="26"/>
          <w:szCs w:val="26"/>
        </w:rPr>
        <w:t xml:space="preserve">loại </w:t>
      </w:r>
      <w:r>
        <w:rPr>
          <w:rFonts w:ascii="Times New Roman" w:eastAsia="Times New Roman" w:hAnsi="Times New Roman" w:cs="Times New Roman"/>
          <w:sz w:val="26"/>
          <w:szCs w:val="26"/>
        </w:rPr>
        <w:lastRenderedPageBreak/>
        <w:t>bỏ khí thải</w:t>
      </w:r>
      <w:r w:rsidRPr="004F4B3B">
        <w:rPr>
          <w:rFonts w:ascii="Times New Roman" w:eastAsia="Times New Roman" w:hAnsi="Times New Roman" w:cs="Times New Roman"/>
          <w:sz w:val="26"/>
          <w:szCs w:val="26"/>
        </w:rPr>
        <w:t xml:space="preserve"> cacbon trên biển và biến đổi khí hậu. Những nỗ lực giải quyết vấn đề giảm phát thải, ngăn ngừa ô nhiễm và tuân thủ các quy định nhấn mạnh cam kết giảm thiểu tác động môi trường của các hoạt động hàng hải và thúc đẩy các hoạt động bền vững.</w:t>
      </w:r>
    </w:p>
    <w:p w:rsidR="004F4B3B" w:rsidRPr="004F4B3B" w:rsidRDefault="004F4B3B" w:rsidP="004F4B3B">
      <w:pPr>
        <w:shd w:val="clear" w:color="auto" w:fill="FFFFFF"/>
        <w:spacing w:before="120" w:after="120" w:line="240" w:lineRule="auto"/>
        <w:jc w:val="both"/>
        <w:textAlignment w:val="baseline"/>
        <w:rPr>
          <w:rFonts w:ascii="Times New Roman" w:eastAsia="Times New Roman" w:hAnsi="Times New Roman" w:cs="Times New Roman"/>
          <w:sz w:val="26"/>
          <w:szCs w:val="26"/>
        </w:rPr>
      </w:pPr>
      <w:r w:rsidRPr="004F4B3B">
        <w:rPr>
          <w:rFonts w:ascii="Times New Roman" w:eastAsia="Times New Roman" w:hAnsi="Times New Roman" w:cs="Times New Roman"/>
          <w:sz w:val="26"/>
          <w:szCs w:val="26"/>
        </w:rPr>
        <w:t xml:space="preserve">Ngoài ra, các sáng kiến ​​liên quan đến các </w:t>
      </w:r>
      <w:r>
        <w:rPr>
          <w:rFonts w:ascii="Times New Roman" w:eastAsia="Times New Roman" w:hAnsi="Times New Roman" w:cs="Times New Roman"/>
          <w:sz w:val="26"/>
          <w:szCs w:val="26"/>
        </w:rPr>
        <w:t>thực tiễn</w:t>
      </w:r>
      <w:r w:rsidRPr="004F4B3B">
        <w:rPr>
          <w:rFonts w:ascii="Times New Roman" w:eastAsia="Times New Roman" w:hAnsi="Times New Roman" w:cs="Times New Roman"/>
          <w:sz w:val="26"/>
          <w:szCs w:val="26"/>
        </w:rPr>
        <w:t xml:space="preserve"> xã hội và quản trị được coi là một phần không thể thiếu để tạo ra giá trị lâu dài trong ngành vận tải biển. Hơn nữa, do những diễn biến gần đây, cuộc khảo sát nhấn mạnh tầm quan trọng của khả năng </w:t>
      </w:r>
      <w:r>
        <w:rPr>
          <w:rFonts w:ascii="Times New Roman" w:eastAsia="Times New Roman" w:hAnsi="Times New Roman" w:cs="Times New Roman"/>
          <w:sz w:val="26"/>
          <w:szCs w:val="26"/>
        </w:rPr>
        <w:t>chống chọi của</w:t>
      </w:r>
      <w:r w:rsidRPr="004F4B3B">
        <w:rPr>
          <w:rFonts w:ascii="Times New Roman" w:eastAsia="Times New Roman" w:hAnsi="Times New Roman" w:cs="Times New Roman"/>
          <w:sz w:val="26"/>
          <w:szCs w:val="26"/>
        </w:rPr>
        <w:t xml:space="preserve"> chuỗi cung ứng trong việc </w:t>
      </w:r>
      <w:r w:rsidR="006D737E">
        <w:rPr>
          <w:rFonts w:ascii="Times New Roman" w:eastAsia="Times New Roman" w:hAnsi="Times New Roman" w:cs="Times New Roman"/>
          <w:sz w:val="26"/>
          <w:szCs w:val="26"/>
        </w:rPr>
        <w:t>thích ứng trước</w:t>
      </w:r>
      <w:r w:rsidRPr="004F4B3B">
        <w:rPr>
          <w:rFonts w:ascii="Times New Roman" w:eastAsia="Times New Roman" w:hAnsi="Times New Roman" w:cs="Times New Roman"/>
          <w:sz w:val="26"/>
          <w:szCs w:val="26"/>
        </w:rPr>
        <w:t xml:space="preserve"> các xung đột địa chính trị. Về vấn đề đó, các biện pháp chủ động để giảm thiểu rủi ro và đảm bảo tính liên tục của hoạt động là rất quan trọng để đảm bảo khả năng </w:t>
      </w:r>
      <w:r w:rsidR="006D737E">
        <w:rPr>
          <w:rFonts w:ascii="Times New Roman" w:eastAsia="Times New Roman" w:hAnsi="Times New Roman" w:cs="Times New Roman"/>
          <w:sz w:val="26"/>
          <w:szCs w:val="26"/>
        </w:rPr>
        <w:t>chống chọi</w:t>
      </w:r>
      <w:r w:rsidRPr="004F4B3B">
        <w:rPr>
          <w:rFonts w:ascii="Times New Roman" w:eastAsia="Times New Roman" w:hAnsi="Times New Roman" w:cs="Times New Roman"/>
          <w:sz w:val="26"/>
          <w:szCs w:val="26"/>
        </w:rPr>
        <w:t xml:space="preserve"> trước những bất ổn.</w:t>
      </w:r>
    </w:p>
    <w:p w:rsidR="004F4B3B" w:rsidRPr="006D737E" w:rsidRDefault="004F4B3B" w:rsidP="004F4B3B">
      <w:pPr>
        <w:shd w:val="clear" w:color="auto" w:fill="FFFFFF"/>
        <w:spacing w:before="120" w:after="120" w:line="240" w:lineRule="auto"/>
        <w:jc w:val="both"/>
        <w:textAlignment w:val="baseline"/>
        <w:rPr>
          <w:rFonts w:ascii="Times New Roman" w:eastAsia="Times New Roman" w:hAnsi="Times New Roman" w:cs="Times New Roman"/>
          <w:b/>
          <w:sz w:val="26"/>
          <w:szCs w:val="26"/>
        </w:rPr>
      </w:pPr>
      <w:r w:rsidRPr="006D737E">
        <w:rPr>
          <w:rFonts w:ascii="Times New Roman" w:eastAsia="Times New Roman" w:hAnsi="Times New Roman" w:cs="Times New Roman"/>
          <w:b/>
          <w:sz w:val="26"/>
          <w:szCs w:val="26"/>
        </w:rPr>
        <w:t>Tiến về phía trước</w:t>
      </w:r>
    </w:p>
    <w:p w:rsidR="004F4B3B" w:rsidRPr="004F4B3B" w:rsidRDefault="004F4B3B" w:rsidP="004F4B3B">
      <w:pPr>
        <w:shd w:val="clear" w:color="auto" w:fill="FFFFFF"/>
        <w:spacing w:before="120" w:after="120" w:line="240" w:lineRule="auto"/>
        <w:jc w:val="both"/>
        <w:textAlignment w:val="baseline"/>
        <w:rPr>
          <w:rFonts w:ascii="Times New Roman" w:eastAsia="Times New Roman" w:hAnsi="Times New Roman" w:cs="Times New Roman"/>
          <w:sz w:val="26"/>
          <w:szCs w:val="26"/>
        </w:rPr>
      </w:pPr>
      <w:r w:rsidRPr="004F4B3B">
        <w:rPr>
          <w:rFonts w:ascii="Times New Roman" w:eastAsia="Times New Roman" w:hAnsi="Times New Roman" w:cs="Times New Roman"/>
          <w:sz w:val="26"/>
          <w:szCs w:val="26"/>
        </w:rPr>
        <w:t xml:space="preserve">Tóm lại, các phát hiện này gợi ý chung một cách tiếp cận toàn diện đối với ESG trong lĩnh vực hàng hải, giải quyết các khía cạnh đa dạng có thể xác định </w:t>
      </w:r>
      <w:r w:rsidR="006D737E">
        <w:rPr>
          <w:rFonts w:ascii="Times New Roman" w:eastAsia="Times New Roman" w:hAnsi="Times New Roman" w:cs="Times New Roman"/>
          <w:sz w:val="26"/>
          <w:szCs w:val="26"/>
        </w:rPr>
        <w:t xml:space="preserve">ra </w:t>
      </w:r>
      <w:r w:rsidRPr="004F4B3B">
        <w:rPr>
          <w:rFonts w:ascii="Times New Roman" w:eastAsia="Times New Roman" w:hAnsi="Times New Roman" w:cs="Times New Roman"/>
          <w:sz w:val="26"/>
          <w:szCs w:val="26"/>
        </w:rPr>
        <w:t xml:space="preserve">sự cân bằng tinh tế hướng tới tối đa hóa sự hài lòng chung của các bên liên quan, giữa nhu cầu của các bên liên quan </w:t>
      </w:r>
      <w:r w:rsidR="006D737E">
        <w:rPr>
          <w:rFonts w:ascii="Times New Roman" w:eastAsia="Times New Roman" w:hAnsi="Times New Roman" w:cs="Times New Roman"/>
          <w:sz w:val="26"/>
          <w:szCs w:val="26"/>
        </w:rPr>
        <w:t xml:space="preserve">trong </w:t>
      </w:r>
      <w:r w:rsidRPr="004F4B3B">
        <w:rPr>
          <w:rFonts w:ascii="Times New Roman" w:eastAsia="Times New Roman" w:hAnsi="Times New Roman" w:cs="Times New Roman"/>
          <w:sz w:val="26"/>
          <w:szCs w:val="26"/>
        </w:rPr>
        <w:t xml:space="preserve">nội bộ và </w:t>
      </w:r>
      <w:r w:rsidR="006D737E">
        <w:rPr>
          <w:rFonts w:ascii="Times New Roman" w:eastAsia="Times New Roman" w:hAnsi="Times New Roman" w:cs="Times New Roman"/>
          <w:sz w:val="26"/>
          <w:szCs w:val="26"/>
        </w:rPr>
        <w:t xml:space="preserve">ở </w:t>
      </w:r>
      <w:r w:rsidRPr="004F4B3B">
        <w:rPr>
          <w:rFonts w:ascii="Times New Roman" w:eastAsia="Times New Roman" w:hAnsi="Times New Roman" w:cs="Times New Roman"/>
          <w:sz w:val="26"/>
          <w:szCs w:val="26"/>
        </w:rPr>
        <w:t xml:space="preserve">bên ngoài, hiệu quả tài chính, lợi ích xã hội và môi trường hay nói cách khác, sự cân bằng tinh tế sẽ đảm bảo vận </w:t>
      </w:r>
      <w:r w:rsidR="006D737E">
        <w:rPr>
          <w:rFonts w:ascii="Times New Roman" w:eastAsia="Times New Roman" w:hAnsi="Times New Roman" w:cs="Times New Roman"/>
          <w:sz w:val="26"/>
          <w:szCs w:val="26"/>
        </w:rPr>
        <w:t>tải biển</w:t>
      </w:r>
      <w:r w:rsidRPr="004F4B3B">
        <w:rPr>
          <w:rFonts w:ascii="Times New Roman" w:eastAsia="Times New Roman" w:hAnsi="Times New Roman" w:cs="Times New Roman"/>
          <w:sz w:val="26"/>
          <w:szCs w:val="26"/>
        </w:rPr>
        <w:t xml:space="preserve"> bền vững cho cả tổ chức và </w:t>
      </w:r>
      <w:r w:rsidR="006D737E">
        <w:rPr>
          <w:rFonts w:ascii="Times New Roman" w:eastAsia="Times New Roman" w:hAnsi="Times New Roman" w:cs="Times New Roman"/>
          <w:sz w:val="26"/>
          <w:szCs w:val="26"/>
        </w:rPr>
        <w:t xml:space="preserve">cho </w:t>
      </w:r>
      <w:r w:rsidRPr="004F4B3B">
        <w:rPr>
          <w:rFonts w:ascii="Times New Roman" w:eastAsia="Times New Roman" w:hAnsi="Times New Roman" w:cs="Times New Roman"/>
          <w:sz w:val="26"/>
          <w:szCs w:val="26"/>
        </w:rPr>
        <w:t>ngành.</w:t>
      </w:r>
    </w:p>
    <w:p w:rsidR="004F4B3B" w:rsidRDefault="004F4B3B" w:rsidP="004F4B3B">
      <w:pPr>
        <w:shd w:val="clear" w:color="auto" w:fill="FFFFFF"/>
        <w:spacing w:before="120" w:after="120" w:line="240" w:lineRule="auto"/>
        <w:jc w:val="both"/>
        <w:textAlignment w:val="baseline"/>
        <w:rPr>
          <w:rFonts w:ascii="Times New Roman" w:eastAsia="Times New Roman" w:hAnsi="Times New Roman" w:cs="Times New Roman"/>
          <w:sz w:val="26"/>
          <w:szCs w:val="26"/>
        </w:rPr>
      </w:pPr>
      <w:r w:rsidRPr="004F4B3B">
        <w:rPr>
          <w:rFonts w:ascii="Times New Roman" w:eastAsia="Times New Roman" w:hAnsi="Times New Roman" w:cs="Times New Roman"/>
          <w:sz w:val="26"/>
          <w:szCs w:val="26"/>
        </w:rPr>
        <w:t xml:space="preserve">Ngành hàng hải có thể đạt được tiến bộ đáng kể trong việc áp dụng và triển khai các nguyên tắc ESG để thúc đẩy </w:t>
      </w:r>
      <w:r w:rsidR="006D737E">
        <w:rPr>
          <w:rFonts w:ascii="Times New Roman" w:eastAsia="Times New Roman" w:hAnsi="Times New Roman" w:cs="Times New Roman"/>
          <w:sz w:val="26"/>
          <w:szCs w:val="26"/>
        </w:rPr>
        <w:t>sự</w:t>
      </w:r>
      <w:r w:rsidRPr="004F4B3B">
        <w:rPr>
          <w:rFonts w:ascii="Times New Roman" w:eastAsia="Times New Roman" w:hAnsi="Times New Roman" w:cs="Times New Roman"/>
          <w:sz w:val="26"/>
          <w:szCs w:val="26"/>
        </w:rPr>
        <w:t xml:space="preserve"> bền vững bằng cách xem xét các suy nghĩ và cân nhắc sau:</w:t>
      </w:r>
    </w:p>
    <w:p w:rsidR="006D737E" w:rsidRPr="006D737E" w:rsidRDefault="006D737E" w:rsidP="006D737E">
      <w:pPr>
        <w:pStyle w:val="ListParagraph"/>
        <w:numPr>
          <w:ilvl w:val="0"/>
          <w:numId w:val="5"/>
        </w:numPr>
        <w:shd w:val="clear" w:color="auto" w:fill="FFFFFF"/>
        <w:spacing w:before="120" w:after="120" w:line="240" w:lineRule="auto"/>
        <w:jc w:val="both"/>
        <w:textAlignment w:val="baseline"/>
        <w:rPr>
          <w:rFonts w:ascii="Times New Roman" w:eastAsia="Times New Roman" w:hAnsi="Times New Roman" w:cs="Times New Roman"/>
          <w:sz w:val="26"/>
          <w:szCs w:val="26"/>
        </w:rPr>
      </w:pPr>
      <w:r w:rsidRPr="006D737E">
        <w:rPr>
          <w:rFonts w:ascii="Times New Roman" w:eastAsia="Times New Roman" w:hAnsi="Times New Roman" w:cs="Times New Roman"/>
          <w:b/>
          <w:sz w:val="26"/>
          <w:szCs w:val="26"/>
        </w:rPr>
        <w:t>Tích hợp ESG vào các các thực tiễn an toàn</w:t>
      </w:r>
      <w:r w:rsidRPr="006D737E">
        <w:rPr>
          <w:rFonts w:ascii="Times New Roman" w:eastAsia="Times New Roman" w:hAnsi="Times New Roman" w:cs="Times New Roman"/>
          <w:sz w:val="26"/>
          <w:szCs w:val="26"/>
        </w:rPr>
        <w:t xml:space="preserve">: Có </w:t>
      </w:r>
      <w:r>
        <w:rPr>
          <w:rFonts w:ascii="Times New Roman" w:eastAsia="Times New Roman" w:hAnsi="Times New Roman" w:cs="Times New Roman"/>
          <w:sz w:val="26"/>
          <w:szCs w:val="26"/>
        </w:rPr>
        <w:t xml:space="preserve">một </w:t>
      </w:r>
      <w:r w:rsidRPr="006D737E">
        <w:rPr>
          <w:rFonts w:ascii="Times New Roman" w:eastAsia="Times New Roman" w:hAnsi="Times New Roman" w:cs="Times New Roman"/>
          <w:sz w:val="26"/>
          <w:szCs w:val="26"/>
        </w:rPr>
        <w:t xml:space="preserve">cơ hội tích hợp các nguyên tắc ESG vào các </w:t>
      </w:r>
      <w:r>
        <w:rPr>
          <w:rFonts w:ascii="Times New Roman" w:eastAsia="Times New Roman" w:hAnsi="Times New Roman" w:cs="Times New Roman"/>
          <w:sz w:val="26"/>
          <w:szCs w:val="26"/>
        </w:rPr>
        <w:t>thực tiễn</w:t>
      </w:r>
      <w:r w:rsidRPr="006D737E">
        <w:rPr>
          <w:rFonts w:ascii="Times New Roman" w:eastAsia="Times New Roman" w:hAnsi="Times New Roman" w:cs="Times New Roman"/>
          <w:sz w:val="26"/>
          <w:szCs w:val="26"/>
        </w:rPr>
        <w:t xml:space="preserve"> an toàn trong ngành hàng hải. Điều này có thể bao gồm việc kết hợp các cân nhắc về môi trường, các sáng kiến ​​phúc lợi xã hội và các hoạt động quản trị vào các giao thức an toàn hiện có để nâng cao an toàn hàng hải nói chung.</w:t>
      </w:r>
    </w:p>
    <w:p w:rsidR="006D737E" w:rsidRPr="006D737E" w:rsidRDefault="006D737E" w:rsidP="006D737E">
      <w:pPr>
        <w:pStyle w:val="ListParagraph"/>
        <w:numPr>
          <w:ilvl w:val="0"/>
          <w:numId w:val="5"/>
        </w:numPr>
        <w:shd w:val="clear" w:color="auto" w:fill="FFFFFF"/>
        <w:spacing w:before="120" w:after="120" w:line="240" w:lineRule="auto"/>
        <w:jc w:val="both"/>
        <w:textAlignment w:val="baseline"/>
        <w:rPr>
          <w:rFonts w:ascii="Times New Roman" w:eastAsia="Times New Roman" w:hAnsi="Times New Roman" w:cs="Times New Roman"/>
          <w:sz w:val="26"/>
          <w:szCs w:val="26"/>
        </w:rPr>
      </w:pPr>
      <w:r w:rsidRPr="006D737E">
        <w:rPr>
          <w:rFonts w:ascii="Times New Roman" w:eastAsia="Times New Roman" w:hAnsi="Times New Roman" w:cs="Times New Roman"/>
          <w:b/>
          <w:sz w:val="26"/>
          <w:szCs w:val="26"/>
        </w:rPr>
        <w:t>Tập trung vào việc giảm thiểu tác động môi trường</w:t>
      </w:r>
      <w:r w:rsidRPr="006D737E">
        <w:rPr>
          <w:rFonts w:ascii="Times New Roman" w:eastAsia="Times New Roman" w:hAnsi="Times New Roman" w:cs="Times New Roman"/>
          <w:sz w:val="26"/>
          <w:szCs w:val="26"/>
        </w:rPr>
        <w:t xml:space="preserve">: Các chính sách rõ ràng về ô nhiễm môi trường và kiểm soát của nhà nước </w:t>
      </w:r>
      <w:r>
        <w:rPr>
          <w:rFonts w:ascii="Times New Roman" w:eastAsia="Times New Roman" w:hAnsi="Times New Roman" w:cs="Times New Roman"/>
          <w:sz w:val="26"/>
          <w:szCs w:val="26"/>
        </w:rPr>
        <w:t xml:space="preserve">có </w:t>
      </w:r>
      <w:r w:rsidRPr="006D737E">
        <w:rPr>
          <w:rFonts w:ascii="Times New Roman" w:eastAsia="Times New Roman" w:hAnsi="Times New Roman" w:cs="Times New Roman"/>
          <w:sz w:val="26"/>
          <w:szCs w:val="26"/>
        </w:rPr>
        <w:t xml:space="preserve">cảng có thể giúp duy trì hiệu quả vận </w:t>
      </w:r>
      <w:r>
        <w:rPr>
          <w:rFonts w:ascii="Times New Roman" w:eastAsia="Times New Roman" w:hAnsi="Times New Roman" w:cs="Times New Roman"/>
          <w:sz w:val="26"/>
          <w:szCs w:val="26"/>
        </w:rPr>
        <w:t>tải biển</w:t>
      </w:r>
      <w:r w:rsidRPr="006D737E">
        <w:rPr>
          <w:rFonts w:ascii="Times New Roman" w:eastAsia="Times New Roman" w:hAnsi="Times New Roman" w:cs="Times New Roman"/>
          <w:sz w:val="26"/>
          <w:szCs w:val="26"/>
        </w:rPr>
        <w:t xml:space="preserve"> và giảm thời gian chờ đợi, cuối cùng là tiết kiệm chi phí nhiên liệu và giảm thiểu chất thải và ô nhiễm.</w:t>
      </w:r>
    </w:p>
    <w:p w:rsidR="006D737E" w:rsidRPr="006D737E" w:rsidRDefault="006D737E" w:rsidP="006D737E">
      <w:pPr>
        <w:pStyle w:val="ListParagraph"/>
        <w:numPr>
          <w:ilvl w:val="0"/>
          <w:numId w:val="5"/>
        </w:numPr>
        <w:shd w:val="clear" w:color="auto" w:fill="FFFFFF"/>
        <w:spacing w:before="120" w:after="120" w:line="240" w:lineRule="auto"/>
        <w:jc w:val="both"/>
        <w:textAlignment w:val="baseline"/>
        <w:rPr>
          <w:rFonts w:ascii="Times New Roman" w:eastAsia="Times New Roman" w:hAnsi="Times New Roman" w:cs="Times New Roman"/>
          <w:sz w:val="26"/>
          <w:szCs w:val="26"/>
        </w:rPr>
      </w:pPr>
      <w:r w:rsidRPr="006D737E">
        <w:rPr>
          <w:rFonts w:ascii="Times New Roman" w:eastAsia="Times New Roman" w:hAnsi="Times New Roman" w:cs="Times New Roman"/>
          <w:b/>
          <w:sz w:val="26"/>
          <w:szCs w:val="26"/>
        </w:rPr>
        <w:t>Hợp tác và quan hệ đối tác</w:t>
      </w:r>
      <w:r w:rsidRPr="006D737E">
        <w:rPr>
          <w:rFonts w:ascii="Times New Roman" w:eastAsia="Times New Roman" w:hAnsi="Times New Roman" w:cs="Times New Roman"/>
          <w:sz w:val="26"/>
          <w:szCs w:val="26"/>
        </w:rPr>
        <w:t xml:space="preserve">: Việc áp dụng hợp tác và quan hệ đối tác trong toàn ngành có thể </w:t>
      </w:r>
      <w:r>
        <w:rPr>
          <w:rFonts w:ascii="Times New Roman" w:eastAsia="Times New Roman" w:hAnsi="Times New Roman" w:cs="Times New Roman"/>
          <w:sz w:val="26"/>
          <w:szCs w:val="26"/>
        </w:rPr>
        <w:t>giúp</w:t>
      </w:r>
      <w:r w:rsidRPr="006D737E">
        <w:rPr>
          <w:rFonts w:ascii="Times New Roman" w:eastAsia="Times New Roman" w:hAnsi="Times New Roman" w:cs="Times New Roman"/>
          <w:sz w:val="26"/>
          <w:szCs w:val="26"/>
        </w:rPr>
        <w:t xml:space="preserve"> chia sẻ các thực </w:t>
      </w:r>
      <w:r>
        <w:rPr>
          <w:rFonts w:ascii="Times New Roman" w:eastAsia="Times New Roman" w:hAnsi="Times New Roman" w:cs="Times New Roman"/>
          <w:sz w:val="26"/>
          <w:szCs w:val="26"/>
        </w:rPr>
        <w:t>tiễn</w:t>
      </w:r>
      <w:r w:rsidRPr="006D737E">
        <w:rPr>
          <w:rFonts w:ascii="Times New Roman" w:eastAsia="Times New Roman" w:hAnsi="Times New Roman" w:cs="Times New Roman"/>
          <w:sz w:val="26"/>
          <w:szCs w:val="26"/>
        </w:rPr>
        <w:t xml:space="preserve"> tốt và giảm bớt gánh nặng kinh tế ban đầu của việc triển khai ESG. Điều này có thể bao gồm các sáng kiến ​​trên toàn ngành để giải quyết các thách thức chung và thúc đẩy các </w:t>
      </w:r>
      <w:r>
        <w:rPr>
          <w:rFonts w:ascii="Times New Roman" w:eastAsia="Times New Roman" w:hAnsi="Times New Roman" w:cs="Times New Roman"/>
          <w:sz w:val="26"/>
          <w:szCs w:val="26"/>
        </w:rPr>
        <w:t>thực tiễn</w:t>
      </w:r>
      <w:r w:rsidRPr="006D737E">
        <w:rPr>
          <w:rFonts w:ascii="Times New Roman" w:eastAsia="Times New Roman" w:hAnsi="Times New Roman" w:cs="Times New Roman"/>
          <w:sz w:val="26"/>
          <w:szCs w:val="26"/>
        </w:rPr>
        <w:t xml:space="preserve"> bền vững một cách tập thể.</w:t>
      </w:r>
    </w:p>
    <w:p w:rsidR="006D737E" w:rsidRPr="006D737E" w:rsidRDefault="006D737E" w:rsidP="006D737E">
      <w:pPr>
        <w:pStyle w:val="ListParagraph"/>
        <w:numPr>
          <w:ilvl w:val="0"/>
          <w:numId w:val="5"/>
        </w:numPr>
        <w:shd w:val="clear" w:color="auto" w:fill="FFFFFF"/>
        <w:spacing w:before="120" w:after="120" w:line="240" w:lineRule="auto"/>
        <w:jc w:val="both"/>
        <w:textAlignment w:val="baseline"/>
        <w:rPr>
          <w:rFonts w:ascii="Times New Roman" w:eastAsia="Times New Roman" w:hAnsi="Times New Roman" w:cs="Times New Roman"/>
          <w:sz w:val="26"/>
          <w:szCs w:val="26"/>
        </w:rPr>
      </w:pPr>
      <w:r w:rsidRPr="006D737E">
        <w:rPr>
          <w:rFonts w:ascii="Times New Roman" w:eastAsia="Times New Roman" w:hAnsi="Times New Roman" w:cs="Times New Roman"/>
          <w:sz w:val="26"/>
          <w:szCs w:val="26"/>
        </w:rPr>
        <w:t>C</w:t>
      </w:r>
      <w:r w:rsidRPr="006D737E">
        <w:rPr>
          <w:rFonts w:ascii="Times New Roman" w:eastAsia="Times New Roman" w:hAnsi="Times New Roman" w:cs="Times New Roman"/>
          <w:b/>
          <w:sz w:val="26"/>
          <w:szCs w:val="26"/>
        </w:rPr>
        <w:t>ách tiếp cận từ trên xuống đối với các mục tiêu ESG</w:t>
      </w:r>
      <w:r w:rsidRPr="006D737E">
        <w:rPr>
          <w:rFonts w:ascii="Times New Roman" w:eastAsia="Times New Roman" w:hAnsi="Times New Roman" w:cs="Times New Roman"/>
          <w:sz w:val="26"/>
          <w:szCs w:val="26"/>
        </w:rPr>
        <w:t xml:space="preserve">: Các mục tiêu ESG nên được đặt ra ở cấp quản lý cấp cao nhất và phù hợp với các quy định </w:t>
      </w:r>
      <w:r>
        <w:rPr>
          <w:rFonts w:ascii="Times New Roman" w:eastAsia="Times New Roman" w:hAnsi="Times New Roman" w:cs="Times New Roman"/>
          <w:sz w:val="26"/>
          <w:szCs w:val="26"/>
        </w:rPr>
        <w:t xml:space="preserve">pháp lý </w:t>
      </w:r>
      <w:r w:rsidRPr="006D737E">
        <w:rPr>
          <w:rFonts w:ascii="Times New Roman" w:eastAsia="Times New Roman" w:hAnsi="Times New Roman" w:cs="Times New Roman"/>
          <w:sz w:val="26"/>
          <w:szCs w:val="26"/>
        </w:rPr>
        <w:t xml:space="preserve">để đảm bảo triển khai hiệu quả ở cấp độ </w:t>
      </w:r>
      <w:r>
        <w:rPr>
          <w:rFonts w:ascii="Times New Roman" w:eastAsia="Times New Roman" w:hAnsi="Times New Roman" w:cs="Times New Roman"/>
          <w:sz w:val="26"/>
          <w:szCs w:val="26"/>
        </w:rPr>
        <w:t>vận hành</w:t>
      </w:r>
      <w:r w:rsidRPr="006D737E">
        <w:rPr>
          <w:rFonts w:ascii="Times New Roman" w:eastAsia="Times New Roman" w:hAnsi="Times New Roman" w:cs="Times New Roman"/>
          <w:sz w:val="26"/>
          <w:szCs w:val="26"/>
        </w:rPr>
        <w:t>. Điều này đảm bảo rằng các nguyên tắc ESG được tích hợp vào các chiến lược và hoạt động kinh doanh ngay từ đầu.</w:t>
      </w:r>
    </w:p>
    <w:p w:rsidR="006D737E" w:rsidRPr="006D737E" w:rsidRDefault="006D737E" w:rsidP="006D737E">
      <w:pPr>
        <w:pStyle w:val="ListParagraph"/>
        <w:numPr>
          <w:ilvl w:val="0"/>
          <w:numId w:val="5"/>
        </w:numPr>
        <w:shd w:val="clear" w:color="auto" w:fill="FFFFFF"/>
        <w:spacing w:before="120" w:after="120" w:line="240" w:lineRule="auto"/>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b/>
          <w:sz w:val="26"/>
          <w:szCs w:val="26"/>
        </w:rPr>
        <w:t>Giáo dục</w:t>
      </w:r>
      <w:r w:rsidRPr="006D737E">
        <w:rPr>
          <w:rFonts w:ascii="Times New Roman" w:eastAsia="Times New Roman" w:hAnsi="Times New Roman" w:cs="Times New Roman"/>
          <w:b/>
          <w:sz w:val="26"/>
          <w:szCs w:val="26"/>
        </w:rPr>
        <w:t xml:space="preserve"> và huấn luyện</w:t>
      </w:r>
      <w:r w:rsidRPr="006D737E">
        <w:rPr>
          <w:rFonts w:ascii="Times New Roman" w:eastAsia="Times New Roman" w:hAnsi="Times New Roman" w:cs="Times New Roman"/>
          <w:sz w:val="26"/>
          <w:szCs w:val="26"/>
        </w:rPr>
        <w:t xml:space="preserve">: Việc đưa giáo dục ESG vào các chương trình </w:t>
      </w:r>
      <w:r>
        <w:rPr>
          <w:rFonts w:ascii="Times New Roman" w:eastAsia="Times New Roman" w:hAnsi="Times New Roman" w:cs="Times New Roman"/>
          <w:sz w:val="26"/>
          <w:szCs w:val="26"/>
        </w:rPr>
        <w:t>huấn luyện</w:t>
      </w:r>
      <w:r w:rsidRPr="006D737E">
        <w:rPr>
          <w:rFonts w:ascii="Times New Roman" w:eastAsia="Times New Roman" w:hAnsi="Times New Roman" w:cs="Times New Roman"/>
          <w:sz w:val="26"/>
          <w:szCs w:val="26"/>
        </w:rPr>
        <w:t xml:space="preserve"> có thể giúp nâng cao nhận thức và đảm bảo rằng những người đi biển được trang bị kiến ​​thức và kỹ năng để đóng góp vào các hoạt động bền vững </w:t>
      </w:r>
      <w:r>
        <w:rPr>
          <w:rFonts w:ascii="Times New Roman" w:eastAsia="Times New Roman" w:hAnsi="Times New Roman" w:cs="Times New Roman"/>
          <w:sz w:val="26"/>
          <w:szCs w:val="26"/>
        </w:rPr>
        <w:t xml:space="preserve">ở </w:t>
      </w:r>
      <w:r w:rsidRPr="006D737E">
        <w:rPr>
          <w:rFonts w:ascii="Times New Roman" w:eastAsia="Times New Roman" w:hAnsi="Times New Roman" w:cs="Times New Roman"/>
          <w:sz w:val="26"/>
          <w:szCs w:val="26"/>
        </w:rPr>
        <w:t>trên biển.</w:t>
      </w:r>
    </w:p>
    <w:p w:rsidR="006D737E" w:rsidRPr="006D737E" w:rsidRDefault="006D737E" w:rsidP="006D737E">
      <w:pPr>
        <w:pStyle w:val="ListParagraph"/>
        <w:numPr>
          <w:ilvl w:val="0"/>
          <w:numId w:val="5"/>
        </w:numPr>
        <w:shd w:val="clear" w:color="auto" w:fill="FFFFFF"/>
        <w:spacing w:before="120" w:after="120" w:line="240" w:lineRule="auto"/>
        <w:jc w:val="both"/>
        <w:textAlignment w:val="baseline"/>
        <w:rPr>
          <w:rFonts w:ascii="Times New Roman" w:eastAsia="Times New Roman" w:hAnsi="Times New Roman" w:cs="Times New Roman"/>
          <w:sz w:val="26"/>
          <w:szCs w:val="26"/>
        </w:rPr>
      </w:pPr>
      <w:r w:rsidRPr="006D737E">
        <w:rPr>
          <w:rFonts w:ascii="Times New Roman" w:eastAsia="Times New Roman" w:hAnsi="Times New Roman" w:cs="Times New Roman"/>
          <w:b/>
          <w:sz w:val="26"/>
          <w:szCs w:val="26"/>
        </w:rPr>
        <w:t>Khuôn khổ báo cáo ESG nhất quán</w:t>
      </w:r>
      <w:r>
        <w:rPr>
          <w:rFonts w:ascii="Times New Roman" w:eastAsia="Times New Roman" w:hAnsi="Times New Roman" w:cs="Times New Roman"/>
          <w:sz w:val="26"/>
          <w:szCs w:val="26"/>
        </w:rPr>
        <w:t>: Việc thiết lập một khuôn khổ</w:t>
      </w:r>
      <w:r w:rsidRPr="006D737E">
        <w:rPr>
          <w:rFonts w:ascii="Times New Roman" w:eastAsia="Times New Roman" w:hAnsi="Times New Roman" w:cs="Times New Roman"/>
          <w:sz w:val="26"/>
          <w:szCs w:val="26"/>
        </w:rPr>
        <w:t xml:space="preserve"> báo cáo ESG nhất quán và dựa trên sự đồng thuận cho toàn bộ ngành vận tải biển là rất quan trọng. Điều này sẽ tăng cường tính minh bạch, cho phép các bên liên quan đánh giá </w:t>
      </w:r>
      <w:r w:rsidRPr="006D737E">
        <w:rPr>
          <w:rFonts w:ascii="Times New Roman" w:eastAsia="Times New Roman" w:hAnsi="Times New Roman" w:cs="Times New Roman"/>
          <w:sz w:val="26"/>
          <w:szCs w:val="26"/>
        </w:rPr>
        <w:lastRenderedPageBreak/>
        <w:t>và so sánh hiệu suất ESG của các công ty và thúc đẩy trách nhiệm giải trình trong toàn ngành.</w:t>
      </w:r>
    </w:p>
    <w:p w:rsidR="006D737E" w:rsidRPr="006D737E" w:rsidRDefault="006D737E" w:rsidP="006D737E">
      <w:pPr>
        <w:pStyle w:val="ListParagraph"/>
        <w:numPr>
          <w:ilvl w:val="0"/>
          <w:numId w:val="5"/>
        </w:numPr>
        <w:shd w:val="clear" w:color="auto" w:fill="FFFFFF"/>
        <w:spacing w:before="120" w:after="120" w:line="240" w:lineRule="auto"/>
        <w:jc w:val="both"/>
        <w:textAlignment w:val="baseline"/>
        <w:rPr>
          <w:rFonts w:ascii="Times New Roman" w:eastAsia="Times New Roman" w:hAnsi="Times New Roman" w:cs="Times New Roman"/>
          <w:sz w:val="26"/>
          <w:szCs w:val="26"/>
        </w:rPr>
      </w:pPr>
      <w:r w:rsidRPr="006D737E">
        <w:rPr>
          <w:rFonts w:ascii="Times New Roman" w:eastAsia="Times New Roman" w:hAnsi="Times New Roman" w:cs="Times New Roman"/>
          <w:b/>
          <w:sz w:val="26"/>
          <w:szCs w:val="26"/>
        </w:rPr>
        <w:t>Giải quyết các thách thức phức tạp</w:t>
      </w:r>
      <w:r w:rsidRPr="006D737E">
        <w:rPr>
          <w:rFonts w:ascii="Times New Roman" w:eastAsia="Times New Roman" w:hAnsi="Times New Roman" w:cs="Times New Roman"/>
          <w:sz w:val="26"/>
          <w:szCs w:val="26"/>
        </w:rPr>
        <w:t xml:space="preserve">: Nhận ra sự phức tạp của các thách thức về </w:t>
      </w:r>
      <w:r>
        <w:rPr>
          <w:rFonts w:ascii="Times New Roman" w:eastAsia="Times New Roman" w:hAnsi="Times New Roman" w:cs="Times New Roman"/>
          <w:sz w:val="26"/>
          <w:szCs w:val="26"/>
        </w:rPr>
        <w:t>sự</w:t>
      </w:r>
      <w:r w:rsidRPr="006D737E">
        <w:rPr>
          <w:rFonts w:ascii="Times New Roman" w:eastAsia="Times New Roman" w:hAnsi="Times New Roman" w:cs="Times New Roman"/>
          <w:sz w:val="26"/>
          <w:szCs w:val="26"/>
        </w:rPr>
        <w:t xml:space="preserve"> bền vững và môi trường, chẳng hạn như biến đổi khí hậu và xung đột địa chính trị, đòi hỏi một cách tiếp cận mang tính hợp tác. Quản lý </w:t>
      </w:r>
      <w:r>
        <w:rPr>
          <w:rFonts w:ascii="Times New Roman" w:eastAsia="Times New Roman" w:hAnsi="Times New Roman" w:cs="Times New Roman"/>
          <w:sz w:val="26"/>
          <w:szCs w:val="26"/>
        </w:rPr>
        <w:t xml:space="preserve">sự </w:t>
      </w:r>
      <w:r w:rsidRPr="006D737E">
        <w:rPr>
          <w:rFonts w:ascii="Times New Roman" w:eastAsia="Times New Roman" w:hAnsi="Times New Roman" w:cs="Times New Roman"/>
          <w:sz w:val="26"/>
          <w:szCs w:val="26"/>
        </w:rPr>
        <w:t xml:space="preserve">thay đổi </w:t>
      </w:r>
      <w:r>
        <w:rPr>
          <w:rFonts w:ascii="Times New Roman" w:eastAsia="Times New Roman" w:hAnsi="Times New Roman" w:cs="Times New Roman"/>
          <w:sz w:val="26"/>
          <w:szCs w:val="26"/>
        </w:rPr>
        <w:t xml:space="preserve">một cách </w:t>
      </w:r>
      <w:r w:rsidRPr="006D737E">
        <w:rPr>
          <w:rFonts w:ascii="Times New Roman" w:eastAsia="Times New Roman" w:hAnsi="Times New Roman" w:cs="Times New Roman"/>
          <w:sz w:val="26"/>
          <w:szCs w:val="26"/>
        </w:rPr>
        <w:t>hiệu quả và sự tham gia của các bên liên quan là điều cần thiết để thúc đẩy và duy trì các hoạt động ESG trong các tổ chức, cho phép chuyển đổi suôn sẻ sang mô hình kinh doanh bền vững hơn.</w:t>
      </w:r>
    </w:p>
    <w:p w:rsidR="006D737E" w:rsidRDefault="006D737E" w:rsidP="006D737E">
      <w:pPr>
        <w:shd w:val="clear" w:color="auto" w:fill="FFFFFF"/>
        <w:spacing w:before="120" w:after="120" w:line="240" w:lineRule="auto"/>
        <w:jc w:val="both"/>
        <w:textAlignment w:val="baseline"/>
        <w:rPr>
          <w:rFonts w:ascii="Times New Roman" w:eastAsia="Times New Roman" w:hAnsi="Times New Roman" w:cs="Times New Roman"/>
          <w:sz w:val="26"/>
          <w:szCs w:val="26"/>
        </w:rPr>
      </w:pPr>
      <w:r w:rsidRPr="006D737E">
        <w:rPr>
          <w:rFonts w:ascii="Times New Roman" w:eastAsia="Times New Roman" w:hAnsi="Times New Roman" w:cs="Times New Roman"/>
          <w:sz w:val="26"/>
          <w:szCs w:val="26"/>
        </w:rPr>
        <w:t>Hành trình ESG đòi hỏi sự cam kết vượt ra ngoài việc tuân thủ. Các công ty trong ngành hàng hải có thể đi đầu bằng cách đưa các nguyên tắc ESG vào hoạt động kinh doanh của mình. Điều này có thể bao gồm đầu tư vào các công nghệ sạch hơn, phát hành trái phiếu xanh, thúc đẩy sự đa dạng, công bằng và hòa nhập (DEI) và thực hiện các biện pháp để cải thiện sự tham gia và phúc lợi của nhân viên.</w:t>
      </w:r>
    </w:p>
    <w:p w:rsidR="00085CE6" w:rsidRDefault="00085CE6" w:rsidP="00085CE6">
      <w:pPr>
        <w:shd w:val="clear" w:color="auto" w:fill="FFFFFF"/>
        <w:spacing w:before="120" w:after="120" w:line="240" w:lineRule="auto"/>
        <w:jc w:val="both"/>
        <w:textAlignment w:val="baseline"/>
        <w:rPr>
          <w:rFonts w:ascii="Helvetica" w:eastAsia="Times New Roman" w:hAnsi="Helvetica" w:cs="Helvetica"/>
          <w:color w:val="3C763D"/>
          <w:sz w:val="21"/>
          <w:szCs w:val="21"/>
        </w:rPr>
      </w:pPr>
      <w:r w:rsidRPr="00085CE6">
        <w:rPr>
          <w:rFonts w:ascii="Times New Roman" w:eastAsia="Times New Roman" w:hAnsi="Times New Roman" w:cs="Times New Roman"/>
          <w:color w:val="7030A0"/>
          <w:sz w:val="26"/>
          <w:szCs w:val="26"/>
        </w:rPr>
        <w:t xml:space="preserve">Hãy đọc những gì các chuyên gia hàng hải đề xuất để tạo ra văn hóa và tư duy phù hợp cho ngành hàng hải phù hợp với ESG trong chuyên mục đặc biệt của Safety4sea tại </w:t>
      </w:r>
      <w:r w:rsidRPr="00FE2625">
        <w:rPr>
          <w:rFonts w:ascii="Helvetica" w:eastAsia="Times New Roman" w:hAnsi="Helvetica" w:cs="Helvetica"/>
          <w:color w:val="3C763D"/>
          <w:sz w:val="21"/>
          <w:szCs w:val="21"/>
        </w:rPr>
        <w:t>‘</w:t>
      </w:r>
      <w:hyperlink r:id="rId7" w:tgtFrame="_blank" w:history="1">
        <w:r w:rsidRPr="00FE2625">
          <w:rPr>
            <w:rFonts w:ascii="Helvetica" w:eastAsia="Times New Roman" w:hAnsi="Helvetica" w:cs="Helvetica"/>
            <w:color w:val="0087CD"/>
            <w:sz w:val="21"/>
            <w:szCs w:val="21"/>
            <w:u w:val="single"/>
            <w:bdr w:val="none" w:sz="0" w:space="0" w:color="auto" w:frame="1"/>
          </w:rPr>
          <w:t>ESG Watch’</w:t>
        </w:r>
      </w:hyperlink>
    </w:p>
    <w:p w:rsidR="00FE2625" w:rsidRPr="00085CE6" w:rsidRDefault="00085CE6" w:rsidP="00085CE6">
      <w:pPr>
        <w:shd w:val="clear" w:color="auto" w:fill="FFFFFF"/>
        <w:spacing w:before="120" w:after="120" w:line="240" w:lineRule="auto"/>
        <w:jc w:val="center"/>
        <w:textAlignment w:val="baseline"/>
        <w:rPr>
          <w:rFonts w:ascii="Times New Roman" w:eastAsia="Times New Roman" w:hAnsi="Times New Roman" w:cs="Times New Roman"/>
          <w:sz w:val="26"/>
          <w:szCs w:val="26"/>
        </w:rPr>
      </w:pPr>
      <w:r>
        <w:rPr>
          <w:rFonts w:ascii="Helvetica" w:eastAsia="Times New Roman" w:hAnsi="Helvetica" w:cs="Helvetica"/>
          <w:color w:val="3C763D"/>
          <w:sz w:val="21"/>
          <w:szCs w:val="21"/>
        </w:rPr>
        <w:t>-------------------------------------------------</w:t>
      </w:r>
    </w:p>
    <w:sectPr w:rsidR="00FE2625" w:rsidRPr="00085CE6" w:rsidSect="00FE2625">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75E7A"/>
    <w:multiLevelType w:val="multilevel"/>
    <w:tmpl w:val="53F665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584138"/>
    <w:multiLevelType w:val="hybridMultilevel"/>
    <w:tmpl w:val="6764D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CA75AD"/>
    <w:multiLevelType w:val="hybridMultilevel"/>
    <w:tmpl w:val="9EEA0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786C18"/>
    <w:multiLevelType w:val="multilevel"/>
    <w:tmpl w:val="644C3A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3A2B45"/>
    <w:multiLevelType w:val="multilevel"/>
    <w:tmpl w:val="6CC895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625"/>
    <w:rsid w:val="000435A0"/>
    <w:rsid w:val="00085CE6"/>
    <w:rsid w:val="00232452"/>
    <w:rsid w:val="002A0969"/>
    <w:rsid w:val="00391F39"/>
    <w:rsid w:val="004F4B3B"/>
    <w:rsid w:val="006D737E"/>
    <w:rsid w:val="00D5206A"/>
    <w:rsid w:val="00E91268"/>
    <w:rsid w:val="00FE26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94FF0"/>
  <w15:chartTrackingRefBased/>
  <w15:docId w15:val="{B1493C12-1700-4F6D-AB8A-E1A8C6560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FE262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6">
    <w:name w:val="heading 6"/>
    <w:basedOn w:val="Normal"/>
    <w:link w:val="Heading6Char"/>
    <w:uiPriority w:val="9"/>
    <w:qFormat/>
    <w:rsid w:val="00FE2625"/>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E2625"/>
    <w:rPr>
      <w:rFonts w:ascii="Times New Roman" w:eastAsia="Times New Roman" w:hAnsi="Times New Roman" w:cs="Times New Roman"/>
      <w:b/>
      <w:bCs/>
      <w:sz w:val="27"/>
      <w:szCs w:val="27"/>
    </w:rPr>
  </w:style>
  <w:style w:type="character" w:customStyle="1" w:styleId="Heading6Char">
    <w:name w:val="Heading 6 Char"/>
    <w:basedOn w:val="DefaultParagraphFont"/>
    <w:link w:val="Heading6"/>
    <w:uiPriority w:val="9"/>
    <w:rsid w:val="00FE2625"/>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FE262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E2625"/>
    <w:rPr>
      <w:color w:val="0000FF"/>
      <w:u w:val="single"/>
    </w:rPr>
  </w:style>
  <w:style w:type="character" w:customStyle="1" w:styleId="dropcap">
    <w:name w:val="dropcap"/>
    <w:basedOn w:val="DefaultParagraphFont"/>
    <w:rsid w:val="00FE2625"/>
  </w:style>
  <w:style w:type="character" w:styleId="Strong">
    <w:name w:val="Strong"/>
    <w:basedOn w:val="DefaultParagraphFont"/>
    <w:uiPriority w:val="22"/>
    <w:qFormat/>
    <w:rsid w:val="00FE2625"/>
    <w:rPr>
      <w:b/>
      <w:bCs/>
    </w:rPr>
  </w:style>
  <w:style w:type="paragraph" w:styleId="ListParagraph">
    <w:name w:val="List Paragraph"/>
    <w:basedOn w:val="Normal"/>
    <w:uiPriority w:val="34"/>
    <w:qFormat/>
    <w:rsid w:val="00D520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6913167">
      <w:bodyDiv w:val="1"/>
      <w:marLeft w:val="0"/>
      <w:marRight w:val="0"/>
      <w:marTop w:val="0"/>
      <w:marBottom w:val="0"/>
      <w:divBdr>
        <w:top w:val="none" w:sz="0" w:space="0" w:color="auto"/>
        <w:left w:val="none" w:sz="0" w:space="0" w:color="auto"/>
        <w:bottom w:val="none" w:sz="0" w:space="0" w:color="auto"/>
        <w:right w:val="none" w:sz="0" w:space="0" w:color="auto"/>
      </w:divBdr>
      <w:divsChild>
        <w:div w:id="1459642068">
          <w:marLeft w:val="0"/>
          <w:marRight w:val="0"/>
          <w:marTop w:val="0"/>
          <w:marBottom w:val="0"/>
          <w:divBdr>
            <w:top w:val="none" w:sz="0" w:space="0" w:color="auto"/>
            <w:left w:val="none" w:sz="0" w:space="0" w:color="auto"/>
            <w:bottom w:val="none" w:sz="0" w:space="0" w:color="auto"/>
            <w:right w:val="none" w:sz="0" w:space="0" w:color="auto"/>
          </w:divBdr>
        </w:div>
        <w:div w:id="1520393273">
          <w:marLeft w:val="0"/>
          <w:marRight w:val="0"/>
          <w:marTop w:val="0"/>
          <w:marBottom w:val="0"/>
          <w:divBdr>
            <w:top w:val="none" w:sz="0" w:space="0" w:color="auto"/>
            <w:left w:val="none" w:sz="0" w:space="0" w:color="auto"/>
            <w:bottom w:val="none" w:sz="0" w:space="0" w:color="auto"/>
            <w:right w:val="none" w:sz="0" w:space="0" w:color="auto"/>
          </w:divBdr>
          <w:divsChild>
            <w:div w:id="190144988">
              <w:marLeft w:val="0"/>
              <w:marRight w:val="0"/>
              <w:marTop w:val="0"/>
              <w:marBottom w:val="0"/>
              <w:divBdr>
                <w:top w:val="none" w:sz="0" w:space="0" w:color="auto"/>
                <w:left w:val="none" w:sz="0" w:space="0" w:color="auto"/>
                <w:bottom w:val="none" w:sz="0" w:space="0" w:color="auto"/>
                <w:right w:val="none" w:sz="0" w:space="0" w:color="auto"/>
              </w:divBdr>
              <w:divsChild>
                <w:div w:id="173299398">
                  <w:marLeft w:val="0"/>
                  <w:marRight w:val="0"/>
                  <w:marTop w:val="0"/>
                  <w:marBottom w:val="300"/>
                  <w:divBdr>
                    <w:top w:val="none" w:sz="0" w:space="0" w:color="auto"/>
                    <w:left w:val="none" w:sz="0" w:space="0" w:color="auto"/>
                    <w:bottom w:val="none" w:sz="0" w:space="0" w:color="auto"/>
                    <w:right w:val="none" w:sz="0" w:space="0" w:color="auto"/>
                  </w:divBdr>
                  <w:divsChild>
                    <w:div w:id="148373781">
                      <w:marLeft w:val="0"/>
                      <w:marRight w:val="0"/>
                      <w:marTop w:val="0"/>
                      <w:marBottom w:val="225"/>
                      <w:divBdr>
                        <w:top w:val="none" w:sz="0" w:space="0" w:color="auto"/>
                        <w:left w:val="none" w:sz="0" w:space="0" w:color="auto"/>
                        <w:bottom w:val="none" w:sz="0" w:space="0" w:color="auto"/>
                        <w:right w:val="none" w:sz="0" w:space="0" w:color="auto"/>
                      </w:divBdr>
                    </w:div>
                    <w:div w:id="1771925782">
                      <w:marLeft w:val="0"/>
                      <w:marRight w:val="0"/>
                      <w:marTop w:val="0"/>
                      <w:marBottom w:val="0"/>
                      <w:divBdr>
                        <w:top w:val="none" w:sz="0" w:space="0" w:color="auto"/>
                        <w:left w:val="none" w:sz="0" w:space="0" w:color="auto"/>
                        <w:bottom w:val="none" w:sz="0" w:space="0" w:color="auto"/>
                        <w:right w:val="none" w:sz="0" w:space="0" w:color="auto"/>
                      </w:divBdr>
                      <w:divsChild>
                        <w:div w:id="167644187">
                          <w:marLeft w:val="0"/>
                          <w:marRight w:val="0"/>
                          <w:marTop w:val="0"/>
                          <w:marBottom w:val="0"/>
                          <w:divBdr>
                            <w:top w:val="none" w:sz="0" w:space="0" w:color="auto"/>
                            <w:left w:val="none" w:sz="0" w:space="0" w:color="auto"/>
                            <w:bottom w:val="none" w:sz="0" w:space="0" w:color="auto"/>
                            <w:right w:val="none" w:sz="0" w:space="0" w:color="auto"/>
                          </w:divBdr>
                          <w:divsChild>
                            <w:div w:id="310601355">
                              <w:marLeft w:val="0"/>
                              <w:marRight w:val="0"/>
                              <w:marTop w:val="0"/>
                              <w:marBottom w:val="0"/>
                              <w:divBdr>
                                <w:top w:val="none" w:sz="0" w:space="0" w:color="auto"/>
                                <w:left w:val="none" w:sz="0" w:space="0" w:color="auto"/>
                                <w:bottom w:val="none" w:sz="0" w:space="0" w:color="auto"/>
                                <w:right w:val="none" w:sz="0" w:space="0" w:color="auto"/>
                              </w:divBdr>
                              <w:divsChild>
                                <w:div w:id="263154708">
                                  <w:marLeft w:val="0"/>
                                  <w:marRight w:val="0"/>
                                  <w:marTop w:val="0"/>
                                  <w:marBottom w:val="0"/>
                                  <w:divBdr>
                                    <w:top w:val="none" w:sz="0" w:space="0" w:color="auto"/>
                                    <w:left w:val="none" w:sz="0" w:space="0" w:color="auto"/>
                                    <w:bottom w:val="none" w:sz="0" w:space="0" w:color="auto"/>
                                    <w:right w:val="none" w:sz="0" w:space="0" w:color="auto"/>
                                  </w:divBdr>
                                </w:div>
                                <w:div w:id="182716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0130341">
          <w:marLeft w:val="0"/>
          <w:marRight w:val="0"/>
          <w:marTop w:val="240"/>
          <w:marBottom w:val="240"/>
          <w:divBdr>
            <w:top w:val="single" w:sz="6" w:space="6" w:color="BCE8F1"/>
            <w:left w:val="single" w:sz="6" w:space="12" w:color="BCE8F1"/>
            <w:bottom w:val="single" w:sz="6" w:space="6" w:color="BCE8F1"/>
            <w:right w:val="single" w:sz="6" w:space="12" w:color="BCE8F1"/>
          </w:divBdr>
        </w:div>
        <w:div w:id="562562446">
          <w:blockQuote w:val="1"/>
          <w:marLeft w:val="0"/>
          <w:marRight w:val="0"/>
          <w:marTop w:val="300"/>
          <w:marBottom w:val="300"/>
          <w:divBdr>
            <w:top w:val="none" w:sz="0" w:space="0" w:color="auto"/>
            <w:left w:val="none" w:sz="0" w:space="0" w:color="auto"/>
            <w:bottom w:val="none" w:sz="0" w:space="0" w:color="auto"/>
            <w:right w:val="none" w:sz="0" w:space="0" w:color="auto"/>
          </w:divBdr>
        </w:div>
        <w:div w:id="1905337806">
          <w:blockQuote w:val="1"/>
          <w:marLeft w:val="0"/>
          <w:marRight w:val="0"/>
          <w:marTop w:val="300"/>
          <w:marBottom w:val="300"/>
          <w:divBdr>
            <w:top w:val="none" w:sz="0" w:space="0" w:color="auto"/>
            <w:left w:val="none" w:sz="0" w:space="0" w:color="auto"/>
            <w:bottom w:val="none" w:sz="0" w:space="0" w:color="auto"/>
            <w:right w:val="none" w:sz="0" w:space="0" w:color="auto"/>
          </w:divBdr>
        </w:div>
        <w:div w:id="1506364441">
          <w:marLeft w:val="0"/>
          <w:marRight w:val="0"/>
          <w:marTop w:val="240"/>
          <w:marBottom w:val="240"/>
          <w:divBdr>
            <w:top w:val="single" w:sz="6" w:space="6" w:color="D6E9C6"/>
            <w:left w:val="single" w:sz="6" w:space="12" w:color="D6E9C6"/>
            <w:bottom w:val="single" w:sz="6" w:space="6" w:color="D6E9C6"/>
            <w:right w:val="single" w:sz="6" w:space="12" w:color="D6E9C6"/>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afety4sea.com/cm-esg-watch-creating-the-right-mindset-for-an-esg-fit-maritime-indust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fety4sea.com/cm-safety4sea-esg-climate-survey-industry-needs-to-focus-on-the-three-esg-dimensions-equally/"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6</Pages>
  <Words>1998</Words>
  <Characters>11394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4</cp:revision>
  <dcterms:created xsi:type="dcterms:W3CDTF">2024-08-25T07:44:00Z</dcterms:created>
  <dcterms:modified xsi:type="dcterms:W3CDTF">2024-08-27T06:29:00Z</dcterms:modified>
</cp:coreProperties>
</file>