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E3" w:rsidRPr="001876E3" w:rsidRDefault="001876E3" w:rsidP="001876E3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Bài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học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kinh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nghiệm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: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chở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khí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đốt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9F75A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hóa</w:t>
      </w:r>
      <w:proofErr w:type="spellEnd"/>
      <w:r w:rsidR="009F75A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9F75A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lỏng</w:t>
      </w:r>
      <w:proofErr w:type="spellEnd"/>
      <w:r w:rsidR="009F75A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va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chạm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với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kéo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địa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phương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ở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kênh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đào</w:t>
      </w:r>
      <w:proofErr w:type="spellEnd"/>
      <w:r w:rsidRPr="001876E3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Suez</w:t>
      </w:r>
    </w:p>
    <w:bookmarkEnd w:id="0"/>
    <w:p w:rsidR="001876E3" w:rsidRPr="001876E3" w:rsidRDefault="001876E3" w:rsidP="001876E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876E3">
        <w:rPr>
          <w:rFonts w:ascii="Times New Roman" w:eastAsia="Times New Roman" w:hAnsi="Times New Roman" w:cs="Times New Roman"/>
          <w:color w:val="0070C0"/>
          <w:sz w:val="24"/>
          <w:szCs w:val="24"/>
          <w:bdr w:val="none" w:sz="0" w:space="0" w:color="auto" w:frame="1"/>
        </w:rPr>
        <w:t>Theo Safety4sea</w:t>
      </w:r>
    </w:p>
    <w:p w:rsidR="001876E3" w:rsidRPr="001876E3" w:rsidRDefault="001876E3" w:rsidP="001876E3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1876E3">
        <w:rPr>
          <w:rFonts w:ascii="inherit" w:eastAsia="Times New Roman" w:hAnsi="inherit" w:cs="Helvetica"/>
          <w:color w:val="808080"/>
          <w:sz w:val="20"/>
          <w:szCs w:val="20"/>
        </w:rPr>
        <w:t> </w:t>
      </w:r>
      <w:r w:rsidRPr="001876E3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1876E3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"https://safety4sea.com/wp-content/uploads/2024/06/shutterstock_2091180568.jpg" </w:instrText>
      </w:r>
      <w:r w:rsidRPr="001876E3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1876E3" w:rsidRPr="001876E3" w:rsidRDefault="001876E3" w:rsidP="001876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6E3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6118860" cy="3062695"/>
            <wp:effectExtent l="0" t="0" r="0" b="4445"/>
            <wp:docPr id="1" name="Picture 1" descr="Lessons learned: Watertight doors are critical element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sons learned: Watertight doors are critical element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772" cy="306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E3" w:rsidRPr="001876E3" w:rsidRDefault="001876E3" w:rsidP="001876E3">
      <w:pPr>
        <w:shd w:val="clear" w:color="auto" w:fill="FFFFFF"/>
        <w:spacing w:before="45" w:after="0" w:line="240" w:lineRule="auto"/>
        <w:jc w:val="right"/>
        <w:textAlignment w:val="baseline"/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</w:pPr>
      <w:r w:rsidRPr="001876E3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 xml:space="preserve">Credit: </w:t>
      </w:r>
      <w:proofErr w:type="spellStart"/>
      <w:r w:rsidRPr="001876E3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>Shutterstock</w:t>
      </w:r>
      <w:proofErr w:type="spellEnd"/>
    </w:p>
    <w:p w:rsidR="001876E3" w:rsidRPr="001876E3" w:rsidRDefault="001876E3" w:rsidP="001876E3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876E3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1876E3" w:rsidRPr="001876E3" w:rsidRDefault="001876E3" w:rsidP="001876E3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Hong Kong Merchant Shipping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đưa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rút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kinh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nghiệm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tai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nạn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hóa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lỏng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va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chạm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địa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phương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quá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chạy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lên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phía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ở</w:t>
      </w:r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Kênh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đào</w:t>
      </w:r>
      <w:proofErr w:type="spellEnd"/>
      <w:r w:rsidRPr="001876E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Suez.</w:t>
      </w:r>
    </w:p>
    <w:p w:rsidR="001876E3" w:rsidRPr="001876E3" w:rsidRDefault="001876E3" w:rsidP="001876E3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876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1876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1876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tai </w:t>
      </w:r>
      <w:proofErr w:type="spellStart"/>
      <w:r w:rsidRPr="001876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nạn</w:t>
      </w:r>
      <w:proofErr w:type="spellEnd"/>
    </w:p>
    <w:p w:rsidR="001876E3" w:rsidRPr="001876E3" w:rsidRDefault="001876E3" w:rsidP="001876E3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xảy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tai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nạn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lặng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tầm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nhìn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tốt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gió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tây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nam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cấp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Beaufort.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khí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hóa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lỏng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đăng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ký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cờ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Hồng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Kông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Gas) 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di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hướng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Kênh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đào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Suez (SC)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hoa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tiêu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chiếc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phương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ở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phía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trước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cũng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hướng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SC.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Vì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tốc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chậm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nên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khoảng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giữa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chúng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dần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rút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ngắn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Gas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thấy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rung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lắc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kèm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tiếng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bất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thường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chiếc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thì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nghiêng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lớn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sang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bên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chìm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nửa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nước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Chiếc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cuối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cùng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chìm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Sáu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cứu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nạn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phương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giải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cứu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mất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tích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Thi thể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mất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tích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tìm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thấy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ở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bên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F75A3" w:rsidRPr="001876E3" w:rsidRDefault="001876E3" w:rsidP="009F75A3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Cuộc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xác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rằng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yếu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tố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góp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phần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dẫn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tai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nạn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Gas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tuân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thủ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tắc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” (RON)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tắc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COLREGS,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tức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luôn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luôn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trì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cảnh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giới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thích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đánh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giá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đầy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đủ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tình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h</w:t>
      </w:r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ình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nguy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chạm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Gas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tuân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thủ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nêu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RON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vượt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lai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phép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Cơ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quản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lý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SC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="006F1F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dừng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luồng</w:t>
      </w:r>
      <w:proofErr w:type="spellEnd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phía</w:t>
      </w:r>
      <w:proofErr w:type="spellEnd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trức</w:t>
      </w:r>
      <w:proofErr w:type="spellEnd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cản</w:t>
      </w:r>
      <w:proofErr w:type="spellEnd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 w:rsidRP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trở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trưởng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sĩ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trực</w:t>
      </w:r>
      <w:proofErr w:type="spellEnd"/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đầy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đủ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nhiệm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mình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liên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SC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hoa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tiêu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dẫn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Hướng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dẫn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Buồng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lái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(BPM)</w:t>
      </w:r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SC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lập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thích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hoặc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đầy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đủ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BPM;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chiếc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kéo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tuân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thủ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quy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nêu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RON,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tức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thí</w:t>
      </w:r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để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hút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chú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ý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àu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Gas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tránh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chạm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giảm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tốc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SC</w:t>
      </w:r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tránh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cản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trở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đi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àu</w:t>
      </w:r>
      <w:proofErr w:type="spellEnd"/>
      <w:r w:rsidR="009F75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Gas</w:t>
      </w:r>
      <w:r w:rsidRPr="00187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291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9F75A3" w:rsidRPr="009F75A3" w:rsidRDefault="009F75A3" w:rsidP="009F75A3">
      <w:pPr>
        <w:shd w:val="clear" w:color="auto" w:fill="F2DEDE"/>
        <w:spacing w:after="12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F75A3">
        <w:rPr>
          <w:rFonts w:ascii="Arial" w:eastAsia="Times New Roman" w:hAnsi="Arial" w:cs="Arial"/>
          <w:b/>
          <w:sz w:val="24"/>
          <w:szCs w:val="24"/>
        </w:rPr>
        <w:t>Bài</w:t>
      </w:r>
      <w:proofErr w:type="spellEnd"/>
      <w:r w:rsidRPr="009F75A3">
        <w:rPr>
          <w:rFonts w:ascii="Arial" w:eastAsia="Times New Roman" w:hAnsi="Arial" w:cs="Arial"/>
          <w:b/>
          <w:sz w:val="24"/>
          <w:szCs w:val="24"/>
        </w:rPr>
        <w:t xml:space="preserve"> học </w:t>
      </w:r>
      <w:proofErr w:type="spellStart"/>
      <w:r w:rsidRPr="009F75A3">
        <w:rPr>
          <w:rFonts w:ascii="Arial" w:eastAsia="Times New Roman" w:hAnsi="Arial" w:cs="Arial"/>
          <w:b/>
          <w:sz w:val="24"/>
          <w:szCs w:val="24"/>
        </w:rPr>
        <w:t>kinh</w:t>
      </w:r>
      <w:proofErr w:type="spellEnd"/>
      <w:r w:rsidRPr="009F75A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b/>
          <w:sz w:val="24"/>
          <w:szCs w:val="24"/>
        </w:rPr>
        <w:t>nghiệm</w:t>
      </w:r>
      <w:proofErr w:type="spellEnd"/>
    </w:p>
    <w:p w:rsidR="009F75A3" w:rsidRPr="009F75A3" w:rsidRDefault="009F75A3" w:rsidP="009F75A3">
      <w:pPr>
        <w:numPr>
          <w:ilvl w:val="0"/>
          <w:numId w:val="1"/>
        </w:numPr>
        <w:shd w:val="clear" w:color="auto" w:fill="F2DEDE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</w:t>
      </w:r>
      <w:r w:rsidRPr="009F75A3">
        <w:rPr>
          <w:rFonts w:ascii="Arial" w:eastAsia="Times New Roman" w:hAnsi="Arial" w:cs="Arial"/>
          <w:sz w:val="24"/>
          <w:szCs w:val="24"/>
        </w:rPr>
        <w:t>uân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nghiêm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ngặt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quy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định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tắc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COLREGS </w:t>
      </w:r>
      <w:proofErr w:type="spellStart"/>
      <w:r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luôn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duy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trì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việc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cảnh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quá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SC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đánh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hình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nguy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chạm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>;</w:t>
      </w:r>
    </w:p>
    <w:p w:rsidR="009F75A3" w:rsidRPr="009F75A3" w:rsidRDefault="009F75A3" w:rsidP="009F75A3">
      <w:pPr>
        <w:numPr>
          <w:ilvl w:val="0"/>
          <w:numId w:val="1"/>
        </w:numPr>
        <w:shd w:val="clear" w:color="auto" w:fill="F2DEDE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</w:t>
      </w:r>
      <w:r w:rsidRPr="009F75A3">
        <w:rPr>
          <w:rFonts w:ascii="Arial" w:eastAsia="Times New Roman" w:hAnsi="Arial" w:cs="Arial"/>
          <w:sz w:val="24"/>
          <w:szCs w:val="24"/>
        </w:rPr>
        <w:t>uân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nghiêm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ngặt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quy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nêu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RON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động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thích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hợp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nhằm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đảm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an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SC,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vượt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>
        <w:rPr>
          <w:rFonts w:ascii="Arial" w:eastAsia="Times New Roman" w:hAnsi="Arial" w:cs="Arial"/>
          <w:sz w:val="24"/>
          <w:szCs w:val="24"/>
        </w:rPr>
        <w:t>cho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phép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dừng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luồng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phía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thoáng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>;</w:t>
      </w:r>
    </w:p>
    <w:p w:rsidR="009F75A3" w:rsidRPr="009F75A3" w:rsidRDefault="009F75A3" w:rsidP="009F75A3">
      <w:pPr>
        <w:numPr>
          <w:ilvl w:val="0"/>
          <w:numId w:val="1"/>
        </w:numPr>
        <w:shd w:val="clear" w:color="auto" w:fill="F2DEDE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</w:t>
      </w:r>
      <w:r w:rsidRPr="009F75A3">
        <w:rPr>
          <w:rFonts w:ascii="Arial" w:eastAsia="Times New Roman" w:hAnsi="Arial" w:cs="Arial"/>
          <w:sz w:val="24"/>
          <w:szCs w:val="24"/>
        </w:rPr>
        <w:t>uân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nghiêm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ngặt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quy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BPM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STCW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dẫn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an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hoa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tiêu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dẫn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thích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sự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nghi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ngờ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hoa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Và</w:t>
      </w:r>
      <w:proofErr w:type="spellEnd"/>
    </w:p>
    <w:p w:rsidR="009F75A3" w:rsidRPr="009F75A3" w:rsidRDefault="009F75A3" w:rsidP="004544B1">
      <w:pPr>
        <w:numPr>
          <w:ilvl w:val="0"/>
          <w:numId w:val="1"/>
        </w:numPr>
        <w:shd w:val="clear" w:color="auto" w:fill="F2DEDE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</w:t>
      </w:r>
      <w:r w:rsidRPr="009F75A3">
        <w:rPr>
          <w:rFonts w:ascii="Arial" w:eastAsia="Times New Roman" w:hAnsi="Arial" w:cs="Arial"/>
          <w:sz w:val="24"/>
          <w:szCs w:val="24"/>
        </w:rPr>
        <w:t>ảm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tuyến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thích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thức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RON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việc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giám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sát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hình</w:t>
      </w:r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giao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duy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trì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việc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cảnh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thích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75A3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9F75A3">
        <w:rPr>
          <w:rFonts w:ascii="Arial" w:eastAsia="Times New Roman" w:hAnsi="Arial" w:cs="Arial"/>
          <w:sz w:val="24"/>
          <w:szCs w:val="24"/>
        </w:rPr>
        <w:t>.</w:t>
      </w:r>
    </w:p>
    <w:p w:rsidR="0062333C" w:rsidRDefault="009F75A3" w:rsidP="009F75A3">
      <w:pPr>
        <w:jc w:val="center"/>
      </w:pPr>
      <w:r>
        <w:rPr>
          <w:rFonts w:ascii="inherit" w:eastAsia="Times New Roman" w:hAnsi="inherit" w:cs="Helvetica"/>
          <w:color w:val="A94442"/>
          <w:sz w:val="21"/>
          <w:szCs w:val="21"/>
        </w:rPr>
        <w:t>---------------------------------------</w:t>
      </w:r>
    </w:p>
    <w:sectPr w:rsidR="0062333C" w:rsidSect="001876E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468"/>
    <w:multiLevelType w:val="multilevel"/>
    <w:tmpl w:val="8A64B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E3"/>
    <w:rsid w:val="001876E3"/>
    <w:rsid w:val="00291B72"/>
    <w:rsid w:val="0062333C"/>
    <w:rsid w:val="006F1FAD"/>
    <w:rsid w:val="009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A80C"/>
  <w15:chartTrackingRefBased/>
  <w15:docId w15:val="{4C3EA734-BCE9-43AE-916F-7873DCD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7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8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6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876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1876E3"/>
  </w:style>
  <w:style w:type="character" w:styleId="Hyperlink">
    <w:name w:val="Hyperlink"/>
    <w:basedOn w:val="DefaultParagraphFont"/>
    <w:uiPriority w:val="99"/>
    <w:semiHidden/>
    <w:unhideWhenUsed/>
    <w:rsid w:val="001876E3"/>
    <w:rPr>
      <w:color w:val="0000FF"/>
      <w:u w:val="single"/>
    </w:rPr>
  </w:style>
  <w:style w:type="paragraph" w:customStyle="1" w:styleId="wp-caption-text">
    <w:name w:val="wp-caption-text"/>
    <w:basedOn w:val="Normal"/>
    <w:rsid w:val="0018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76E3"/>
    <w:rPr>
      <w:b/>
      <w:bCs/>
    </w:rPr>
  </w:style>
  <w:style w:type="character" w:customStyle="1" w:styleId="dropcap">
    <w:name w:val="dropcap"/>
    <w:basedOn w:val="DefaultParagraphFont"/>
    <w:rsid w:val="0018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2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8022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8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99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858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6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63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2430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633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3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8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69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70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8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6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68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54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EBCCD1"/>
                                    <w:left w:val="single" w:sz="6" w:space="12" w:color="EBCCD1"/>
                                    <w:bottom w:val="single" w:sz="6" w:space="6" w:color="EBCCD1"/>
                                    <w:right w:val="single" w:sz="6" w:space="12" w:color="EBCCD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afety4sea.com/wp-content/uploads/2024/06/shutterstock_209118056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2024-07-19T00:54:00Z</dcterms:created>
  <dcterms:modified xsi:type="dcterms:W3CDTF">2024-07-19T01:23:00Z</dcterms:modified>
</cp:coreProperties>
</file>