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52B" w:rsidRPr="00B7152B" w:rsidRDefault="00B7152B" w:rsidP="00B7152B">
      <w:pPr>
        <w:spacing w:after="96" w:line="240" w:lineRule="auto"/>
        <w:jc w:val="center"/>
        <w:textAlignment w:val="baseline"/>
        <w:outlineLvl w:val="0"/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</w:pPr>
      <w:proofErr w:type="spellStart"/>
      <w:r w:rsidRPr="00B7152B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Đột</w:t>
      </w:r>
      <w:proofErr w:type="spellEnd"/>
      <w:r w:rsidRPr="00B7152B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</w:t>
      </w:r>
      <w:proofErr w:type="spellStart"/>
      <w:r w:rsidRPr="00B7152B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phá</w:t>
      </w:r>
      <w:proofErr w:type="spellEnd"/>
      <w:r w:rsidRPr="00B7152B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</w:t>
      </w:r>
      <w:proofErr w:type="spellStart"/>
      <w:r w:rsidRPr="00B7152B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mới</w:t>
      </w:r>
      <w:proofErr w:type="spellEnd"/>
      <w:r w:rsidRPr="00B7152B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</w:t>
      </w:r>
      <w:proofErr w:type="spellStart"/>
      <w:r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trong</w:t>
      </w:r>
      <w:proofErr w:type="spellEnd"/>
      <w:r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</w:t>
      </w:r>
      <w:proofErr w:type="spellStart"/>
      <w:r w:rsidRPr="00B7152B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phát</w:t>
      </w:r>
      <w:proofErr w:type="spellEnd"/>
      <w:r w:rsidRPr="00B7152B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</w:t>
      </w:r>
      <w:proofErr w:type="spellStart"/>
      <w:r w:rsidRPr="00B7152B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hiện</w:t>
      </w:r>
      <w:proofErr w:type="spellEnd"/>
      <w:r w:rsidRPr="00B7152B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</w:t>
      </w:r>
      <w:proofErr w:type="spellStart"/>
      <w:r w:rsidRPr="00B7152B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vết</w:t>
      </w:r>
      <w:proofErr w:type="spellEnd"/>
      <w:r w:rsidRPr="00B7152B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</w:t>
      </w:r>
      <w:proofErr w:type="spellStart"/>
      <w:r w:rsidRPr="00B7152B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dầu</w:t>
      </w:r>
      <w:proofErr w:type="spellEnd"/>
      <w:r w:rsidRPr="00B7152B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</w:t>
      </w:r>
      <w:proofErr w:type="spellStart"/>
      <w:r w:rsidRPr="00B7152B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loang</w:t>
      </w:r>
      <w:proofErr w:type="spellEnd"/>
      <w:r w:rsidRPr="00B7152B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</w:t>
      </w:r>
      <w:proofErr w:type="spellStart"/>
      <w:r w:rsidRPr="00B7152B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bằng</w:t>
      </w:r>
      <w:proofErr w:type="spellEnd"/>
      <w:r w:rsidRPr="00B7152B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</w:t>
      </w:r>
      <w:bookmarkStart w:id="0" w:name="_GoBack"/>
      <w:bookmarkEnd w:id="0"/>
      <w:proofErr w:type="spellStart"/>
      <w:r w:rsidRPr="00B7152B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công</w:t>
      </w:r>
      <w:proofErr w:type="spellEnd"/>
      <w:r w:rsidRPr="00B7152B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</w:t>
      </w:r>
      <w:proofErr w:type="spellStart"/>
      <w:r w:rsidRPr="00B7152B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nghệ</w:t>
      </w:r>
      <w:proofErr w:type="spellEnd"/>
      <w:r w:rsidRPr="00B7152B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</w:t>
      </w:r>
      <w:proofErr w:type="spellStart"/>
      <w:r w:rsidRPr="00B7152B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vệ</w:t>
      </w:r>
      <w:proofErr w:type="spellEnd"/>
      <w:r w:rsidRPr="00B7152B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</w:t>
      </w:r>
      <w:proofErr w:type="spellStart"/>
      <w:r w:rsidRPr="00B7152B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tinh</w:t>
      </w:r>
      <w:proofErr w:type="spellEnd"/>
    </w:p>
    <w:p w:rsidR="00B7152B" w:rsidRPr="00B7152B" w:rsidRDefault="00B7152B" w:rsidP="00B7152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87CD"/>
          <w:sz w:val="24"/>
          <w:szCs w:val="24"/>
          <w:bdr w:val="none" w:sz="0" w:space="0" w:color="auto" w:frame="1"/>
        </w:rPr>
      </w:pPr>
      <w:r w:rsidRPr="00B7152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B7152B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"https://safety4sea.com/wp-content/uploads/2024/07/Deepwater-Horizon-Oil-Spill-Gulf-of-Mexico-by-Kris-Krug-is-licensed-under-CC-BY-NC-SA-2-0_ws.jpg" </w:instrText>
      </w:r>
      <w:r w:rsidRPr="00B7152B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B7152B" w:rsidRPr="00B7152B" w:rsidRDefault="00B7152B" w:rsidP="00B7152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7152B">
        <w:rPr>
          <w:rFonts w:ascii="Times New Roman" w:eastAsia="Times New Roman" w:hAnsi="Times New Roman" w:cs="Times New Roman"/>
          <w:noProof/>
          <w:color w:val="0087CD"/>
          <w:sz w:val="24"/>
          <w:szCs w:val="24"/>
          <w:bdr w:val="none" w:sz="0" w:space="0" w:color="auto" w:frame="1"/>
        </w:rPr>
        <w:drawing>
          <wp:inline distT="0" distB="0" distL="0" distR="0">
            <wp:extent cx="5897880" cy="2952087"/>
            <wp:effectExtent l="0" t="0" r="7620" b="1270"/>
            <wp:docPr id="1" name="Picture 1" descr="oil spill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il spill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1362" cy="296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52B" w:rsidRPr="00B7152B" w:rsidRDefault="00B7152B" w:rsidP="00B7152B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7152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B7152B" w:rsidRPr="00B7152B" w:rsidRDefault="00B7152B" w:rsidP="00B7152B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Phòng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thí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nghiệm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Hàng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hải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Plymouth (PML)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đang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sử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dụng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công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nghệ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vệ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tinh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tiên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tiến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để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tăng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cường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phát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hiện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các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vụ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tràn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dầu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trên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biển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trên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toàn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cầu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B7152B" w:rsidRPr="00B7152B" w:rsidRDefault="00B7152B" w:rsidP="00B7152B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Với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nhu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cầu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dầu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thô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toàn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cầu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vượt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quá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100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triệu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thùng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mỗi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ngày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vào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năm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2023,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rủi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ro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liên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quan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đến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sự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cố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tràn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dầu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vẫn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còn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lớn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với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hàng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nghìn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vụ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tràn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dầu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thải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ra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khoảng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700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triệu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gallon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dầu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vào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đại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dương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mỗi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năm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Trong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khi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các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vụ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tràn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dầu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l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ớn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đã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giảm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kể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từ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những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năm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1970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thì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các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vụ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tràn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dầu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nhỏ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hơn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vẫn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tồn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tại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ở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mức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độ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cao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và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thường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không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được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báo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cáo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do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vị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trí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tran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dầu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thường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ở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xa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B7152B" w:rsidRPr="00B7152B" w:rsidRDefault="00B7152B" w:rsidP="00B7152B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Các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vụ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tràn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dầu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gây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ra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thiệt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hại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môi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trường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nghiêm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trọng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thông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qua ô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nhiễm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vật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lý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và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độc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tính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ảnh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hưởng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đến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động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vật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hoang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dã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môi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trường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sống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nhạy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cảm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sức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khỏe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con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người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và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nền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kinh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tế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địa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phương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phụ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thuộc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vào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du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lịch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đánh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bắt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cá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và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nuôi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trồng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thủy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sản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B7152B" w:rsidRPr="00B7152B" w:rsidRDefault="00B7152B" w:rsidP="00B7152B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Nghiên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cứu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của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PML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tập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trung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vào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việc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phát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triển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các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hệ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thống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giám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sát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vệ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tinh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tiên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tiến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để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giải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quyết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những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thách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thức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này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Dự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án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này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bao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gồm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việc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tạo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ra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các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dịch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vụ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để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quan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sát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việc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xả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dầu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bất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hợp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pháp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phân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tích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các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kiểu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tràn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dầu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với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độ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phân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giải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không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gian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cao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và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thiết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kế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các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hệ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thống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để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phát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hiện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các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vụ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tràn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dầu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hàng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ngày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B7152B" w:rsidRPr="00B7152B" w:rsidRDefault="00B7152B" w:rsidP="00B7152B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PML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đã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hỗ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trợ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các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nỗ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lực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ứng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phó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sự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cố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tràn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dầu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ở Malaysia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và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Mauritius,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đồng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thời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đóng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góp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vào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các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báo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cáo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chính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sách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về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sức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khỏe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ở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vùng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ven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biển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ở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Tây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Phi,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nhấn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mạnh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tầm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quan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trọng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của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việc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khắc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phục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ô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nhiễm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biển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bằng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các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công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nghệ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mới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B7152B" w:rsidRDefault="00B7152B" w:rsidP="00B7152B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lastRenderedPageBreak/>
        <w:t>Những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cải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tiến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gần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đây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của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PML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bao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gồm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một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thuật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toán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phát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hiện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vết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dầu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có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độ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phân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giải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cao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được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phát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triển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bởi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Capella Space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và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mô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hình học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máy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sắp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ra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mắt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để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phát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hiện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chính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xác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các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sự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cố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tràn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dầu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hàng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ngày</w:t>
      </w:r>
      <w:proofErr w:type="spellEnd"/>
      <w:r w:rsidRPr="00B715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B7152B" w:rsidRDefault="00B7152B" w:rsidP="00B7152B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Xem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video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giới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thiệu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tại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: </w:t>
      </w:r>
      <w:hyperlink r:id="rId6" w:history="1">
        <w:r w:rsidRPr="00F771A4">
          <w:rPr>
            <w:rStyle w:val="Hyperlink"/>
            <w:rFonts w:ascii="Arial" w:eastAsia="Times New Roman" w:hAnsi="Arial" w:cs="Arial"/>
            <w:sz w:val="24"/>
            <w:szCs w:val="24"/>
            <w:bdr w:val="none" w:sz="0" w:space="0" w:color="auto" w:frame="1"/>
            <w:shd w:val="clear" w:color="auto" w:fill="FFFFFF"/>
          </w:rPr>
          <w:t>https://youtu.be/EwmBPvQeBJY</w:t>
        </w:r>
      </w:hyperlink>
    </w:p>
    <w:p w:rsidR="00B7152B" w:rsidRPr="00B7152B" w:rsidRDefault="00B7152B" w:rsidP="00B7152B">
      <w:pPr>
        <w:shd w:val="clear" w:color="auto" w:fill="FFFFFF"/>
        <w:spacing w:before="120" w:after="120" w:line="390" w:lineRule="atLeast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------------------------------------------</w:t>
      </w:r>
    </w:p>
    <w:p w:rsidR="00687C2C" w:rsidRDefault="00687C2C"/>
    <w:sectPr w:rsidR="00687C2C" w:rsidSect="00B7152B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52B"/>
    <w:rsid w:val="00562DCE"/>
    <w:rsid w:val="00687C2C"/>
    <w:rsid w:val="00B7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3B3A7"/>
  <w15:chartTrackingRefBased/>
  <w15:docId w15:val="{07FC2F9F-F236-4C42-8F43-73ADD580D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715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B715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152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B7152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metatext">
    <w:name w:val="meta_text"/>
    <w:basedOn w:val="DefaultParagraphFont"/>
    <w:rsid w:val="00B7152B"/>
  </w:style>
  <w:style w:type="character" w:styleId="Hyperlink">
    <w:name w:val="Hyperlink"/>
    <w:basedOn w:val="DefaultParagraphFont"/>
    <w:uiPriority w:val="99"/>
    <w:unhideWhenUsed/>
    <w:rsid w:val="00B7152B"/>
    <w:rPr>
      <w:color w:val="0000FF"/>
      <w:u w:val="single"/>
    </w:rPr>
  </w:style>
  <w:style w:type="paragraph" w:customStyle="1" w:styleId="wp-caption-text">
    <w:name w:val="wp-caption-text"/>
    <w:basedOn w:val="Normal"/>
    <w:rsid w:val="00B71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71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ropcap">
    <w:name w:val="dropcap"/>
    <w:basedOn w:val="DefaultParagraphFont"/>
    <w:rsid w:val="00B7152B"/>
  </w:style>
  <w:style w:type="character" w:styleId="Strong">
    <w:name w:val="Strong"/>
    <w:basedOn w:val="DefaultParagraphFont"/>
    <w:uiPriority w:val="22"/>
    <w:qFormat/>
    <w:rsid w:val="00B715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44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816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12" w:space="11" w:color="111111"/>
            <w:right w:val="none" w:sz="0" w:space="0" w:color="auto"/>
          </w:divBdr>
          <w:divsChild>
            <w:div w:id="57679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85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51631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85802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187661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272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54286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8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88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096612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982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495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7591380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205181">
                          <w:marLeft w:val="13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36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991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5281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830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78518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274972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0936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2895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1650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4960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9328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EwmBPvQeBJY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safety4sea.com/wp-content/uploads/2024/07/Deepwater-Horizon-Oil-Spill-Gulf-of-Mexico-by-Kris-Krug-is-licensed-under-CC-BY-NC-SA-2-0_ws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</dc:creator>
  <cp:keywords/>
  <dc:description/>
  <cp:lastModifiedBy>Thu</cp:lastModifiedBy>
  <cp:revision>1</cp:revision>
  <dcterms:created xsi:type="dcterms:W3CDTF">2024-07-04T01:31:00Z</dcterms:created>
  <dcterms:modified xsi:type="dcterms:W3CDTF">2024-07-04T01:44:00Z</dcterms:modified>
</cp:coreProperties>
</file>