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B3" w:rsidRPr="00D72CB3" w:rsidRDefault="00D72CB3" w:rsidP="00D72CB3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Chiến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dịch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kiểm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tra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tăng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cường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(CIC)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của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PSC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về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lương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và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hợp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đồng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lao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động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của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thuyền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viên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theo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MLC-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Tổng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quan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và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Chuẩn</w:t>
      </w:r>
      <w:proofErr w:type="spellEnd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bị</w:t>
      </w:r>
      <w:proofErr w:type="spellEnd"/>
    </w:p>
    <w:p w:rsidR="00D72CB3" w:rsidRPr="00D72CB3" w:rsidRDefault="00D72CB3" w:rsidP="00D72CB3">
      <w:pPr>
        <w:spacing w:before="120" w:after="12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D72CB3">
        <w:rPr>
          <w:rFonts w:ascii="Arial" w:eastAsia="Times New Roman" w:hAnsi="Arial" w:cs="Arial"/>
          <w:color w:val="444444"/>
          <w:sz w:val="24"/>
          <w:szCs w:val="24"/>
        </w:rPr>
        <w:t>Theo  </w:t>
      </w:r>
      <w:hyperlink r:id="rId5" w:history="1">
        <w:proofErr w:type="spellStart"/>
        <w:r w:rsidRPr="00D72CB3">
          <w:rPr>
            <w:rFonts w:ascii="Arial" w:eastAsia="Times New Roman" w:hAnsi="Arial" w:cs="Arial"/>
            <w:b/>
            <w:bCs/>
            <w:color w:val="005689"/>
            <w:sz w:val="24"/>
            <w:szCs w:val="24"/>
          </w:rPr>
          <w:t>maritimecyprus</w:t>
        </w:r>
        <w:proofErr w:type="spellEnd"/>
      </w:hyperlink>
    </w:p>
    <w:p w:rsidR="00D72CB3" w:rsidRPr="00D72CB3" w:rsidRDefault="00D72CB3" w:rsidP="00D72CB3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72CB3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715000" cy="3295650"/>
            <wp:effectExtent l="0" t="0" r="0" b="0"/>
            <wp:docPr id="2" name="Picture 2" descr="https://maritimecyprus.com/wp-content/uploads/2024/07/PSC-CIC-MLC-A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7/PSC-CIC-MLC-A-696x3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77" cy="330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CB3" w:rsidRPr="00D72CB3" w:rsidRDefault="00D72CB3" w:rsidP="00D72CB3">
      <w:pPr>
        <w:spacing w:before="120" w:after="240" w:line="240" w:lineRule="auto"/>
        <w:jc w:val="both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Mỗi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,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các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khuôn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khổ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PSC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đều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định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ra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một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lĩnh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vực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trọng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tâm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cụ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thể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cần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được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kiểm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tra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các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đợt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thanh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tra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định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kỳ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.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nay, Paris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và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Tokyo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MoU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đã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đồng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ý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tiến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hành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một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CIC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về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chủ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đề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tiền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lương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và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hợp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đồng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làm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việc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thuyền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viên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theo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MLC.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Dự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kiến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​​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các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quy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định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về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bảo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đảm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tài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chính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theo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sửa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đổi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2014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của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MLC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cũng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được CIC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kiểm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tra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dịp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này</w:t>
      </w:r>
      <w:proofErr w:type="spellEnd"/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t>.</w:t>
      </w:r>
    </w:p>
    <w:p w:rsidR="00D72CB3" w:rsidRPr="00D72CB3" w:rsidRDefault="00D72CB3" w:rsidP="00D72C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Phần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lớn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Thỏa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thuận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PSC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xác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tham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gia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CIC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nay.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Quá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sẽ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đến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11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sẽ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gồm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bảng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câu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hỏi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bổ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sung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đợt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kiểm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tra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PSC.</w:t>
      </w:r>
    </w:p>
    <w:p w:rsidR="00D72CB3" w:rsidRPr="00D72CB3" w:rsidRDefault="00D72CB3" w:rsidP="00D72C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Bảng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câu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hỏi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bổ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sung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thường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ban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đầu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8.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bảng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câu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hỏi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cuối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cùng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xuất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chúng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sẽ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cập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nhật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bài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viết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72CB3" w:rsidRPr="00D72CB3" w:rsidRDefault="00D72CB3" w:rsidP="00D72C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Thống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thấy</w:t>
      </w:r>
      <w:proofErr w:type="spellEnd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rằng</w:t>
      </w:r>
      <w:proofErr w:type="spellEnd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ba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chủ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nhau</w:t>
      </w:r>
      <w:proofErr w:type="spellEnd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873EB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hầu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hết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lĩnh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vực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đều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phù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ví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dụ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D72CB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9270" w:type="dxa"/>
        <w:shd w:val="clear" w:color="auto" w:fill="BF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</w:tblGrid>
      <w:tr w:rsidR="00D72CB3" w:rsidRPr="00D72CB3" w:rsidTr="00D72CB3">
        <w:tc>
          <w:tcPr>
            <w:tcW w:w="9270" w:type="dxa"/>
            <w:shd w:val="clear" w:color="auto" w:fill="BFF5F5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2CB3" w:rsidRPr="00D72CB3" w:rsidRDefault="005873EB" w:rsidP="005873EB">
            <w:pPr>
              <w:spacing w:after="120" w:line="240" w:lineRule="auto"/>
              <w:rPr>
                <w:rFonts w:ascii="Merriweather Sans" w:eastAsia="Times New Roman" w:hAnsi="Merriweather Sans" w:cs="Times New Roman"/>
                <w:sz w:val="24"/>
                <w:szCs w:val="24"/>
              </w:rPr>
            </w:pP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Lương</w:t>
            </w:r>
            <w:proofErr w:type="spellEnd"/>
          </w:p>
          <w:p w:rsidR="00D72CB3" w:rsidRDefault="005873EB" w:rsidP="0058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B3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404" style="width:446.55pt;height:7.6pt;flip:y" o:hrpct="989" o:hralign="center" o:hrstd="t" o:hr="t" fillcolor="#a0a0a0" stroked="f"/>
              </w:pict>
            </w:r>
          </w:p>
          <w:p w:rsidR="005873EB" w:rsidRPr="005873EB" w:rsidRDefault="005873EB" w:rsidP="005873EB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73EB" w:rsidRPr="005873EB" w:rsidRDefault="005873EB" w:rsidP="005873EB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chi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873EB" w:rsidRPr="005873EB" w:rsidRDefault="005873EB" w:rsidP="005873EB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thể (CBA)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73EB" w:rsidRPr="005873EB" w:rsidRDefault="005873EB" w:rsidP="005873EB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73EB" w:rsidRDefault="005873EB" w:rsidP="005873EB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Khấu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MLC</w:t>
            </w:r>
          </w:p>
          <w:p w:rsidR="005873EB" w:rsidRPr="00D72CB3" w:rsidRDefault="005873EB" w:rsidP="005873EB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CB3" w:rsidRPr="00D72CB3" w:rsidRDefault="005873EB" w:rsidP="005873EB">
            <w:pPr>
              <w:spacing w:after="120" w:line="240" w:lineRule="auto"/>
              <w:rPr>
                <w:rFonts w:ascii="Merriweather Sans" w:eastAsia="Times New Roman" w:hAnsi="Merriweather Sans" w:cs="Times New Roman"/>
                <w:sz w:val="24"/>
                <w:szCs w:val="24"/>
              </w:rPr>
            </w:pP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lastRenderedPageBreak/>
              <w:t>Hợp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lao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thuyền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 xml:space="preserve"> </w:t>
            </w:r>
            <w:r w:rsidR="00D72CB3" w:rsidRPr="00D72CB3"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(SEAs)</w:t>
            </w:r>
          </w:p>
          <w:p w:rsidR="00D72CB3" w:rsidRPr="00D72CB3" w:rsidRDefault="005873EB" w:rsidP="00D72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B3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405" style="width:441.55pt;height:2.2pt" o:hrpct="978" o:hralign="center" o:hrstd="t" o:hr="t" fillcolor="#a0a0a0" stroked="f"/>
              </w:pict>
            </w:r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sẵn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</w:t>
            </w:r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MLC</w:t>
            </w:r>
          </w:p>
          <w:p w:rsidR="005873EB" w:rsidRPr="005873EB" w:rsidRDefault="005873EB" w:rsidP="005873EB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</w:t>
            </w:r>
          </w:p>
          <w:p w:rsidR="005873EB" w:rsidRPr="00D72CB3" w:rsidRDefault="005873EB" w:rsidP="005873EB">
            <w:pPr>
              <w:numPr>
                <w:ilvl w:val="0"/>
                <w:numId w:val="2"/>
              </w:num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SEA</w:t>
            </w:r>
          </w:p>
          <w:p w:rsidR="00D72CB3" w:rsidRPr="00D72CB3" w:rsidRDefault="00D72CB3" w:rsidP="005873EB">
            <w:pPr>
              <w:spacing w:after="120" w:line="240" w:lineRule="auto"/>
              <w:rPr>
                <w:rFonts w:ascii="Merriweather Sans" w:eastAsia="Times New Roman" w:hAnsi="Merriweather Sans" w:cs="Times New Roman"/>
                <w:sz w:val="24"/>
                <w:szCs w:val="24"/>
              </w:rPr>
            </w:pPr>
            <w:r w:rsidRPr="00D72CB3">
              <w:rPr>
                <w:rFonts w:ascii="Merriweather Sans" w:eastAsia="Times New Roman" w:hAnsi="Merriweather Sans" w:cs="Times New Roman"/>
                <w:b/>
                <w:bCs/>
                <w:sz w:val="24"/>
                <w:szCs w:val="24"/>
              </w:rPr>
              <w:t>Financial security 2014 amendments</w:t>
            </w:r>
          </w:p>
          <w:p w:rsidR="00D72CB3" w:rsidRPr="00D72CB3" w:rsidRDefault="00D72CB3" w:rsidP="00D72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B3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406" style="width:0;height:0" o:hralign="center" o:hrstd="t" o:hr="t" fillcolor="#a0a0a0" stroked="f"/>
              </w:pict>
            </w:r>
          </w:p>
          <w:p w:rsidR="005873EB" w:rsidRPr="005873EB" w:rsidRDefault="00D45348" w:rsidP="005873EB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hông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bảo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vong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tật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lâu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thuyền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2CB3" w:rsidRPr="00D72CB3" w:rsidRDefault="00D45348" w:rsidP="00D45348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</w:t>
            </w:r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3EB" w:rsidRPr="005873EB"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</w:p>
        </w:tc>
      </w:tr>
    </w:tbl>
    <w:p w:rsidR="00D45348" w:rsidRPr="00D45348" w:rsidRDefault="00D72CB3" w:rsidP="00D4534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CB3">
        <w:rPr>
          <w:rFonts w:ascii="Merriweather Sans" w:eastAsia="Times New Roman" w:hAnsi="Merriweather Sans" w:cs="Times New Roman"/>
          <w:color w:val="222222"/>
          <w:sz w:val="23"/>
          <w:szCs w:val="23"/>
        </w:rPr>
        <w:lastRenderedPageBreak/>
        <w:t> 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CIC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PSC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sỹ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PSC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ngơi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quen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MLC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ISM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15150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PSC,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thậm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D45348"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CB3" w:rsidRPr="00D72CB3" w:rsidRDefault="00D72CB3" w:rsidP="00D72CB3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bookmarkStart w:id="0" w:name="_GoBack"/>
      <w:r w:rsidRPr="00D72CB3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661660" cy="3184684"/>
            <wp:effectExtent l="0" t="0" r="0" b="0"/>
            <wp:docPr id="1" name="Picture 1" descr="https://maritimecyprus.com/wp-content/uploads/2024/07/PSC-CIC-M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itimecyprus.com/wp-content/uploads/2024/07/PSC-CIC-ML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160" cy="31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5348" w:rsidRPr="00D45348" w:rsidRDefault="006B6F8A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45348">
        <w:rPr>
          <w:rFonts w:ascii="Times New Roman" w:eastAsia="Times New Roman" w:hAnsi="Times New Roman" w:cs="Times New Roman"/>
          <w:b/>
          <w:sz w:val="24"/>
          <w:szCs w:val="24"/>
        </w:rPr>
        <w:t>ác</w:t>
      </w:r>
      <w:proofErr w:type="spellEnd"/>
      <w:r w:rsid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>ệ</w:t>
      </w:r>
      <w:proofErr w:type="spellEnd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>thống</w:t>
      </w:r>
      <w:proofErr w:type="spellEnd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>quản</w:t>
      </w:r>
      <w:proofErr w:type="spellEnd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>lý</w:t>
      </w:r>
      <w:proofErr w:type="spellEnd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="00D45348" w:rsidRPr="00D45348">
        <w:rPr>
          <w:rFonts w:ascii="Times New Roman" w:eastAsia="Times New Roman" w:hAnsi="Times New Roman" w:cs="Times New Roman"/>
          <w:b/>
          <w:sz w:val="24"/>
          <w:szCs w:val="24"/>
        </w:rPr>
        <w:t xml:space="preserve"> PSC</w:t>
      </w:r>
    </w:p>
    <w:p w:rsidR="00D45348" w:rsidRPr="00D45348" w:rsidRDefault="00D45348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sung,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PSC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lastRenderedPageBreak/>
        <w:t>quản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trặc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quen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trặc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ISM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hạng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348" w:rsidRPr="00D45348" w:rsidRDefault="00D45348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ISM, ISPS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MLC.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kịp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ước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348" w:rsidRPr="00D45348" w:rsidRDefault="00D45348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rễ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ngừa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PSC.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 w:rsidRPr="00D4534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6B6F8A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 w:rsidRPr="00D4534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6B6F8A"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348" w:rsidRPr="006B6F8A" w:rsidRDefault="006B6F8A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6F8A"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 w:rsidRPr="006B6F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6B6F8A">
        <w:rPr>
          <w:rFonts w:ascii="Times New Roman" w:eastAsia="Times New Roman" w:hAnsi="Times New Roman" w:cs="Times New Roman"/>
          <w:b/>
          <w:sz w:val="24"/>
          <w:szCs w:val="24"/>
        </w:rPr>
        <w:t>khuyến</w:t>
      </w:r>
      <w:proofErr w:type="spellEnd"/>
      <w:r w:rsidR="00D45348" w:rsidRPr="006B6F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348" w:rsidRPr="006B6F8A">
        <w:rPr>
          <w:rFonts w:ascii="Times New Roman" w:eastAsia="Times New Roman" w:hAnsi="Times New Roman" w:cs="Times New Roman"/>
          <w:b/>
          <w:sz w:val="24"/>
          <w:szCs w:val="24"/>
        </w:rPr>
        <w:t>nghị</w:t>
      </w:r>
      <w:proofErr w:type="spellEnd"/>
    </w:p>
    <w:p w:rsidR="00D45348" w:rsidRPr="00D45348" w:rsidRDefault="00D45348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thanh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CIC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​​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348" w:rsidRDefault="00D45348" w:rsidP="00D453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MLC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(SMS),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SMS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sung</w:t>
      </w:r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348">
        <w:rPr>
          <w:rFonts w:ascii="Times New Roman" w:eastAsia="Times New Roman" w:hAnsi="Times New Roman" w:cs="Times New Roman"/>
          <w:sz w:val="24"/>
          <w:szCs w:val="24"/>
        </w:rPr>
        <w:t>rễ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khiếm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khuyết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r w:rsidRPr="00D45348">
        <w:rPr>
          <w:rFonts w:ascii="Times New Roman" w:eastAsia="Times New Roman" w:hAnsi="Times New Roman" w:cs="Times New Roman"/>
          <w:sz w:val="24"/>
          <w:szCs w:val="24"/>
        </w:rPr>
        <w:t>PSC</w:t>
      </w:r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="006B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F8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45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F8A" w:rsidRPr="00D72CB3" w:rsidRDefault="006B6F8A" w:rsidP="006B6F8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</w:t>
      </w:r>
    </w:p>
    <w:p w:rsidR="00E85399" w:rsidRPr="00D72CB3" w:rsidRDefault="00E85399" w:rsidP="00D72CB3">
      <w:pPr>
        <w:spacing w:before="120" w:after="120"/>
        <w:rPr>
          <w:rFonts w:ascii="Times New Roman" w:hAnsi="Times New Roman" w:cs="Times New Roman"/>
        </w:rPr>
      </w:pPr>
    </w:p>
    <w:sectPr w:rsidR="00E85399" w:rsidRPr="00D72CB3" w:rsidSect="00D72CB3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D30"/>
    <w:multiLevelType w:val="multilevel"/>
    <w:tmpl w:val="164E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53FDD"/>
    <w:multiLevelType w:val="multilevel"/>
    <w:tmpl w:val="6EE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477C7"/>
    <w:multiLevelType w:val="multilevel"/>
    <w:tmpl w:val="B536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B3"/>
    <w:rsid w:val="005873EB"/>
    <w:rsid w:val="006B6F8A"/>
    <w:rsid w:val="00D45348"/>
    <w:rsid w:val="00D72CB3"/>
    <w:rsid w:val="00E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FF4B"/>
  <w15:chartTrackingRefBased/>
  <w15:docId w15:val="{E399B2AF-0394-4586-B6D1-15DFF420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72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72C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72CB3"/>
    <w:rPr>
      <w:color w:val="0000FF"/>
      <w:u w:val="single"/>
    </w:rPr>
  </w:style>
  <w:style w:type="character" w:customStyle="1" w:styleId="td-post-date">
    <w:name w:val="td-post-date"/>
    <w:basedOn w:val="DefaultParagraphFont"/>
    <w:rsid w:val="00D72CB3"/>
  </w:style>
  <w:style w:type="character" w:customStyle="1" w:styleId="td-nr-views-38300">
    <w:name w:val="td-nr-views-38300"/>
    <w:basedOn w:val="DefaultParagraphFont"/>
    <w:rsid w:val="00D72CB3"/>
  </w:style>
  <w:style w:type="paragraph" w:styleId="NormalWeb">
    <w:name w:val="Normal (Web)"/>
    <w:basedOn w:val="Normal"/>
    <w:uiPriority w:val="99"/>
    <w:semiHidden/>
    <w:unhideWhenUsed/>
    <w:rsid w:val="00D7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2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4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358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485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3582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7952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aritimecyprus.com/author/maritimecypr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2024-07-15T01:01:00Z</dcterms:created>
  <dcterms:modified xsi:type="dcterms:W3CDTF">2024-07-15T01:41:00Z</dcterms:modified>
</cp:coreProperties>
</file>