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78" w:rsidRPr="00442178" w:rsidRDefault="00442178" w:rsidP="00442178">
      <w:pPr>
        <w:spacing w:after="0" w:line="240" w:lineRule="auto"/>
        <w:jc w:val="center"/>
        <w:textAlignment w:val="baseline"/>
        <w:rPr>
          <w:rFonts w:ascii="Times New Roman" w:eastAsia="Times New Roman" w:hAnsi="Times New Roman" w:cs="Times New Roman"/>
          <w:b/>
          <w:color w:val="0070C0"/>
          <w:sz w:val="40"/>
          <w:szCs w:val="40"/>
          <w:bdr w:val="none" w:sz="0" w:space="0" w:color="auto" w:frame="1"/>
        </w:rPr>
      </w:pPr>
      <w:r w:rsidRPr="00442178">
        <w:rPr>
          <w:rFonts w:ascii="Times New Roman" w:eastAsia="Times New Roman" w:hAnsi="Times New Roman" w:cs="Times New Roman"/>
          <w:b/>
          <w:color w:val="0070C0"/>
          <w:sz w:val="40"/>
          <w:szCs w:val="40"/>
          <w:bdr w:val="none" w:sz="0" w:space="0" w:color="auto" w:frame="1"/>
        </w:rPr>
        <w:t xml:space="preserve">Hãy chuẩn bị cho làn </w:t>
      </w:r>
      <w:r>
        <w:rPr>
          <w:rFonts w:ascii="Times New Roman" w:eastAsia="Times New Roman" w:hAnsi="Times New Roman" w:cs="Times New Roman"/>
          <w:b/>
          <w:color w:val="0070C0"/>
          <w:sz w:val="40"/>
          <w:szCs w:val="40"/>
          <w:bdr w:val="none" w:sz="0" w:space="0" w:color="auto" w:frame="1"/>
        </w:rPr>
        <w:t>só</w:t>
      </w:r>
      <w:r w:rsidRPr="00442178">
        <w:rPr>
          <w:rFonts w:ascii="Times New Roman" w:eastAsia="Times New Roman" w:hAnsi="Times New Roman" w:cs="Times New Roman"/>
          <w:b/>
          <w:color w:val="0070C0"/>
          <w:sz w:val="40"/>
          <w:szCs w:val="40"/>
          <w:bdr w:val="none" w:sz="0" w:space="0" w:color="auto" w:frame="1"/>
        </w:rPr>
        <w:t>ng t</w:t>
      </w:r>
      <w:r>
        <w:rPr>
          <w:rFonts w:ascii="Times New Roman" w:eastAsia="Times New Roman" w:hAnsi="Times New Roman" w:cs="Times New Roman"/>
          <w:b/>
          <w:color w:val="0070C0"/>
          <w:sz w:val="40"/>
          <w:szCs w:val="40"/>
          <w:bdr w:val="none" w:sz="0" w:space="0" w:color="auto" w:frame="1"/>
        </w:rPr>
        <w:t>iếp theo: Giải thích</w:t>
      </w:r>
      <w:r w:rsidRPr="00442178">
        <w:rPr>
          <w:rFonts w:ascii="Times New Roman" w:eastAsia="Times New Roman" w:hAnsi="Times New Roman" w:cs="Times New Roman"/>
          <w:b/>
          <w:color w:val="0070C0"/>
          <w:sz w:val="40"/>
          <w:szCs w:val="40"/>
          <w:bdr w:val="none" w:sz="0" w:space="0" w:color="auto" w:frame="1"/>
        </w:rPr>
        <w:t xml:space="preserve"> về FuelEU trong </w:t>
      </w:r>
      <w:r>
        <w:rPr>
          <w:rFonts w:ascii="Times New Roman" w:eastAsia="Times New Roman" w:hAnsi="Times New Roman" w:cs="Times New Roman"/>
          <w:b/>
          <w:color w:val="0070C0"/>
          <w:sz w:val="40"/>
          <w:szCs w:val="40"/>
          <w:bdr w:val="none" w:sz="0" w:space="0" w:color="auto" w:frame="1"/>
        </w:rPr>
        <w:t>Vận tải biển</w:t>
      </w:r>
    </w:p>
    <w:p w:rsidR="00442178" w:rsidRDefault="00442178" w:rsidP="00442178">
      <w:pPr>
        <w:spacing w:after="0" w:line="240" w:lineRule="auto"/>
        <w:jc w:val="right"/>
        <w:textAlignment w:val="baseline"/>
        <w:rPr>
          <w:rFonts w:ascii="Times New Roman" w:eastAsia="Times New Roman" w:hAnsi="Times New Roman" w:cs="Times New Roman"/>
          <w:color w:val="0070C0"/>
          <w:sz w:val="24"/>
          <w:szCs w:val="24"/>
          <w:bdr w:val="none" w:sz="0" w:space="0" w:color="auto" w:frame="1"/>
        </w:rPr>
      </w:pPr>
    </w:p>
    <w:p w:rsidR="000A7BB3" w:rsidRPr="000A7BB3" w:rsidRDefault="000A7BB3" w:rsidP="00442178">
      <w:pPr>
        <w:spacing w:after="0" w:line="240" w:lineRule="auto"/>
        <w:jc w:val="right"/>
        <w:textAlignment w:val="baseline"/>
        <w:rPr>
          <w:rFonts w:ascii="Times New Roman" w:eastAsia="Times New Roman" w:hAnsi="Times New Roman" w:cs="Times New Roman"/>
          <w:color w:val="0070C0"/>
          <w:sz w:val="24"/>
          <w:szCs w:val="24"/>
        </w:rPr>
      </w:pPr>
      <w:r w:rsidRPr="000A7BB3">
        <w:rPr>
          <w:rFonts w:ascii="Times New Roman" w:eastAsia="Times New Roman" w:hAnsi="Times New Roman" w:cs="Times New Roman"/>
          <w:color w:val="0070C0"/>
          <w:sz w:val="24"/>
          <w:szCs w:val="24"/>
          <w:bdr w:val="none" w:sz="0" w:space="0" w:color="auto" w:frame="1"/>
        </w:rPr>
        <w:t xml:space="preserve">Theo </w:t>
      </w:r>
      <w:r w:rsidRPr="000A7BB3">
        <w:rPr>
          <w:rFonts w:ascii="Times New Roman" w:eastAsia="Times New Roman" w:hAnsi="Times New Roman" w:cs="Times New Roman"/>
          <w:color w:val="0070C0"/>
          <w:sz w:val="24"/>
          <w:szCs w:val="24"/>
        </w:rPr>
        <w:t> </w:t>
      </w:r>
      <w:hyperlink r:id="rId5" w:tooltip="Posts by Stamatis Fradelos" w:history="1">
        <w:r w:rsidRPr="000A7BB3">
          <w:rPr>
            <w:rFonts w:ascii="Times New Roman" w:eastAsia="Times New Roman" w:hAnsi="Times New Roman" w:cs="Times New Roman"/>
            <w:color w:val="0070C0"/>
            <w:sz w:val="24"/>
            <w:szCs w:val="24"/>
            <w:u w:val="single"/>
            <w:bdr w:val="none" w:sz="0" w:space="0" w:color="auto" w:frame="1"/>
          </w:rPr>
          <w:t>Stamatis Fradelos</w:t>
        </w:r>
      </w:hyperlink>
    </w:p>
    <w:p w:rsidR="000A7BB3" w:rsidRPr="000A7BB3" w:rsidRDefault="000A7BB3" w:rsidP="000A7BB3">
      <w:pPr>
        <w:shd w:val="clear" w:color="auto" w:fill="FFFFFF"/>
        <w:spacing w:after="0" w:line="240" w:lineRule="auto"/>
        <w:textAlignment w:val="baseline"/>
        <w:rPr>
          <w:rFonts w:ascii="inherit" w:eastAsia="Times New Roman" w:hAnsi="inherit" w:cs="Helvetica"/>
          <w:color w:val="808080"/>
          <w:sz w:val="20"/>
          <w:szCs w:val="20"/>
        </w:rPr>
      </w:pPr>
      <w:r w:rsidRPr="000A7BB3">
        <w:rPr>
          <w:rFonts w:ascii="inherit" w:eastAsia="Times New Roman" w:hAnsi="inherit" w:cs="Helvetica"/>
          <w:color w:val="808080"/>
          <w:sz w:val="20"/>
          <w:szCs w:val="20"/>
        </w:rPr>
        <w:t>  </w:t>
      </w:r>
    </w:p>
    <w:p w:rsidR="000A7BB3" w:rsidRPr="000A7BB3" w:rsidRDefault="000A7BB3" w:rsidP="000A7BB3">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0A7BB3">
        <w:rPr>
          <w:rFonts w:ascii="Helvetica" w:eastAsia="Times New Roman" w:hAnsi="Helvetica" w:cs="Helvetica"/>
          <w:color w:val="333333"/>
          <w:sz w:val="21"/>
          <w:szCs w:val="21"/>
        </w:rPr>
        <w:fldChar w:fldCharType="begin"/>
      </w:r>
      <w:r w:rsidRPr="000A7BB3">
        <w:rPr>
          <w:rFonts w:ascii="Helvetica" w:eastAsia="Times New Roman" w:hAnsi="Helvetica" w:cs="Helvetica"/>
          <w:color w:val="333333"/>
          <w:sz w:val="21"/>
          <w:szCs w:val="21"/>
        </w:rPr>
        <w:instrText xml:space="preserve"> HYPERLINK "https://safety4sea.com/wp-content/uploads/2023/07/shutterstock_1801959820.jpg" </w:instrText>
      </w:r>
      <w:r w:rsidRPr="000A7BB3">
        <w:rPr>
          <w:rFonts w:ascii="Helvetica" w:eastAsia="Times New Roman" w:hAnsi="Helvetica" w:cs="Helvetica"/>
          <w:color w:val="333333"/>
          <w:sz w:val="21"/>
          <w:szCs w:val="21"/>
        </w:rPr>
        <w:fldChar w:fldCharType="separate"/>
      </w:r>
    </w:p>
    <w:p w:rsidR="000A7BB3" w:rsidRPr="004F5CB7" w:rsidRDefault="000A7BB3" w:rsidP="004F5CB7">
      <w:pPr>
        <w:shd w:val="clear" w:color="auto" w:fill="FFFFFF"/>
        <w:spacing w:after="0" w:line="240" w:lineRule="auto"/>
        <w:textAlignment w:val="baseline"/>
        <w:rPr>
          <w:rFonts w:ascii="Times New Roman" w:eastAsia="Times New Roman" w:hAnsi="Times New Roman" w:cs="Times New Roman"/>
          <w:sz w:val="24"/>
          <w:szCs w:val="24"/>
        </w:rPr>
      </w:pPr>
      <w:r w:rsidRPr="000A7BB3">
        <w:rPr>
          <w:rFonts w:ascii="Helvetica" w:eastAsia="Times New Roman" w:hAnsi="Helvetica" w:cs="Helvetica"/>
          <w:noProof/>
          <w:color w:val="0087CD"/>
          <w:sz w:val="21"/>
          <w:szCs w:val="21"/>
          <w:bdr w:val="none" w:sz="0" w:space="0" w:color="auto" w:frame="1"/>
        </w:rPr>
        <w:drawing>
          <wp:inline distT="0" distB="0" distL="0" distR="0" wp14:anchorId="7D04B0A2" wp14:editId="37F925BF">
            <wp:extent cx="5943600" cy="2974972"/>
            <wp:effectExtent l="0" t="0" r="0" b="0"/>
            <wp:docPr id="10" name="Picture 10" descr="EU marine fuel cell proj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marine fuel cell proj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9061" cy="2982711"/>
                    </a:xfrm>
                    <a:prstGeom prst="rect">
                      <a:avLst/>
                    </a:prstGeom>
                    <a:noFill/>
                    <a:ln>
                      <a:noFill/>
                    </a:ln>
                  </pic:spPr>
                </pic:pic>
              </a:graphicData>
            </a:graphic>
          </wp:inline>
        </w:drawing>
      </w:r>
      <w:r w:rsidRPr="000A7BB3">
        <w:rPr>
          <w:rFonts w:ascii="Helvetica" w:eastAsia="Times New Roman" w:hAnsi="Helvetica" w:cs="Helvetica"/>
          <w:color w:val="333333"/>
          <w:sz w:val="21"/>
          <w:szCs w:val="21"/>
        </w:rPr>
        <w:fldChar w:fldCharType="end"/>
      </w:r>
    </w:p>
    <w:p w:rsidR="00442178" w:rsidRPr="00442178" w:rsidRDefault="00442178" w:rsidP="00442178">
      <w:pPr>
        <w:shd w:val="clear" w:color="auto" w:fill="FFFFFF"/>
        <w:spacing w:after="0" w:line="390" w:lineRule="atLeast"/>
        <w:jc w:val="both"/>
        <w:textAlignment w:val="baseline"/>
        <w:rPr>
          <w:rFonts w:ascii="Times New Roman" w:eastAsia="Times New Roman" w:hAnsi="Times New Roman" w:cs="Times New Roman"/>
          <w:sz w:val="24"/>
          <w:szCs w:val="24"/>
        </w:rPr>
      </w:pPr>
      <w:r w:rsidRPr="00442178">
        <w:rPr>
          <w:rFonts w:ascii="Times New Roman" w:eastAsia="Times New Roman" w:hAnsi="Times New Roman" w:cs="Times New Roman"/>
          <w:sz w:val="24"/>
          <w:szCs w:val="24"/>
        </w:rPr>
        <w:t>C</w:t>
      </w:r>
      <w:r w:rsidRPr="00442178">
        <w:rPr>
          <w:rFonts w:ascii="Times New Roman" w:eastAsia="Times New Roman" w:hAnsi="Times New Roman" w:cs="Times New Roman"/>
          <w:sz w:val="24"/>
          <w:szCs w:val="24"/>
        </w:rPr>
        <w:t>ác c</w:t>
      </w:r>
      <w:r w:rsidRPr="00442178">
        <w:rPr>
          <w:rFonts w:ascii="Times New Roman" w:eastAsia="Times New Roman" w:hAnsi="Times New Roman" w:cs="Times New Roman"/>
          <w:sz w:val="24"/>
          <w:szCs w:val="24"/>
        </w:rPr>
        <w:t xml:space="preserve">hủ tàu cần chuẩn bị chi tiết </w:t>
      </w:r>
      <w:r>
        <w:rPr>
          <w:rFonts w:ascii="Times New Roman" w:eastAsia="Times New Roman" w:hAnsi="Times New Roman" w:cs="Times New Roman"/>
          <w:sz w:val="24"/>
          <w:szCs w:val="24"/>
        </w:rPr>
        <w:t>cho</w:t>
      </w:r>
      <w:r w:rsidRPr="00442178">
        <w:rPr>
          <w:rFonts w:ascii="Times New Roman" w:eastAsia="Times New Roman" w:hAnsi="Times New Roman" w:cs="Times New Roman"/>
          <w:sz w:val="24"/>
          <w:szCs w:val="24"/>
        </w:rPr>
        <w:t xml:space="preserve"> các yêu cầu và </w:t>
      </w:r>
      <w:r>
        <w:rPr>
          <w:rFonts w:ascii="Times New Roman" w:eastAsia="Times New Roman" w:hAnsi="Times New Roman" w:cs="Times New Roman"/>
          <w:sz w:val="24"/>
          <w:szCs w:val="24"/>
        </w:rPr>
        <w:t>sự</w:t>
      </w:r>
      <w:r w:rsidRPr="00442178">
        <w:rPr>
          <w:rFonts w:ascii="Times New Roman" w:eastAsia="Times New Roman" w:hAnsi="Times New Roman" w:cs="Times New Roman"/>
          <w:sz w:val="24"/>
          <w:szCs w:val="24"/>
        </w:rPr>
        <w:t xml:space="preserve"> tuân thủ giai đoạn tiếp theo</w:t>
      </w:r>
      <w:r>
        <w:rPr>
          <w:rFonts w:ascii="Times New Roman" w:eastAsia="Times New Roman" w:hAnsi="Times New Roman" w:cs="Times New Roman"/>
          <w:sz w:val="24"/>
          <w:szCs w:val="24"/>
        </w:rPr>
        <w:t xml:space="preserve"> của các quy định về môi trường</w:t>
      </w:r>
      <w:r w:rsidRPr="00442178">
        <w:rPr>
          <w:rFonts w:ascii="Times New Roman" w:eastAsia="Times New Roman" w:hAnsi="Times New Roman" w:cs="Times New Roman"/>
          <w:sz w:val="24"/>
          <w:szCs w:val="24"/>
        </w:rPr>
        <w:t>.</w:t>
      </w:r>
    </w:p>
    <w:p w:rsidR="00442178" w:rsidRPr="00442178" w:rsidRDefault="00442178" w:rsidP="00442178">
      <w:pPr>
        <w:shd w:val="clear" w:color="auto" w:fill="FFFFFF"/>
        <w:spacing w:after="0" w:line="390" w:lineRule="atLeast"/>
        <w:jc w:val="both"/>
        <w:textAlignment w:val="baseline"/>
        <w:rPr>
          <w:rFonts w:ascii="Times New Roman" w:eastAsia="Times New Roman" w:hAnsi="Times New Roman" w:cs="Times New Roman"/>
          <w:sz w:val="24"/>
          <w:szCs w:val="24"/>
        </w:rPr>
      </w:pPr>
      <w:r w:rsidRPr="00442178">
        <w:rPr>
          <w:rFonts w:ascii="Times New Roman" w:eastAsia="Times New Roman" w:hAnsi="Times New Roman" w:cs="Times New Roman"/>
          <w:sz w:val="24"/>
          <w:szCs w:val="24"/>
        </w:rPr>
        <w:t xml:space="preserve">Quy định FuelEU </w:t>
      </w:r>
      <w:r>
        <w:rPr>
          <w:rFonts w:ascii="Times New Roman" w:eastAsia="Times New Roman" w:hAnsi="Times New Roman" w:cs="Times New Roman"/>
          <w:sz w:val="24"/>
          <w:szCs w:val="24"/>
        </w:rPr>
        <w:t>trong vận tải biển</w:t>
      </w:r>
      <w:r w:rsidRPr="00442178">
        <w:rPr>
          <w:rFonts w:ascii="Times New Roman" w:eastAsia="Times New Roman" w:hAnsi="Times New Roman" w:cs="Times New Roman"/>
          <w:sz w:val="24"/>
          <w:szCs w:val="24"/>
        </w:rPr>
        <w:t xml:space="preserve"> là một biện pháp kỹ thuật được thiết kế để </w:t>
      </w:r>
      <w:r>
        <w:rPr>
          <w:rFonts w:ascii="Times New Roman" w:eastAsia="Times New Roman" w:hAnsi="Times New Roman" w:cs="Times New Roman"/>
          <w:sz w:val="24"/>
          <w:szCs w:val="24"/>
        </w:rPr>
        <w:t>loại bỏ khí thải</w:t>
      </w:r>
      <w:r w:rsidRPr="00442178">
        <w:rPr>
          <w:rFonts w:ascii="Times New Roman" w:eastAsia="Times New Roman" w:hAnsi="Times New Roman" w:cs="Times New Roman"/>
          <w:sz w:val="24"/>
          <w:szCs w:val="24"/>
        </w:rPr>
        <w:t xml:space="preserve"> cacbon trong vận tải </w:t>
      </w:r>
      <w:r>
        <w:rPr>
          <w:rFonts w:ascii="Times New Roman" w:eastAsia="Times New Roman" w:hAnsi="Times New Roman" w:cs="Times New Roman"/>
          <w:sz w:val="24"/>
          <w:szCs w:val="24"/>
        </w:rPr>
        <w:t>biển bằng cách</w:t>
      </w:r>
      <w:r w:rsidRPr="004421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sử</w:t>
      </w:r>
      <w:r w:rsidRPr="00442178">
        <w:rPr>
          <w:rFonts w:ascii="Times New Roman" w:eastAsia="Times New Roman" w:hAnsi="Times New Roman" w:cs="Times New Roman"/>
          <w:sz w:val="24"/>
          <w:szCs w:val="24"/>
        </w:rPr>
        <w:t xml:space="preserve"> dụng ba mục tiêu chính. Chủ đề </w:t>
      </w:r>
      <w:r>
        <w:rPr>
          <w:rFonts w:ascii="Times New Roman" w:eastAsia="Times New Roman" w:hAnsi="Times New Roman" w:cs="Times New Roman"/>
          <w:sz w:val="24"/>
          <w:szCs w:val="24"/>
        </w:rPr>
        <w:t xml:space="preserve">này </w:t>
      </w:r>
      <w:r w:rsidRPr="00442178">
        <w:rPr>
          <w:rFonts w:ascii="Times New Roman" w:eastAsia="Times New Roman" w:hAnsi="Times New Roman" w:cs="Times New Roman"/>
          <w:sz w:val="24"/>
          <w:szCs w:val="24"/>
        </w:rPr>
        <w:t xml:space="preserve">đang được ngành </w:t>
      </w:r>
      <w:r>
        <w:rPr>
          <w:rFonts w:ascii="Times New Roman" w:eastAsia="Times New Roman" w:hAnsi="Times New Roman" w:cs="Times New Roman"/>
          <w:sz w:val="24"/>
          <w:szCs w:val="24"/>
        </w:rPr>
        <w:t>hàng hải</w:t>
      </w:r>
      <w:r w:rsidRPr="00442178">
        <w:rPr>
          <w:rFonts w:ascii="Times New Roman" w:eastAsia="Times New Roman" w:hAnsi="Times New Roman" w:cs="Times New Roman"/>
          <w:sz w:val="24"/>
          <w:szCs w:val="24"/>
        </w:rPr>
        <w:t xml:space="preserve"> ngày càng quan tâm, ABS đã thu thập các câu hỏi thường gặp nhất nhận được từ các khách hàng </w:t>
      </w:r>
      <w:r>
        <w:rPr>
          <w:rFonts w:ascii="Times New Roman" w:eastAsia="Times New Roman" w:hAnsi="Times New Roman" w:cs="Times New Roman"/>
          <w:sz w:val="24"/>
          <w:szCs w:val="24"/>
        </w:rPr>
        <w:t>về</w:t>
      </w:r>
      <w:r w:rsidRPr="00442178">
        <w:rPr>
          <w:rFonts w:ascii="Times New Roman" w:eastAsia="Times New Roman" w:hAnsi="Times New Roman" w:cs="Times New Roman"/>
          <w:sz w:val="24"/>
          <w:szCs w:val="24"/>
        </w:rPr>
        <w:t xml:space="preserve"> FuelEU Maritime và đưa ra câu trả lời.</w:t>
      </w:r>
    </w:p>
    <w:p w:rsidR="00442178" w:rsidRPr="00442178" w:rsidRDefault="00442178" w:rsidP="00442178">
      <w:pPr>
        <w:shd w:val="clear" w:color="auto" w:fill="FFFFFF"/>
        <w:spacing w:after="0" w:line="390" w:lineRule="atLeast"/>
        <w:jc w:val="both"/>
        <w:textAlignment w:val="baseline"/>
        <w:rPr>
          <w:rFonts w:ascii="Times New Roman" w:eastAsia="Times New Roman" w:hAnsi="Times New Roman" w:cs="Times New Roman"/>
          <w:sz w:val="24"/>
          <w:szCs w:val="24"/>
        </w:rPr>
      </w:pPr>
      <w:r w:rsidRPr="00442178">
        <w:rPr>
          <w:rFonts w:ascii="Times New Roman" w:eastAsia="Times New Roman" w:hAnsi="Times New Roman" w:cs="Times New Roman"/>
          <w:sz w:val="24"/>
          <w:szCs w:val="24"/>
        </w:rPr>
        <w:t xml:space="preserve">Những biện pháp này nhằm giảm cường độ phát thải khí nhà kính của năng lượng được </w:t>
      </w:r>
      <w:r>
        <w:rPr>
          <w:rFonts w:ascii="Times New Roman" w:eastAsia="Times New Roman" w:hAnsi="Times New Roman" w:cs="Times New Roman"/>
          <w:sz w:val="24"/>
          <w:szCs w:val="24"/>
        </w:rPr>
        <w:t>dùng</w:t>
      </w:r>
      <w:r w:rsidRPr="00442178">
        <w:rPr>
          <w:rFonts w:ascii="Times New Roman" w:eastAsia="Times New Roman" w:hAnsi="Times New Roman" w:cs="Times New Roman"/>
          <w:sz w:val="24"/>
          <w:szCs w:val="24"/>
        </w:rPr>
        <w:t xml:space="preserve"> trên tàu trên cơ sở </w:t>
      </w:r>
      <w:r w:rsidR="00691091">
        <w:rPr>
          <w:rFonts w:ascii="Times New Roman" w:eastAsia="Times New Roman" w:hAnsi="Times New Roman" w:cs="Times New Roman"/>
          <w:sz w:val="24"/>
          <w:szCs w:val="24"/>
        </w:rPr>
        <w:t xml:space="preserve">tính toán lượng khí GHG thải ra trong suốt quá trình từ lúc dầu được lấy lên </w:t>
      </w:r>
      <w:r>
        <w:rPr>
          <w:rFonts w:ascii="Times New Roman" w:eastAsia="Times New Roman" w:hAnsi="Times New Roman" w:cs="Times New Roman"/>
          <w:sz w:val="24"/>
          <w:szCs w:val="24"/>
        </w:rPr>
        <w:t xml:space="preserve">từ giếng dầu đến </w:t>
      </w:r>
      <w:r w:rsidR="00691091">
        <w:rPr>
          <w:rFonts w:ascii="Times New Roman" w:eastAsia="Times New Roman" w:hAnsi="Times New Roman" w:cs="Times New Roman"/>
          <w:sz w:val="24"/>
          <w:szCs w:val="24"/>
        </w:rPr>
        <w:t xml:space="preserve">khi </w:t>
      </w:r>
      <w:r w:rsidR="00C8050C">
        <w:rPr>
          <w:rFonts w:ascii="Times New Roman" w:eastAsia="Times New Roman" w:hAnsi="Times New Roman" w:cs="Times New Roman"/>
          <w:sz w:val="24"/>
          <w:szCs w:val="24"/>
        </w:rPr>
        <w:t>được đốt cháy trong động cơ ở trên</w:t>
      </w:r>
      <w:r w:rsidR="00691091">
        <w:rPr>
          <w:rFonts w:ascii="Times New Roman" w:eastAsia="Times New Roman" w:hAnsi="Times New Roman" w:cs="Times New Roman"/>
          <w:sz w:val="24"/>
          <w:szCs w:val="24"/>
        </w:rPr>
        <w:t xml:space="preserve"> tàu (</w:t>
      </w:r>
      <w:r w:rsidRPr="00442178">
        <w:rPr>
          <w:rFonts w:ascii="Times New Roman" w:eastAsia="Times New Roman" w:hAnsi="Times New Roman" w:cs="Times New Roman"/>
          <w:sz w:val="24"/>
          <w:szCs w:val="24"/>
        </w:rPr>
        <w:t>Well-to-Wake</w:t>
      </w:r>
      <w:r w:rsidR="00691091">
        <w:rPr>
          <w:rFonts w:ascii="Times New Roman" w:eastAsia="Times New Roman" w:hAnsi="Times New Roman" w:cs="Times New Roman"/>
          <w:sz w:val="24"/>
          <w:szCs w:val="24"/>
        </w:rPr>
        <w:t xml:space="preserve"> - </w:t>
      </w:r>
      <w:r w:rsidRPr="00442178">
        <w:rPr>
          <w:rFonts w:ascii="Times New Roman" w:eastAsia="Times New Roman" w:hAnsi="Times New Roman" w:cs="Times New Roman"/>
          <w:sz w:val="24"/>
          <w:szCs w:val="24"/>
        </w:rPr>
        <w:t xml:space="preserve">WtW), nhằm thúc đẩy việc sử dụng nguồn điện </w:t>
      </w:r>
      <w:r w:rsidR="00691091">
        <w:rPr>
          <w:rFonts w:ascii="Times New Roman" w:eastAsia="Times New Roman" w:hAnsi="Times New Roman" w:cs="Times New Roman"/>
          <w:sz w:val="24"/>
          <w:szCs w:val="24"/>
        </w:rPr>
        <w:t>bờ</w:t>
      </w:r>
      <w:r w:rsidRPr="00442178">
        <w:rPr>
          <w:rFonts w:ascii="Times New Roman" w:eastAsia="Times New Roman" w:hAnsi="Times New Roman" w:cs="Times New Roman"/>
          <w:sz w:val="24"/>
          <w:szCs w:val="24"/>
        </w:rPr>
        <w:t xml:space="preserve"> tại các cảng chính của Châu Âu; và khuyến khích việc sử dụng Nhiên liệu tái tạo có nguồn gốc phi sinh học (</w:t>
      </w:r>
      <w:r w:rsidR="00691091" w:rsidRPr="000A7BB3">
        <w:rPr>
          <w:rFonts w:ascii="inherit" w:eastAsia="Times New Roman" w:hAnsi="inherit" w:cs="Helvetica"/>
          <w:color w:val="333333"/>
          <w:sz w:val="24"/>
          <w:szCs w:val="24"/>
        </w:rPr>
        <w:t xml:space="preserve">Renewable Fuels of Non-Biological </w:t>
      </w:r>
      <w:r w:rsidR="00691091">
        <w:rPr>
          <w:rFonts w:ascii="inherit" w:eastAsia="Times New Roman" w:hAnsi="inherit" w:cs="Helvetica"/>
          <w:color w:val="333333"/>
          <w:sz w:val="24"/>
          <w:szCs w:val="24"/>
        </w:rPr>
        <w:t xml:space="preserve">- </w:t>
      </w:r>
      <w:r w:rsidRPr="00442178">
        <w:rPr>
          <w:rFonts w:ascii="Times New Roman" w:eastAsia="Times New Roman" w:hAnsi="Times New Roman" w:cs="Times New Roman"/>
          <w:sz w:val="24"/>
          <w:szCs w:val="24"/>
        </w:rPr>
        <w:t xml:space="preserve">RFONB) và </w:t>
      </w:r>
      <w:r w:rsidR="00691091">
        <w:rPr>
          <w:rFonts w:ascii="Times New Roman" w:eastAsia="Times New Roman" w:hAnsi="Times New Roman" w:cs="Times New Roman"/>
          <w:sz w:val="24"/>
          <w:szCs w:val="24"/>
        </w:rPr>
        <w:t>sức</w:t>
      </w:r>
      <w:r w:rsidRPr="00442178">
        <w:rPr>
          <w:rFonts w:ascii="Times New Roman" w:eastAsia="Times New Roman" w:hAnsi="Times New Roman" w:cs="Times New Roman"/>
          <w:sz w:val="24"/>
          <w:szCs w:val="24"/>
        </w:rPr>
        <w:t xml:space="preserve"> đẩy được hỗ trợ </w:t>
      </w:r>
      <w:r w:rsidR="00691091">
        <w:rPr>
          <w:rFonts w:ascii="Times New Roman" w:eastAsia="Times New Roman" w:hAnsi="Times New Roman" w:cs="Times New Roman"/>
          <w:sz w:val="24"/>
          <w:szCs w:val="24"/>
        </w:rPr>
        <w:t>bằng</w:t>
      </w:r>
      <w:r w:rsidRPr="00442178">
        <w:rPr>
          <w:rFonts w:ascii="Times New Roman" w:eastAsia="Times New Roman" w:hAnsi="Times New Roman" w:cs="Times New Roman"/>
          <w:sz w:val="24"/>
          <w:szCs w:val="24"/>
        </w:rPr>
        <w:t xml:space="preserve"> gió (WAP).</w:t>
      </w:r>
    </w:p>
    <w:p w:rsidR="00442178" w:rsidRPr="00442178" w:rsidRDefault="00442178" w:rsidP="00442178">
      <w:pPr>
        <w:shd w:val="clear" w:color="auto" w:fill="FFFFFF"/>
        <w:spacing w:after="0" w:line="390" w:lineRule="atLeast"/>
        <w:jc w:val="both"/>
        <w:textAlignment w:val="baseline"/>
        <w:rPr>
          <w:rFonts w:ascii="Times New Roman" w:eastAsia="Times New Roman" w:hAnsi="Times New Roman" w:cs="Times New Roman"/>
          <w:sz w:val="24"/>
          <w:szCs w:val="24"/>
        </w:rPr>
      </w:pPr>
      <w:r w:rsidRPr="00442178">
        <w:rPr>
          <w:rFonts w:ascii="Times New Roman" w:eastAsia="Times New Roman" w:hAnsi="Times New Roman" w:cs="Times New Roman"/>
          <w:sz w:val="24"/>
          <w:szCs w:val="24"/>
        </w:rPr>
        <w:t xml:space="preserve">Bắt đầu từ năm 2025, các tàu hoạt động tại EU phải đáp ứng nhu cầu năng lượng của mình bằng nhiên liệu có cường độ GHG trên cơ sở WtW (được đo bằng gCO₂ₑ/MJ) dưới giá trị ngưỡng </w:t>
      </w:r>
      <w:r w:rsidR="00691091">
        <w:rPr>
          <w:rFonts w:ascii="Times New Roman" w:eastAsia="Times New Roman" w:hAnsi="Times New Roman" w:cs="Times New Roman"/>
          <w:sz w:val="24"/>
          <w:szCs w:val="24"/>
        </w:rPr>
        <w:t>với các giá trị giảm dần theo</w:t>
      </w:r>
      <w:r w:rsidRPr="00442178">
        <w:rPr>
          <w:rFonts w:ascii="Times New Roman" w:eastAsia="Times New Roman" w:hAnsi="Times New Roman" w:cs="Times New Roman"/>
          <w:sz w:val="24"/>
          <w:szCs w:val="24"/>
        </w:rPr>
        <w:t xml:space="preserve"> phần trăm trong </w:t>
      </w:r>
      <w:r w:rsidR="00691091">
        <w:rPr>
          <w:rFonts w:ascii="Times New Roman" w:eastAsia="Times New Roman" w:hAnsi="Times New Roman" w:cs="Times New Roman"/>
          <w:sz w:val="24"/>
          <w:szCs w:val="24"/>
        </w:rPr>
        <w:t>5 năm so với giá trị tham chiếu</w:t>
      </w:r>
      <w:r w:rsidRPr="00442178">
        <w:rPr>
          <w:rFonts w:ascii="Times New Roman" w:eastAsia="Times New Roman" w:hAnsi="Times New Roman" w:cs="Times New Roman"/>
          <w:sz w:val="24"/>
          <w:szCs w:val="24"/>
        </w:rPr>
        <w:t xml:space="preserve">, dựa trên mức năng lượng trung bình sử dụng trên tàu </w:t>
      </w:r>
      <w:r w:rsidR="00C8050C">
        <w:rPr>
          <w:rFonts w:ascii="Times New Roman" w:eastAsia="Times New Roman" w:hAnsi="Times New Roman" w:cs="Times New Roman"/>
          <w:sz w:val="24"/>
          <w:szCs w:val="24"/>
        </w:rPr>
        <w:t>của</w:t>
      </w:r>
      <w:r w:rsidRPr="00442178">
        <w:rPr>
          <w:rFonts w:ascii="Times New Roman" w:eastAsia="Times New Roman" w:hAnsi="Times New Roman" w:cs="Times New Roman"/>
          <w:sz w:val="24"/>
          <w:szCs w:val="24"/>
        </w:rPr>
        <w:t xml:space="preserve"> năm 2020, được tính bằng 91,16 gCO₂ₑ/MJ.</w:t>
      </w:r>
    </w:p>
    <w:p w:rsidR="000A7BB3" w:rsidRDefault="000A7BB3" w:rsidP="000A7BB3">
      <w:pPr>
        <w:shd w:val="clear" w:color="auto" w:fill="FFFFFF"/>
        <w:spacing w:after="0" w:line="390" w:lineRule="atLeast"/>
        <w:textAlignment w:val="baseline"/>
        <w:rPr>
          <w:rFonts w:ascii="inherit" w:eastAsia="Times New Roman" w:hAnsi="inherit" w:cs="Helvetica"/>
          <w:color w:val="333333"/>
          <w:sz w:val="24"/>
          <w:szCs w:val="24"/>
        </w:rPr>
      </w:pPr>
      <w:r w:rsidRPr="000A7BB3">
        <w:rPr>
          <w:rFonts w:ascii="inherit" w:eastAsia="Times New Roman" w:hAnsi="inherit" w:cs="Helvetica"/>
          <w:noProof/>
          <w:color w:val="A0A0A0"/>
          <w:sz w:val="24"/>
          <w:szCs w:val="24"/>
          <w:bdr w:val="none" w:sz="0" w:space="0" w:color="auto" w:frame="1"/>
        </w:rPr>
        <w:lastRenderedPageBreak/>
        <w:drawing>
          <wp:inline distT="0" distB="0" distL="0" distR="0">
            <wp:extent cx="5631010" cy="2446020"/>
            <wp:effectExtent l="0" t="0" r="8255" b="0"/>
            <wp:docPr id="9" name="Picture 9" descr="Be prepared for the next wave: FuelEU Maritime explain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 prepared for the next wave: FuelEU Maritime explain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6634" cy="2452807"/>
                    </a:xfrm>
                    <a:prstGeom prst="rect">
                      <a:avLst/>
                    </a:prstGeom>
                    <a:noFill/>
                    <a:ln>
                      <a:noFill/>
                    </a:ln>
                  </pic:spPr>
                </pic:pic>
              </a:graphicData>
            </a:graphic>
          </wp:inline>
        </w:drawing>
      </w:r>
    </w:p>
    <w:p w:rsidR="00C72BCC" w:rsidRPr="00C72BCC" w:rsidRDefault="00C72BCC" w:rsidP="00C72BCC">
      <w:pPr>
        <w:shd w:val="clear" w:color="auto" w:fill="FFFFFF"/>
        <w:spacing w:after="0" w:line="390" w:lineRule="atLeast"/>
        <w:jc w:val="center"/>
        <w:textAlignment w:val="baseline"/>
        <w:rPr>
          <w:rFonts w:ascii="Times New Roman" w:eastAsia="Times New Roman" w:hAnsi="Times New Roman" w:cs="Times New Roman"/>
          <w:i/>
          <w:color w:val="333333"/>
          <w:sz w:val="24"/>
          <w:szCs w:val="24"/>
        </w:rPr>
      </w:pPr>
      <w:r w:rsidRPr="00C72BCC">
        <w:rPr>
          <w:rFonts w:ascii="Times New Roman" w:eastAsia="Times New Roman" w:hAnsi="Times New Roman" w:cs="Times New Roman"/>
          <w:i/>
          <w:color w:val="333333"/>
          <w:sz w:val="24"/>
          <w:szCs w:val="24"/>
        </w:rPr>
        <w:t>Các giá trị ngưỡng theo bậc tham giảm dần so với mức năng lượng tham chiếu</w:t>
      </w:r>
    </w:p>
    <w:p w:rsidR="00C72BCC" w:rsidRPr="00C72BCC" w:rsidRDefault="00C72BCC" w:rsidP="00C72BCC">
      <w:pPr>
        <w:shd w:val="clear" w:color="auto" w:fill="FFFFFF"/>
        <w:spacing w:before="120" w:after="120" w:line="390" w:lineRule="atLeast"/>
        <w:jc w:val="both"/>
        <w:textAlignment w:val="baseline"/>
        <w:rPr>
          <w:rFonts w:ascii="Times New Roman" w:eastAsia="Times New Roman" w:hAnsi="Times New Roman" w:cs="Times New Roman"/>
          <w:b/>
          <w:sz w:val="28"/>
          <w:szCs w:val="28"/>
        </w:rPr>
      </w:pPr>
      <w:r w:rsidRPr="00C72BCC">
        <w:rPr>
          <w:rFonts w:ascii="Times New Roman" w:eastAsia="Times New Roman" w:hAnsi="Times New Roman" w:cs="Times New Roman"/>
          <w:b/>
          <w:sz w:val="28"/>
          <w:szCs w:val="28"/>
        </w:rPr>
        <w:t xml:space="preserve">Phạm vi </w:t>
      </w:r>
      <w:r w:rsidRPr="00C72BCC">
        <w:rPr>
          <w:rFonts w:ascii="Times New Roman" w:eastAsia="Times New Roman" w:hAnsi="Times New Roman" w:cs="Times New Roman"/>
          <w:b/>
          <w:sz w:val="28"/>
          <w:szCs w:val="28"/>
        </w:rPr>
        <w:t xml:space="preserve">áp dụng </w:t>
      </w:r>
      <w:r w:rsidRPr="00C72BCC">
        <w:rPr>
          <w:rFonts w:ascii="Times New Roman" w:eastAsia="Times New Roman" w:hAnsi="Times New Roman" w:cs="Times New Roman"/>
          <w:b/>
          <w:sz w:val="28"/>
          <w:szCs w:val="28"/>
        </w:rPr>
        <w:t xml:space="preserve">và nghĩa vụ </w:t>
      </w:r>
      <w:r w:rsidRPr="00C72BCC">
        <w:rPr>
          <w:rFonts w:ascii="Times New Roman" w:eastAsia="Times New Roman" w:hAnsi="Times New Roman" w:cs="Times New Roman"/>
          <w:b/>
          <w:sz w:val="28"/>
          <w:szCs w:val="28"/>
        </w:rPr>
        <w:t xml:space="preserve">theo </w:t>
      </w:r>
      <w:r w:rsidRPr="00C72BCC">
        <w:rPr>
          <w:rFonts w:ascii="Times New Roman" w:eastAsia="Times New Roman" w:hAnsi="Times New Roman" w:cs="Times New Roman"/>
          <w:b/>
          <w:sz w:val="28"/>
          <w:szCs w:val="28"/>
        </w:rPr>
        <w:t xml:space="preserve">FuelEU Maritime </w:t>
      </w:r>
    </w:p>
    <w:p w:rsidR="00C72BCC" w:rsidRPr="00C72BCC" w:rsidRDefault="00C72BCC" w:rsidP="00C72BC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72BCC">
        <w:rPr>
          <w:rFonts w:ascii="Times New Roman" w:eastAsia="Times New Roman" w:hAnsi="Times New Roman" w:cs="Times New Roman"/>
          <w:sz w:val="24"/>
          <w:szCs w:val="24"/>
        </w:rPr>
        <w:t xml:space="preserve">Quy định </w:t>
      </w:r>
      <w:r>
        <w:rPr>
          <w:rFonts w:ascii="Times New Roman" w:eastAsia="Times New Roman" w:hAnsi="Times New Roman" w:cs="Times New Roman"/>
          <w:sz w:val="24"/>
          <w:szCs w:val="24"/>
        </w:rPr>
        <w:t xml:space="preserve">này </w:t>
      </w:r>
      <w:r w:rsidRPr="00C72BCC">
        <w:rPr>
          <w:rFonts w:ascii="Times New Roman" w:eastAsia="Times New Roman" w:hAnsi="Times New Roman" w:cs="Times New Roman"/>
          <w:sz w:val="24"/>
          <w:szCs w:val="24"/>
        </w:rPr>
        <w:t xml:space="preserve">áp dụng </w:t>
      </w:r>
      <w:r>
        <w:rPr>
          <w:rFonts w:ascii="Times New Roman" w:eastAsia="Times New Roman" w:hAnsi="Times New Roman" w:cs="Times New Roman"/>
          <w:sz w:val="24"/>
          <w:szCs w:val="24"/>
        </w:rPr>
        <w:t>đối với</w:t>
      </w:r>
      <w:r w:rsidRPr="00C72BCC">
        <w:rPr>
          <w:rFonts w:ascii="Times New Roman" w:eastAsia="Times New Roman" w:hAnsi="Times New Roman" w:cs="Times New Roman"/>
          <w:sz w:val="24"/>
          <w:szCs w:val="24"/>
        </w:rPr>
        <w:t>:</w:t>
      </w:r>
    </w:p>
    <w:p w:rsidR="00C72BCC" w:rsidRPr="00C72BCC" w:rsidRDefault="00C72BCC" w:rsidP="00C72BC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72BCC">
        <w:rPr>
          <w:rFonts w:ascii="Times New Roman" w:eastAsia="Times New Roman" w:hAnsi="Times New Roman" w:cs="Times New Roman"/>
          <w:sz w:val="24"/>
          <w:szCs w:val="24"/>
        </w:rPr>
        <w:t xml:space="preserve">toàn bộ năng lượng được </w:t>
      </w:r>
      <w:r>
        <w:rPr>
          <w:rFonts w:ascii="Times New Roman" w:eastAsia="Times New Roman" w:hAnsi="Times New Roman" w:cs="Times New Roman"/>
          <w:sz w:val="24"/>
          <w:szCs w:val="24"/>
        </w:rPr>
        <w:t xml:space="preserve">tàu </w:t>
      </w:r>
      <w:r w:rsidRPr="00C72BCC">
        <w:rPr>
          <w:rFonts w:ascii="Times New Roman" w:eastAsia="Times New Roman" w:hAnsi="Times New Roman" w:cs="Times New Roman"/>
          <w:sz w:val="24"/>
          <w:szCs w:val="24"/>
        </w:rPr>
        <w:t xml:space="preserve">sử dụng trong hành trình giữa các cảng của EU và khi tàu </w:t>
      </w:r>
      <w:r>
        <w:rPr>
          <w:rFonts w:ascii="Times New Roman" w:eastAsia="Times New Roman" w:hAnsi="Times New Roman" w:cs="Times New Roman"/>
          <w:sz w:val="24"/>
          <w:szCs w:val="24"/>
        </w:rPr>
        <w:t>nằm cầu</w:t>
      </w:r>
      <w:r w:rsidRPr="00C72BCC">
        <w:rPr>
          <w:rFonts w:ascii="Times New Roman" w:eastAsia="Times New Roman" w:hAnsi="Times New Roman" w:cs="Times New Roman"/>
          <w:sz w:val="24"/>
          <w:szCs w:val="24"/>
        </w:rPr>
        <w:t xml:space="preserve"> tại một cảng của EU và</w:t>
      </w:r>
    </w:p>
    <w:p w:rsidR="00C72BCC" w:rsidRPr="00C72BCC" w:rsidRDefault="00C72BCC" w:rsidP="00C72BCC">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72BCC">
        <w:rPr>
          <w:rFonts w:ascii="Times New Roman" w:eastAsia="Times New Roman" w:hAnsi="Times New Roman" w:cs="Times New Roman"/>
          <w:sz w:val="24"/>
          <w:szCs w:val="24"/>
        </w:rPr>
        <w:t xml:space="preserve">Một nửa năng lượng </w:t>
      </w:r>
      <w:r>
        <w:rPr>
          <w:rFonts w:ascii="Times New Roman" w:eastAsia="Times New Roman" w:hAnsi="Times New Roman" w:cs="Times New Roman"/>
          <w:sz w:val="24"/>
          <w:szCs w:val="24"/>
        </w:rPr>
        <w:t>được dùng</w:t>
      </w:r>
      <w:r w:rsidRPr="00C72BCC">
        <w:rPr>
          <w:rFonts w:ascii="Times New Roman" w:eastAsia="Times New Roman" w:hAnsi="Times New Roman" w:cs="Times New Roman"/>
          <w:sz w:val="24"/>
          <w:szCs w:val="24"/>
        </w:rPr>
        <w:t xml:space="preserve"> trong hành trình giữa </w:t>
      </w:r>
      <w:r>
        <w:rPr>
          <w:rFonts w:ascii="Times New Roman" w:eastAsia="Times New Roman" w:hAnsi="Times New Roman" w:cs="Times New Roman"/>
          <w:sz w:val="24"/>
          <w:szCs w:val="24"/>
        </w:rPr>
        <w:t xml:space="preserve">một </w:t>
      </w:r>
      <w:r w:rsidRPr="00C72BCC">
        <w:rPr>
          <w:rFonts w:ascii="Times New Roman" w:eastAsia="Times New Roman" w:hAnsi="Times New Roman" w:cs="Times New Roman"/>
          <w:sz w:val="24"/>
          <w:szCs w:val="24"/>
        </w:rPr>
        <w:t xml:space="preserve">cảng </w:t>
      </w:r>
      <w:r>
        <w:rPr>
          <w:rFonts w:ascii="Times New Roman" w:eastAsia="Times New Roman" w:hAnsi="Times New Roman" w:cs="Times New Roman"/>
          <w:sz w:val="24"/>
          <w:szCs w:val="24"/>
        </w:rPr>
        <w:t xml:space="preserve">của </w:t>
      </w:r>
      <w:r w:rsidRPr="00C72BCC">
        <w:rPr>
          <w:rFonts w:ascii="Times New Roman" w:eastAsia="Times New Roman" w:hAnsi="Times New Roman" w:cs="Times New Roman"/>
          <w:sz w:val="24"/>
          <w:szCs w:val="24"/>
        </w:rPr>
        <w:t xml:space="preserve">EU và </w:t>
      </w:r>
      <w:r>
        <w:rPr>
          <w:rFonts w:ascii="Times New Roman" w:eastAsia="Times New Roman" w:hAnsi="Times New Roman" w:cs="Times New Roman"/>
          <w:sz w:val="24"/>
          <w:szCs w:val="24"/>
        </w:rPr>
        <w:t xml:space="preserve">một </w:t>
      </w:r>
      <w:r w:rsidRPr="00C72BCC">
        <w:rPr>
          <w:rFonts w:ascii="Times New Roman" w:eastAsia="Times New Roman" w:hAnsi="Times New Roman" w:cs="Times New Roman"/>
          <w:sz w:val="24"/>
          <w:szCs w:val="24"/>
        </w:rPr>
        <w:t>cảng của nước thứ ba.</w:t>
      </w:r>
    </w:p>
    <w:p w:rsidR="00C72BCC" w:rsidRPr="00C72BCC" w:rsidRDefault="00C72BCC" w:rsidP="00C72BC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72BCC">
        <w:rPr>
          <w:rFonts w:ascii="Times New Roman" w:eastAsia="Times New Roman" w:hAnsi="Times New Roman" w:cs="Times New Roman"/>
          <w:sz w:val="24"/>
          <w:szCs w:val="24"/>
        </w:rPr>
        <w:t xml:space="preserve">Quy định này bao </w:t>
      </w:r>
      <w:r>
        <w:rPr>
          <w:rFonts w:ascii="Times New Roman" w:eastAsia="Times New Roman" w:hAnsi="Times New Roman" w:cs="Times New Roman"/>
          <w:sz w:val="24"/>
          <w:szCs w:val="24"/>
        </w:rPr>
        <w:t>trùm lượng</w:t>
      </w:r>
      <w:r w:rsidRPr="00C72BCC">
        <w:rPr>
          <w:rFonts w:ascii="Times New Roman" w:eastAsia="Times New Roman" w:hAnsi="Times New Roman" w:cs="Times New Roman"/>
          <w:sz w:val="24"/>
          <w:szCs w:val="24"/>
        </w:rPr>
        <w:t xml:space="preserve"> phát thải khí nhà kính </w:t>
      </w:r>
      <w:r>
        <w:rPr>
          <w:rFonts w:ascii="Times New Roman" w:eastAsia="Times New Roman" w:hAnsi="Times New Roman" w:cs="Times New Roman"/>
          <w:sz w:val="24"/>
          <w:szCs w:val="24"/>
        </w:rPr>
        <w:t>tính theo</w:t>
      </w:r>
      <w:r w:rsidRPr="00C72BCC">
        <w:rPr>
          <w:rFonts w:ascii="Times New Roman" w:eastAsia="Times New Roman" w:hAnsi="Times New Roman" w:cs="Times New Roman"/>
          <w:sz w:val="24"/>
          <w:szCs w:val="24"/>
        </w:rPr>
        <w:t xml:space="preserve"> WtW, nghĩa là </w:t>
      </w:r>
      <w:r>
        <w:rPr>
          <w:rFonts w:ascii="Times New Roman" w:eastAsia="Times New Roman" w:hAnsi="Times New Roman" w:cs="Times New Roman"/>
          <w:sz w:val="24"/>
          <w:szCs w:val="24"/>
        </w:rPr>
        <w:t xml:space="preserve">lượng khí </w:t>
      </w:r>
      <w:r w:rsidRPr="00C72BCC">
        <w:rPr>
          <w:rFonts w:ascii="Times New Roman" w:eastAsia="Times New Roman" w:hAnsi="Times New Roman" w:cs="Times New Roman"/>
          <w:sz w:val="24"/>
          <w:szCs w:val="24"/>
        </w:rPr>
        <w:t>thải carbon dioxide (CO₂), metan (CH</w:t>
      </w:r>
      <w:r w:rsidRPr="00C72BCC">
        <w:rPr>
          <w:rFonts w:ascii="Times New Roman" w:eastAsia="Times New Roman" w:hAnsi="Times New Roman" w:cs="Times New Roman"/>
          <w:sz w:val="24"/>
          <w:szCs w:val="24"/>
          <w:vertAlign w:val="subscript"/>
        </w:rPr>
        <w:t>4</w:t>
      </w:r>
      <w:r w:rsidRPr="00C72BCC">
        <w:rPr>
          <w:rFonts w:ascii="Times New Roman" w:eastAsia="Times New Roman" w:hAnsi="Times New Roman" w:cs="Times New Roman"/>
          <w:sz w:val="24"/>
          <w:szCs w:val="24"/>
        </w:rPr>
        <w:t>) và oxit nitơ (N</w:t>
      </w:r>
      <w:r w:rsidRPr="00C72BCC">
        <w:rPr>
          <w:rFonts w:ascii="Times New Roman" w:eastAsia="Times New Roman" w:hAnsi="Times New Roman" w:cs="Times New Roman"/>
          <w:sz w:val="24"/>
          <w:szCs w:val="24"/>
          <w:vertAlign w:val="subscript"/>
        </w:rPr>
        <w:t>2</w:t>
      </w:r>
      <w:r w:rsidRPr="00C72BCC">
        <w:rPr>
          <w:rFonts w:ascii="Times New Roman" w:eastAsia="Times New Roman" w:hAnsi="Times New Roman" w:cs="Times New Roman"/>
          <w:sz w:val="24"/>
          <w:szCs w:val="24"/>
        </w:rPr>
        <w:t>O) vào khí quyển. CH</w:t>
      </w:r>
      <w:r w:rsidRPr="00C72BCC">
        <w:rPr>
          <w:rFonts w:ascii="Times New Roman" w:eastAsia="Times New Roman" w:hAnsi="Times New Roman" w:cs="Times New Roman"/>
          <w:sz w:val="24"/>
          <w:szCs w:val="24"/>
          <w:vertAlign w:val="subscript"/>
        </w:rPr>
        <w:t>4</w:t>
      </w:r>
      <w:r w:rsidRPr="00C72BCC">
        <w:rPr>
          <w:rFonts w:ascii="Times New Roman" w:eastAsia="Times New Roman" w:hAnsi="Times New Roman" w:cs="Times New Roman"/>
          <w:sz w:val="24"/>
          <w:szCs w:val="24"/>
        </w:rPr>
        <w:t xml:space="preserve"> và N</w:t>
      </w:r>
      <w:r w:rsidRPr="00C72BCC">
        <w:rPr>
          <w:rFonts w:ascii="Times New Roman" w:eastAsia="Times New Roman" w:hAnsi="Times New Roman" w:cs="Times New Roman"/>
          <w:sz w:val="24"/>
          <w:szCs w:val="24"/>
          <w:vertAlign w:val="subscript"/>
        </w:rPr>
        <w:t>2</w:t>
      </w:r>
      <w:r w:rsidRPr="00C72BCC">
        <w:rPr>
          <w:rFonts w:ascii="Times New Roman" w:eastAsia="Times New Roman" w:hAnsi="Times New Roman" w:cs="Times New Roman"/>
          <w:sz w:val="24"/>
          <w:szCs w:val="24"/>
        </w:rPr>
        <w:t xml:space="preserve">O được chuyển đổi thành lượng CO₂ tương đương, nhân với Tiềm năng </w:t>
      </w:r>
      <w:r>
        <w:rPr>
          <w:rFonts w:ascii="Times New Roman" w:eastAsia="Times New Roman" w:hAnsi="Times New Roman" w:cs="Times New Roman"/>
          <w:sz w:val="24"/>
          <w:szCs w:val="24"/>
        </w:rPr>
        <w:t xml:space="preserve">làm </w:t>
      </w:r>
      <w:r w:rsidRPr="00C72BCC">
        <w:rPr>
          <w:rFonts w:ascii="Times New Roman" w:eastAsia="Times New Roman" w:hAnsi="Times New Roman" w:cs="Times New Roman"/>
          <w:sz w:val="24"/>
          <w:szCs w:val="24"/>
        </w:rPr>
        <w:t>nóng toàn cầu lên</w:t>
      </w:r>
      <w:r>
        <w:rPr>
          <w:rFonts w:ascii="Times New Roman" w:eastAsia="Times New Roman" w:hAnsi="Times New Roman" w:cs="Times New Roman"/>
          <w:sz w:val="24"/>
          <w:szCs w:val="24"/>
        </w:rPr>
        <w:t xml:space="preserve"> trong</w:t>
      </w:r>
      <w:r w:rsidRPr="00C72BCC">
        <w:rPr>
          <w:rFonts w:ascii="Times New Roman" w:eastAsia="Times New Roman" w:hAnsi="Times New Roman" w:cs="Times New Roman"/>
          <w:sz w:val="24"/>
          <w:szCs w:val="24"/>
        </w:rPr>
        <w:t xml:space="preserve"> 100 năm (GWP100) </w:t>
      </w:r>
      <w:r>
        <w:rPr>
          <w:rFonts w:ascii="Times New Roman" w:eastAsia="Times New Roman" w:hAnsi="Times New Roman" w:cs="Times New Roman"/>
          <w:sz w:val="24"/>
          <w:szCs w:val="24"/>
        </w:rPr>
        <w:t xml:space="preserve">với các hệ số </w:t>
      </w:r>
      <w:r w:rsidRPr="00C72BCC">
        <w:rPr>
          <w:rFonts w:ascii="Times New Roman" w:eastAsia="Times New Roman" w:hAnsi="Times New Roman" w:cs="Times New Roman"/>
          <w:sz w:val="24"/>
          <w:szCs w:val="24"/>
        </w:rPr>
        <w:t>bằng 25 với CH</w:t>
      </w:r>
      <w:r w:rsidRPr="00C72BCC">
        <w:rPr>
          <w:rFonts w:ascii="Times New Roman" w:eastAsia="Times New Roman" w:hAnsi="Times New Roman" w:cs="Times New Roman"/>
          <w:sz w:val="24"/>
          <w:szCs w:val="24"/>
          <w:vertAlign w:val="subscript"/>
        </w:rPr>
        <w:t>4</w:t>
      </w:r>
      <w:r w:rsidRPr="00C72BCC">
        <w:rPr>
          <w:rFonts w:ascii="Times New Roman" w:eastAsia="Times New Roman" w:hAnsi="Times New Roman" w:cs="Times New Roman"/>
          <w:sz w:val="24"/>
          <w:szCs w:val="24"/>
        </w:rPr>
        <w:t xml:space="preserve"> và 298 với N</w:t>
      </w:r>
      <w:r w:rsidRPr="00C72BCC">
        <w:rPr>
          <w:rFonts w:ascii="Times New Roman" w:eastAsia="Times New Roman" w:hAnsi="Times New Roman" w:cs="Times New Roman"/>
          <w:sz w:val="24"/>
          <w:szCs w:val="24"/>
          <w:vertAlign w:val="subscript"/>
        </w:rPr>
        <w:t>2</w:t>
      </w:r>
      <w:r w:rsidRPr="00C72BCC">
        <w:rPr>
          <w:rFonts w:ascii="Times New Roman" w:eastAsia="Times New Roman" w:hAnsi="Times New Roman" w:cs="Times New Roman"/>
          <w:sz w:val="24"/>
          <w:szCs w:val="24"/>
        </w:rPr>
        <w:t>O, như được định nghĩa trong Chỉ thị (EU) 2018/2001 (đoạn 4 của Phần C của Phụ</w:t>
      </w:r>
      <w:r>
        <w:rPr>
          <w:rFonts w:ascii="Times New Roman" w:eastAsia="Times New Roman" w:hAnsi="Times New Roman" w:cs="Times New Roman"/>
          <w:sz w:val="24"/>
          <w:szCs w:val="24"/>
        </w:rPr>
        <w:t xml:space="preserve"> lục</w:t>
      </w:r>
      <w:r w:rsidRPr="00C72BCC">
        <w:rPr>
          <w:rFonts w:ascii="Times New Roman" w:eastAsia="Times New Roman" w:hAnsi="Times New Roman" w:cs="Times New Roman"/>
          <w:sz w:val="24"/>
          <w:szCs w:val="24"/>
        </w:rPr>
        <w:t xml:space="preserve"> V).</w:t>
      </w:r>
    </w:p>
    <w:p w:rsidR="00C72BCC" w:rsidRPr="00C72BCC" w:rsidRDefault="00C72BCC" w:rsidP="00C72BC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72BCC">
        <w:rPr>
          <w:rFonts w:ascii="Times New Roman" w:eastAsia="Times New Roman" w:hAnsi="Times New Roman" w:cs="Times New Roman"/>
          <w:sz w:val="24"/>
          <w:szCs w:val="24"/>
        </w:rPr>
        <w:t xml:space="preserve">Tuy nhiên, quy định này dự kiến ​​sẽ được sửa đổi, với mục đích </w:t>
      </w:r>
      <w:r>
        <w:rPr>
          <w:rFonts w:ascii="Times New Roman" w:eastAsia="Times New Roman" w:hAnsi="Times New Roman" w:cs="Times New Roman"/>
          <w:sz w:val="24"/>
          <w:szCs w:val="24"/>
        </w:rPr>
        <w:t>cho đồng bộ</w:t>
      </w:r>
      <w:r w:rsidRPr="00C72BCC">
        <w:rPr>
          <w:rFonts w:ascii="Times New Roman" w:eastAsia="Times New Roman" w:hAnsi="Times New Roman" w:cs="Times New Roman"/>
          <w:sz w:val="24"/>
          <w:szCs w:val="24"/>
        </w:rPr>
        <w:t xml:space="preserve"> với các giá trị tiềm năng nóng lên toàn cầu </w:t>
      </w:r>
      <w:r>
        <w:rPr>
          <w:rFonts w:ascii="Times New Roman" w:eastAsia="Times New Roman" w:hAnsi="Times New Roman" w:cs="Times New Roman"/>
          <w:sz w:val="24"/>
          <w:szCs w:val="24"/>
        </w:rPr>
        <w:t>được</w:t>
      </w:r>
      <w:r w:rsidRPr="00C72BCC">
        <w:rPr>
          <w:rFonts w:ascii="Times New Roman" w:eastAsia="Times New Roman" w:hAnsi="Times New Roman" w:cs="Times New Roman"/>
          <w:sz w:val="24"/>
          <w:szCs w:val="24"/>
        </w:rPr>
        <w:t xml:space="preserve"> áp dụng theo MRV và ETS dựa trên chỉ thị 2020/1044 và do đó </w:t>
      </w:r>
      <w:r>
        <w:rPr>
          <w:rFonts w:ascii="Times New Roman" w:eastAsia="Times New Roman" w:hAnsi="Times New Roman" w:cs="Times New Roman"/>
          <w:sz w:val="24"/>
          <w:szCs w:val="24"/>
        </w:rPr>
        <w:t xml:space="preserve">các giá trị </w:t>
      </w:r>
      <w:r w:rsidRPr="00C72BCC">
        <w:rPr>
          <w:rFonts w:ascii="Times New Roman" w:eastAsia="Times New Roman" w:hAnsi="Times New Roman" w:cs="Times New Roman"/>
          <w:sz w:val="24"/>
          <w:szCs w:val="24"/>
        </w:rPr>
        <w:t xml:space="preserve">GWP </w:t>
      </w:r>
      <w:r>
        <w:rPr>
          <w:rFonts w:ascii="Times New Roman" w:eastAsia="Times New Roman" w:hAnsi="Times New Roman" w:cs="Times New Roman"/>
          <w:sz w:val="24"/>
          <w:szCs w:val="24"/>
        </w:rPr>
        <w:t xml:space="preserve">ở trên </w:t>
      </w:r>
      <w:r w:rsidRPr="00C72BCC">
        <w:rPr>
          <w:rFonts w:ascii="Times New Roman" w:eastAsia="Times New Roman" w:hAnsi="Times New Roman" w:cs="Times New Roman"/>
          <w:sz w:val="24"/>
          <w:szCs w:val="24"/>
        </w:rPr>
        <w:t>sẽ lần lượt bằng 28 và 265.</w:t>
      </w:r>
    </w:p>
    <w:p w:rsidR="00C72BCC" w:rsidRPr="00C8050C" w:rsidRDefault="00C72BCC" w:rsidP="00C72BCC">
      <w:pPr>
        <w:shd w:val="clear" w:color="auto" w:fill="FFFFFF"/>
        <w:spacing w:before="120" w:after="120" w:line="390" w:lineRule="atLeast"/>
        <w:jc w:val="both"/>
        <w:textAlignment w:val="baseline"/>
        <w:rPr>
          <w:rFonts w:ascii="Times New Roman" w:eastAsia="Times New Roman" w:hAnsi="Times New Roman" w:cs="Times New Roman"/>
          <w:b/>
          <w:sz w:val="28"/>
          <w:szCs w:val="28"/>
        </w:rPr>
      </w:pPr>
      <w:r w:rsidRPr="00C8050C">
        <w:rPr>
          <w:rFonts w:ascii="Times New Roman" w:eastAsia="Times New Roman" w:hAnsi="Times New Roman" w:cs="Times New Roman"/>
          <w:b/>
          <w:sz w:val="28"/>
          <w:szCs w:val="28"/>
        </w:rPr>
        <w:t>Lượng phát thải WtW được tính như thế nào?</w:t>
      </w:r>
    </w:p>
    <w:p w:rsidR="00C72BCC" w:rsidRPr="00C72BCC" w:rsidRDefault="00C72BCC" w:rsidP="00C72BC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72BCC">
        <w:rPr>
          <w:rFonts w:ascii="Times New Roman" w:eastAsia="Times New Roman" w:hAnsi="Times New Roman" w:cs="Times New Roman"/>
          <w:sz w:val="24"/>
          <w:szCs w:val="24"/>
        </w:rPr>
        <w:t xml:space="preserve">Lượng phát thải WtW được tính bằng tổng lượng phát thải từ </w:t>
      </w:r>
      <w:r w:rsidR="00C8050C">
        <w:rPr>
          <w:rFonts w:ascii="Times New Roman" w:eastAsia="Times New Roman" w:hAnsi="Times New Roman" w:cs="Times New Roman"/>
          <w:sz w:val="24"/>
          <w:szCs w:val="24"/>
        </w:rPr>
        <w:t xml:space="preserve">lúc lấy dầu lên khỏi giếng dầu đến khi dầu được chuyển vào két nhiên liệu của tàu (Well to Tank - </w:t>
      </w:r>
      <w:r w:rsidRPr="00C72BCC">
        <w:rPr>
          <w:rFonts w:ascii="Times New Roman" w:eastAsia="Times New Roman" w:hAnsi="Times New Roman" w:cs="Times New Roman"/>
          <w:sz w:val="24"/>
          <w:szCs w:val="24"/>
        </w:rPr>
        <w:t>WtT) và</w:t>
      </w:r>
      <w:r w:rsidR="00C8050C">
        <w:rPr>
          <w:rFonts w:ascii="Times New Roman" w:eastAsia="Times New Roman" w:hAnsi="Times New Roman" w:cs="Times New Roman"/>
          <w:sz w:val="24"/>
          <w:szCs w:val="24"/>
        </w:rPr>
        <w:t xml:space="preserve"> từ két nhiên liệu của tàu đến khi được </w:t>
      </w:r>
      <w:r w:rsidR="00C8050C">
        <w:rPr>
          <w:rFonts w:ascii="Times New Roman" w:eastAsia="Times New Roman" w:hAnsi="Times New Roman" w:cs="Times New Roman"/>
          <w:sz w:val="24"/>
          <w:szCs w:val="24"/>
        </w:rPr>
        <w:t xml:space="preserve">đốt cháy trong động cơ của tàu </w:t>
      </w:r>
      <w:r w:rsidR="00C8050C">
        <w:rPr>
          <w:rFonts w:ascii="Times New Roman" w:eastAsia="Times New Roman" w:hAnsi="Times New Roman" w:cs="Times New Roman"/>
          <w:sz w:val="24"/>
          <w:szCs w:val="24"/>
        </w:rPr>
        <w:t>(</w:t>
      </w:r>
      <w:r w:rsidRPr="00C72BCC">
        <w:rPr>
          <w:rFonts w:ascii="Times New Roman" w:eastAsia="Times New Roman" w:hAnsi="Times New Roman" w:cs="Times New Roman"/>
          <w:sz w:val="24"/>
          <w:szCs w:val="24"/>
        </w:rPr>
        <w:t xml:space="preserve">Tank to Wake </w:t>
      </w:r>
      <w:r w:rsidR="00C8050C">
        <w:rPr>
          <w:rFonts w:ascii="Times New Roman" w:eastAsia="Times New Roman" w:hAnsi="Times New Roman" w:cs="Times New Roman"/>
          <w:sz w:val="24"/>
          <w:szCs w:val="24"/>
        </w:rPr>
        <w:t xml:space="preserve">- </w:t>
      </w:r>
      <w:r w:rsidRPr="00C72BCC">
        <w:rPr>
          <w:rFonts w:ascii="Times New Roman" w:eastAsia="Times New Roman" w:hAnsi="Times New Roman" w:cs="Times New Roman"/>
          <w:sz w:val="24"/>
          <w:szCs w:val="24"/>
        </w:rPr>
        <w:t>TtW).</w:t>
      </w:r>
    </w:p>
    <w:p w:rsidR="00C72BCC" w:rsidRPr="00C72BCC" w:rsidRDefault="00C72BCC" w:rsidP="00C72BC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72BCC">
        <w:rPr>
          <w:rFonts w:ascii="Times New Roman" w:eastAsia="Times New Roman" w:hAnsi="Times New Roman" w:cs="Times New Roman"/>
          <w:sz w:val="24"/>
          <w:szCs w:val="24"/>
        </w:rPr>
        <w:t xml:space="preserve">Phụ lục II của Quy định </w:t>
      </w:r>
      <w:r w:rsidR="004F5CB7">
        <w:rPr>
          <w:rFonts w:ascii="Times New Roman" w:eastAsia="Times New Roman" w:hAnsi="Times New Roman" w:cs="Times New Roman"/>
          <w:sz w:val="24"/>
          <w:szCs w:val="24"/>
        </w:rPr>
        <w:t>này đưa ra</w:t>
      </w:r>
      <w:r w:rsidRPr="00C72BCC">
        <w:rPr>
          <w:rFonts w:ascii="Times New Roman" w:eastAsia="Times New Roman" w:hAnsi="Times New Roman" w:cs="Times New Roman"/>
          <w:sz w:val="24"/>
          <w:szCs w:val="24"/>
        </w:rPr>
        <w:t xml:space="preserve"> các hệ số phát thải WtT mặc định đối với nhiên liệu hóa thạch, nhiên liệu sinh học và RFNBO. Nhiên liệu sinh học bền vững và RFNBO có thể sử dụng các giá trị </w:t>
      </w:r>
      <w:r w:rsidRPr="00C72BCC">
        <w:rPr>
          <w:rFonts w:ascii="Times New Roman" w:eastAsia="Times New Roman" w:hAnsi="Times New Roman" w:cs="Times New Roman"/>
          <w:sz w:val="24"/>
          <w:szCs w:val="24"/>
        </w:rPr>
        <w:lastRenderedPageBreak/>
        <w:t xml:space="preserve">mặc định như được </w:t>
      </w:r>
      <w:r w:rsidR="004F5CB7">
        <w:rPr>
          <w:rFonts w:ascii="Times New Roman" w:eastAsia="Times New Roman" w:hAnsi="Times New Roman" w:cs="Times New Roman"/>
          <w:sz w:val="24"/>
          <w:szCs w:val="24"/>
        </w:rPr>
        <w:t>cho</w:t>
      </w:r>
      <w:r w:rsidRPr="00C72BCC">
        <w:rPr>
          <w:rFonts w:ascii="Times New Roman" w:eastAsia="Times New Roman" w:hAnsi="Times New Roman" w:cs="Times New Roman"/>
          <w:sz w:val="24"/>
          <w:szCs w:val="24"/>
        </w:rPr>
        <w:t xml:space="preserve"> trong Phụ lục II và Chỉ thị RED II hoặc các giá trị thực tế được chứng nhận theo chương trình được Ủy ban EU công nhận. Tuy nhiên, đối với nhiên liệu hóa thạch, chỉ có thể sử dụng các giá trị mặc định.</w:t>
      </w:r>
    </w:p>
    <w:p w:rsidR="000A7BB3" w:rsidRDefault="000A7BB3" w:rsidP="000A7BB3">
      <w:pPr>
        <w:shd w:val="clear" w:color="auto" w:fill="FFFFFF"/>
        <w:spacing w:after="0" w:line="390" w:lineRule="atLeast"/>
        <w:textAlignment w:val="baseline"/>
        <w:rPr>
          <w:rFonts w:ascii="inherit" w:eastAsia="Times New Roman" w:hAnsi="inherit" w:cs="Helvetica"/>
          <w:color w:val="333333"/>
          <w:sz w:val="24"/>
          <w:szCs w:val="24"/>
        </w:rPr>
      </w:pPr>
      <w:r w:rsidRPr="000A7BB3">
        <w:rPr>
          <w:rFonts w:ascii="inherit" w:eastAsia="Times New Roman" w:hAnsi="inherit" w:cs="Helvetica"/>
          <w:noProof/>
          <w:color w:val="333333"/>
          <w:sz w:val="24"/>
          <w:szCs w:val="24"/>
        </w:rPr>
        <w:drawing>
          <wp:inline distT="0" distB="0" distL="0" distR="0">
            <wp:extent cx="5919470" cy="2186940"/>
            <wp:effectExtent l="0" t="0" r="5080" b="3810"/>
            <wp:docPr id="8" name="Picture 8" descr="Be prepared for the next wave: FuelEU Maritime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 prepared for the next wave: FuelEU Maritime expla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564" cy="2195841"/>
                    </a:xfrm>
                    <a:prstGeom prst="rect">
                      <a:avLst/>
                    </a:prstGeom>
                    <a:noFill/>
                    <a:ln>
                      <a:noFill/>
                    </a:ln>
                  </pic:spPr>
                </pic:pic>
              </a:graphicData>
            </a:graphic>
          </wp:inline>
        </w:drawing>
      </w:r>
    </w:p>
    <w:p w:rsidR="004F5CB7" w:rsidRPr="004F5CB7" w:rsidRDefault="004F5CB7" w:rsidP="004F5CB7">
      <w:pPr>
        <w:shd w:val="clear" w:color="auto" w:fill="FFFFFF"/>
        <w:spacing w:after="0" w:line="390" w:lineRule="atLeast"/>
        <w:jc w:val="center"/>
        <w:textAlignment w:val="baseline"/>
        <w:rPr>
          <w:rFonts w:ascii="inherit" w:eastAsia="Times New Roman" w:hAnsi="inherit" w:cs="Helvetica"/>
          <w:i/>
          <w:color w:val="333333"/>
          <w:sz w:val="24"/>
          <w:szCs w:val="24"/>
        </w:rPr>
      </w:pPr>
      <w:r w:rsidRPr="004F5CB7">
        <w:rPr>
          <w:rFonts w:ascii="inherit" w:eastAsia="Times New Roman" w:hAnsi="inherit" w:cs="Helvetica"/>
          <w:i/>
          <w:color w:val="333333"/>
          <w:sz w:val="24"/>
          <w:szCs w:val="24"/>
        </w:rPr>
        <w:t>Quá trình Well-to-wake</w:t>
      </w:r>
    </w:p>
    <w:p w:rsidR="004F5CB7" w:rsidRPr="004F5CB7" w:rsidRDefault="004F5CB7" w:rsidP="004F5CB7">
      <w:pPr>
        <w:shd w:val="clear" w:color="auto" w:fill="FFFFFF"/>
        <w:spacing w:after="300" w:line="390" w:lineRule="atLeast"/>
        <w:jc w:val="both"/>
        <w:textAlignment w:val="baseline"/>
        <w:rPr>
          <w:rFonts w:ascii="Times New Roman" w:eastAsia="Times New Roman" w:hAnsi="Times New Roman" w:cs="Times New Roman"/>
          <w:sz w:val="24"/>
          <w:szCs w:val="24"/>
        </w:rPr>
      </w:pPr>
      <w:r w:rsidRPr="004F5CB7">
        <w:rPr>
          <w:rFonts w:ascii="Times New Roman" w:eastAsia="Times New Roman" w:hAnsi="Times New Roman" w:cs="Times New Roman"/>
          <w:sz w:val="24"/>
          <w:szCs w:val="24"/>
        </w:rPr>
        <w:t xml:space="preserve">Phụ lục II cũng </w:t>
      </w:r>
      <w:r>
        <w:rPr>
          <w:rFonts w:ascii="Times New Roman" w:eastAsia="Times New Roman" w:hAnsi="Times New Roman" w:cs="Times New Roman"/>
          <w:sz w:val="24"/>
          <w:szCs w:val="24"/>
        </w:rPr>
        <w:t>đưa ra</w:t>
      </w:r>
      <w:r w:rsidRPr="004F5CB7">
        <w:rPr>
          <w:rFonts w:ascii="Times New Roman" w:eastAsia="Times New Roman" w:hAnsi="Times New Roman" w:cs="Times New Roman"/>
          <w:sz w:val="24"/>
          <w:szCs w:val="24"/>
        </w:rPr>
        <w:t xml:space="preserve"> các hệ số phát thải TtW mặc định đối với nhiên liệu hóa thạch, nhiên liệu sinh học và RFNBO. Các công ty có quyền </w:t>
      </w:r>
      <w:r>
        <w:rPr>
          <w:rFonts w:ascii="Times New Roman" w:eastAsia="Times New Roman" w:hAnsi="Times New Roman" w:cs="Times New Roman"/>
          <w:sz w:val="24"/>
          <w:szCs w:val="24"/>
        </w:rPr>
        <w:t>sử dụng giá trị khác</w:t>
      </w:r>
      <w:r w:rsidRPr="004F5CB7">
        <w:rPr>
          <w:rFonts w:ascii="Times New Roman" w:eastAsia="Times New Roman" w:hAnsi="Times New Roman" w:cs="Times New Roman"/>
          <w:sz w:val="24"/>
          <w:szCs w:val="24"/>
        </w:rPr>
        <w:t xml:space="preserve"> với hệ số phát thải TtW mặc định – ngoài hệ số phát thải TtW CO₂ đối với nhiên liệu hóa thạch – miễn là các giá trị thực tế được chứng nhận bằng phương pháp thử nghiệm trong phòng thí nghiệm hoặc đo phát thải trực tiếp. Biểu đồ sau đây trình bày cường độ WtT và TtW GHG của các loại nhiên liệu và hỗn hợp nhiên liệu khác nhau so với giới hạn áp dụng.</w:t>
      </w:r>
    </w:p>
    <w:p w:rsidR="000A7BB3" w:rsidRPr="000A7BB3" w:rsidRDefault="000A7BB3" w:rsidP="004F5CB7">
      <w:pPr>
        <w:shd w:val="clear" w:color="auto" w:fill="FFFFFF"/>
        <w:spacing w:after="0" w:line="390" w:lineRule="atLeast"/>
        <w:jc w:val="center"/>
        <w:textAlignment w:val="baseline"/>
        <w:rPr>
          <w:rFonts w:ascii="inherit" w:eastAsia="Times New Roman" w:hAnsi="inherit" w:cs="Helvetica"/>
          <w:color w:val="333333"/>
          <w:sz w:val="24"/>
          <w:szCs w:val="24"/>
        </w:rPr>
      </w:pPr>
      <w:r w:rsidRPr="000A7BB3">
        <w:rPr>
          <w:rFonts w:ascii="inherit" w:eastAsia="Times New Roman" w:hAnsi="inherit" w:cs="Helvetica"/>
          <w:noProof/>
          <w:color w:val="A0A0A0"/>
          <w:sz w:val="24"/>
          <w:szCs w:val="24"/>
          <w:bdr w:val="none" w:sz="0" w:space="0" w:color="auto" w:frame="1"/>
        </w:rPr>
        <w:drawing>
          <wp:inline distT="0" distB="0" distL="0" distR="0">
            <wp:extent cx="5817235" cy="3284220"/>
            <wp:effectExtent l="0" t="0" r="0" b="0"/>
            <wp:docPr id="7" name="Picture 7" descr="Be prepared for the next wave: FuelEU Maritime explain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 prepared for the next wave: FuelEU Maritime explain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3388" cy="3304631"/>
                    </a:xfrm>
                    <a:prstGeom prst="rect">
                      <a:avLst/>
                    </a:prstGeom>
                    <a:noFill/>
                    <a:ln>
                      <a:noFill/>
                    </a:ln>
                  </pic:spPr>
                </pic:pic>
              </a:graphicData>
            </a:graphic>
          </wp:inline>
        </w:drawing>
      </w:r>
    </w:p>
    <w:p w:rsidR="004F5CB7" w:rsidRPr="004F5CB7" w:rsidRDefault="004F5CB7" w:rsidP="004F5CB7">
      <w:pPr>
        <w:shd w:val="clear" w:color="auto" w:fill="FFFFFF"/>
        <w:spacing w:before="120" w:after="120" w:line="390" w:lineRule="atLeast"/>
        <w:jc w:val="both"/>
        <w:textAlignment w:val="baseline"/>
        <w:rPr>
          <w:rFonts w:ascii="Times New Roman" w:eastAsia="Times New Roman" w:hAnsi="Times New Roman" w:cs="Times New Roman"/>
          <w:b/>
          <w:sz w:val="28"/>
          <w:szCs w:val="28"/>
        </w:rPr>
      </w:pPr>
      <w:r w:rsidRPr="004F5CB7">
        <w:rPr>
          <w:rFonts w:ascii="Times New Roman" w:eastAsia="Times New Roman" w:hAnsi="Times New Roman" w:cs="Times New Roman"/>
          <w:b/>
          <w:sz w:val="28"/>
          <w:szCs w:val="28"/>
        </w:rPr>
        <w:lastRenderedPageBreak/>
        <w:t xml:space="preserve">Có </w:t>
      </w:r>
      <w:r w:rsidRPr="004F5CB7">
        <w:rPr>
          <w:rFonts w:ascii="Times New Roman" w:eastAsia="Times New Roman" w:hAnsi="Times New Roman" w:cs="Times New Roman"/>
          <w:b/>
          <w:sz w:val="28"/>
          <w:szCs w:val="28"/>
        </w:rPr>
        <w:t>quy định</w:t>
      </w:r>
      <w:r w:rsidRPr="004F5CB7">
        <w:rPr>
          <w:rFonts w:ascii="Times New Roman" w:eastAsia="Times New Roman" w:hAnsi="Times New Roman" w:cs="Times New Roman"/>
          <w:b/>
          <w:sz w:val="28"/>
          <w:szCs w:val="28"/>
        </w:rPr>
        <w:t xml:space="preserve"> nào </w:t>
      </w:r>
      <w:r>
        <w:rPr>
          <w:rFonts w:ascii="Times New Roman" w:eastAsia="Times New Roman" w:hAnsi="Times New Roman" w:cs="Times New Roman"/>
          <w:b/>
          <w:sz w:val="28"/>
          <w:szCs w:val="28"/>
        </w:rPr>
        <w:t>đối với</w:t>
      </w:r>
      <w:r w:rsidRPr="004F5CB7">
        <w:rPr>
          <w:rFonts w:ascii="Times New Roman" w:eastAsia="Times New Roman" w:hAnsi="Times New Roman" w:cs="Times New Roman"/>
          <w:b/>
          <w:sz w:val="28"/>
          <w:szCs w:val="28"/>
        </w:rPr>
        <w:t xml:space="preserve"> năng lượng sử dụng tại </w:t>
      </w:r>
      <w:r w:rsidRPr="004F5CB7">
        <w:rPr>
          <w:rFonts w:ascii="Times New Roman" w:eastAsia="Times New Roman" w:hAnsi="Times New Roman" w:cs="Times New Roman"/>
          <w:b/>
          <w:sz w:val="28"/>
          <w:szCs w:val="28"/>
        </w:rPr>
        <w:t>cầu cảng</w:t>
      </w:r>
      <w:r w:rsidRPr="004F5CB7">
        <w:rPr>
          <w:rFonts w:ascii="Times New Roman" w:eastAsia="Times New Roman" w:hAnsi="Times New Roman" w:cs="Times New Roman"/>
          <w:b/>
          <w:sz w:val="28"/>
          <w:szCs w:val="28"/>
        </w:rPr>
        <w:t xml:space="preserve"> không?</w:t>
      </w:r>
    </w:p>
    <w:p w:rsidR="004F5CB7" w:rsidRPr="004F5CB7" w:rsidRDefault="004F5CB7" w:rsidP="004F5CB7">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F5CB7">
        <w:rPr>
          <w:rFonts w:ascii="Times New Roman" w:eastAsia="Times New Roman" w:hAnsi="Times New Roman" w:cs="Times New Roman"/>
          <w:sz w:val="24"/>
          <w:szCs w:val="24"/>
        </w:rPr>
        <w:t xml:space="preserve">Từ ngày 1 tháng 1 năm 2030, các tàu container và tàu khách trên 5.000 </w:t>
      </w:r>
      <w:r>
        <w:rPr>
          <w:rFonts w:ascii="Times New Roman" w:eastAsia="Times New Roman" w:hAnsi="Times New Roman" w:cs="Times New Roman"/>
          <w:sz w:val="24"/>
          <w:szCs w:val="24"/>
        </w:rPr>
        <w:t>GT</w:t>
      </w:r>
      <w:r w:rsidRPr="004F5C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buộc tại cầu</w:t>
      </w:r>
      <w:r w:rsidRPr="004F5C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của một</w:t>
      </w:r>
      <w:r w:rsidRPr="004F5CB7">
        <w:rPr>
          <w:rFonts w:ascii="Times New Roman" w:eastAsia="Times New Roman" w:hAnsi="Times New Roman" w:cs="Times New Roman"/>
          <w:sz w:val="24"/>
          <w:szCs w:val="24"/>
        </w:rPr>
        <w:t xml:space="preserve"> cảng ghé</w:t>
      </w:r>
      <w:r>
        <w:rPr>
          <w:rFonts w:ascii="Times New Roman" w:eastAsia="Times New Roman" w:hAnsi="Times New Roman" w:cs="Times New Roman"/>
          <w:sz w:val="24"/>
          <w:szCs w:val="24"/>
        </w:rPr>
        <w:t xml:space="preserve"> thuộc</w:t>
      </w:r>
      <w:r w:rsidR="001D39C7">
        <w:rPr>
          <w:rFonts w:ascii="Times New Roman" w:eastAsia="Times New Roman" w:hAnsi="Times New Roman" w:cs="Times New Roman"/>
          <w:sz w:val="24"/>
          <w:szCs w:val="24"/>
        </w:rPr>
        <w:t xml:space="preserve"> Mạng lưới Giao thông Xuyên Châu Âu (</w:t>
      </w:r>
      <w:r w:rsidRPr="004F5CB7">
        <w:rPr>
          <w:rFonts w:ascii="Times New Roman" w:eastAsia="Times New Roman" w:hAnsi="Times New Roman" w:cs="Times New Roman"/>
          <w:sz w:val="24"/>
          <w:szCs w:val="24"/>
        </w:rPr>
        <w:t>TEN-T</w:t>
      </w:r>
      <w:r w:rsidR="001D39C7">
        <w:rPr>
          <w:rFonts w:ascii="Times New Roman" w:eastAsia="Times New Roman" w:hAnsi="Times New Roman" w:cs="Times New Roman"/>
          <w:sz w:val="24"/>
          <w:szCs w:val="24"/>
        </w:rPr>
        <w:t>)</w:t>
      </w:r>
      <w:r w:rsidRPr="004F5CB7">
        <w:rPr>
          <w:rFonts w:ascii="Times New Roman" w:eastAsia="Times New Roman" w:hAnsi="Times New Roman" w:cs="Times New Roman"/>
          <w:sz w:val="24"/>
          <w:szCs w:val="24"/>
        </w:rPr>
        <w:t xml:space="preserve"> phải đáp ứng nhu cầu điện </w:t>
      </w:r>
      <w:r>
        <w:rPr>
          <w:rFonts w:ascii="Times New Roman" w:eastAsia="Times New Roman" w:hAnsi="Times New Roman" w:cs="Times New Roman"/>
          <w:sz w:val="24"/>
          <w:szCs w:val="24"/>
        </w:rPr>
        <w:t xml:space="preserve">của tàu </w:t>
      </w:r>
      <w:r w:rsidRPr="004F5CB7">
        <w:rPr>
          <w:rFonts w:ascii="Times New Roman" w:eastAsia="Times New Roman" w:hAnsi="Times New Roman" w:cs="Times New Roman"/>
          <w:sz w:val="24"/>
          <w:szCs w:val="24"/>
        </w:rPr>
        <w:t xml:space="preserve">tại bến bằng nguồn điện bờ (OPS). Từ ngày 1 tháng 1 năm 2035, nghĩa vụ sử dụng OPS tại bến được mở rộng tới các cảng không thuộc TEN-T </w:t>
      </w:r>
      <w:r>
        <w:rPr>
          <w:rFonts w:ascii="Times New Roman" w:eastAsia="Times New Roman" w:hAnsi="Times New Roman" w:cs="Times New Roman"/>
          <w:sz w:val="24"/>
          <w:szCs w:val="24"/>
        </w:rPr>
        <w:t>khi</w:t>
      </w:r>
      <w:r w:rsidRPr="004F5CB7">
        <w:rPr>
          <w:rFonts w:ascii="Times New Roman" w:eastAsia="Times New Roman" w:hAnsi="Times New Roman" w:cs="Times New Roman"/>
          <w:sz w:val="24"/>
          <w:szCs w:val="24"/>
        </w:rPr>
        <w:t xml:space="preserve"> cầu cảng được trang bị OPS.</w:t>
      </w:r>
    </w:p>
    <w:p w:rsidR="004F5CB7" w:rsidRPr="001D39C7" w:rsidRDefault="004F5CB7" w:rsidP="004F5CB7">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1D39C7">
        <w:rPr>
          <w:rFonts w:ascii="Times New Roman" w:eastAsia="Times New Roman" w:hAnsi="Times New Roman" w:cs="Times New Roman"/>
          <w:b/>
          <w:sz w:val="24"/>
          <w:szCs w:val="24"/>
        </w:rPr>
        <w:t xml:space="preserve">Thời hạn để </w:t>
      </w:r>
      <w:r w:rsidR="001D39C7" w:rsidRPr="001D39C7">
        <w:rPr>
          <w:rFonts w:ascii="Times New Roman" w:eastAsia="Times New Roman" w:hAnsi="Times New Roman" w:cs="Times New Roman"/>
          <w:b/>
          <w:sz w:val="24"/>
          <w:szCs w:val="24"/>
        </w:rPr>
        <w:t xml:space="preserve">các tàu phải </w:t>
      </w:r>
      <w:r w:rsidRPr="001D39C7">
        <w:rPr>
          <w:rFonts w:ascii="Times New Roman" w:eastAsia="Times New Roman" w:hAnsi="Times New Roman" w:cs="Times New Roman"/>
          <w:b/>
          <w:sz w:val="24"/>
          <w:szCs w:val="24"/>
        </w:rPr>
        <w:t>tuân thủ</w:t>
      </w:r>
    </w:p>
    <w:p w:rsidR="004F5CB7" w:rsidRPr="004F5CB7" w:rsidRDefault="004F5CB7" w:rsidP="004F5CB7">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F5CB7">
        <w:rPr>
          <w:rFonts w:ascii="Times New Roman" w:eastAsia="Times New Roman" w:hAnsi="Times New Roman" w:cs="Times New Roman"/>
          <w:sz w:val="24"/>
          <w:szCs w:val="24"/>
        </w:rPr>
        <w:t xml:space="preserve">Các công ty phải chịu trách nhiệm giám sát và báo cáo </w:t>
      </w:r>
      <w:r w:rsidR="001D39C7">
        <w:rPr>
          <w:rFonts w:ascii="Times New Roman" w:eastAsia="Times New Roman" w:hAnsi="Times New Roman" w:cs="Times New Roman"/>
          <w:sz w:val="24"/>
          <w:szCs w:val="24"/>
        </w:rPr>
        <w:t xml:space="preserve">khối </w:t>
      </w:r>
      <w:r w:rsidRPr="004F5CB7">
        <w:rPr>
          <w:rFonts w:ascii="Times New Roman" w:eastAsia="Times New Roman" w:hAnsi="Times New Roman" w:cs="Times New Roman"/>
          <w:sz w:val="24"/>
          <w:szCs w:val="24"/>
        </w:rPr>
        <w:t xml:space="preserve">lượng và loại năng lượng được tàu sử dụng trên tàu và ghi lại phương pháp được </w:t>
      </w:r>
      <w:r w:rsidR="001D39C7">
        <w:rPr>
          <w:rFonts w:ascii="Times New Roman" w:eastAsia="Times New Roman" w:hAnsi="Times New Roman" w:cs="Times New Roman"/>
          <w:sz w:val="24"/>
          <w:szCs w:val="24"/>
        </w:rPr>
        <w:t>dùng</w:t>
      </w:r>
      <w:r w:rsidRPr="004F5CB7">
        <w:rPr>
          <w:rFonts w:ascii="Times New Roman" w:eastAsia="Times New Roman" w:hAnsi="Times New Roman" w:cs="Times New Roman"/>
          <w:sz w:val="24"/>
          <w:szCs w:val="24"/>
        </w:rPr>
        <w:t xml:space="preserve"> trong kế hoạch giám sát. Kế hoạch </w:t>
      </w:r>
      <w:r w:rsidR="001D39C7">
        <w:rPr>
          <w:rFonts w:ascii="Times New Roman" w:eastAsia="Times New Roman" w:hAnsi="Times New Roman" w:cs="Times New Roman"/>
          <w:sz w:val="24"/>
          <w:szCs w:val="24"/>
        </w:rPr>
        <w:t xml:space="preserve">này, </w:t>
      </w:r>
      <w:r w:rsidRPr="004F5CB7">
        <w:rPr>
          <w:rFonts w:ascii="Times New Roman" w:eastAsia="Times New Roman" w:hAnsi="Times New Roman" w:cs="Times New Roman"/>
          <w:sz w:val="24"/>
          <w:szCs w:val="24"/>
        </w:rPr>
        <w:t>cũng như các báo cáo phát thải hàng năm</w:t>
      </w:r>
      <w:r w:rsidR="001D39C7">
        <w:rPr>
          <w:rFonts w:ascii="Times New Roman" w:eastAsia="Times New Roman" w:hAnsi="Times New Roman" w:cs="Times New Roman"/>
          <w:sz w:val="24"/>
          <w:szCs w:val="24"/>
        </w:rPr>
        <w:t>,</w:t>
      </w:r>
      <w:r w:rsidRPr="004F5CB7">
        <w:rPr>
          <w:rFonts w:ascii="Times New Roman" w:eastAsia="Times New Roman" w:hAnsi="Times New Roman" w:cs="Times New Roman"/>
          <w:sz w:val="24"/>
          <w:szCs w:val="24"/>
        </w:rPr>
        <w:t xml:space="preserve"> phải được đệ trình và </w:t>
      </w:r>
      <w:r w:rsidR="001D39C7">
        <w:rPr>
          <w:rFonts w:ascii="Times New Roman" w:eastAsia="Times New Roman" w:hAnsi="Times New Roman" w:cs="Times New Roman"/>
          <w:sz w:val="24"/>
          <w:szCs w:val="24"/>
        </w:rPr>
        <w:t xml:space="preserve">được </w:t>
      </w:r>
      <w:r w:rsidRPr="004F5CB7">
        <w:rPr>
          <w:rFonts w:ascii="Times New Roman" w:eastAsia="Times New Roman" w:hAnsi="Times New Roman" w:cs="Times New Roman"/>
          <w:sz w:val="24"/>
          <w:szCs w:val="24"/>
        </w:rPr>
        <w:t xml:space="preserve">đánh giá bởi </w:t>
      </w:r>
      <w:r w:rsidR="001D39C7">
        <w:rPr>
          <w:rFonts w:ascii="Times New Roman" w:eastAsia="Times New Roman" w:hAnsi="Times New Roman" w:cs="Times New Roman"/>
          <w:sz w:val="24"/>
          <w:szCs w:val="24"/>
        </w:rPr>
        <w:t xml:space="preserve">một </w:t>
      </w:r>
      <w:r w:rsidRPr="004F5CB7">
        <w:rPr>
          <w:rFonts w:ascii="Times New Roman" w:eastAsia="Times New Roman" w:hAnsi="Times New Roman" w:cs="Times New Roman"/>
          <w:sz w:val="24"/>
          <w:szCs w:val="24"/>
        </w:rPr>
        <w:t xml:space="preserve">cơ quan xác minh theo </w:t>
      </w:r>
      <w:r w:rsidR="001D39C7">
        <w:rPr>
          <w:rFonts w:ascii="Times New Roman" w:eastAsia="Times New Roman" w:hAnsi="Times New Roman" w:cs="Times New Roman"/>
          <w:sz w:val="24"/>
          <w:szCs w:val="24"/>
        </w:rPr>
        <w:t xml:space="preserve">các mốc </w:t>
      </w:r>
      <w:r w:rsidRPr="004F5CB7">
        <w:rPr>
          <w:rFonts w:ascii="Times New Roman" w:eastAsia="Times New Roman" w:hAnsi="Times New Roman" w:cs="Times New Roman"/>
          <w:sz w:val="24"/>
          <w:szCs w:val="24"/>
        </w:rPr>
        <w:t>thời gian dưới đây:</w:t>
      </w:r>
    </w:p>
    <w:p w:rsidR="000A7BB3" w:rsidRPr="000A7BB3" w:rsidRDefault="000A7BB3" w:rsidP="000A7BB3">
      <w:pPr>
        <w:shd w:val="clear" w:color="auto" w:fill="FFFFFF"/>
        <w:spacing w:after="0" w:line="390" w:lineRule="atLeast"/>
        <w:textAlignment w:val="baseline"/>
        <w:rPr>
          <w:rFonts w:ascii="inherit" w:eastAsia="Times New Roman" w:hAnsi="inherit" w:cs="Helvetica"/>
          <w:color w:val="333333"/>
          <w:sz w:val="24"/>
          <w:szCs w:val="24"/>
        </w:rPr>
      </w:pPr>
      <w:r w:rsidRPr="000A7BB3">
        <w:rPr>
          <w:rFonts w:ascii="inherit" w:eastAsia="Times New Roman" w:hAnsi="inherit" w:cs="Helvetica"/>
          <w:noProof/>
          <w:color w:val="A0A0A0"/>
          <w:sz w:val="24"/>
          <w:szCs w:val="24"/>
          <w:bdr w:val="none" w:sz="0" w:space="0" w:color="auto" w:frame="1"/>
        </w:rPr>
        <w:drawing>
          <wp:inline distT="0" distB="0" distL="0" distR="0">
            <wp:extent cx="6042660" cy="2827577"/>
            <wp:effectExtent l="0" t="0" r="0" b="0"/>
            <wp:docPr id="6" name="Picture 6" descr="Be prepared for the next wave: FuelEU Maritime explain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 prepared for the next wave: FuelEU Maritime explained">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6531" cy="2862144"/>
                    </a:xfrm>
                    <a:prstGeom prst="rect">
                      <a:avLst/>
                    </a:prstGeom>
                    <a:noFill/>
                    <a:ln>
                      <a:noFill/>
                    </a:ln>
                  </pic:spPr>
                </pic:pic>
              </a:graphicData>
            </a:graphic>
          </wp:inline>
        </w:drawing>
      </w:r>
    </w:p>
    <w:p w:rsidR="001D39C7" w:rsidRPr="001D39C7" w:rsidRDefault="001D39C7" w:rsidP="001D39C7">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1D39C7">
        <w:rPr>
          <w:rFonts w:ascii="Times New Roman" w:eastAsia="Times New Roman" w:hAnsi="Times New Roman" w:cs="Times New Roman"/>
          <w:b/>
          <w:sz w:val="24"/>
          <w:szCs w:val="24"/>
        </w:rPr>
        <w:t xml:space="preserve">Các hình phạt </w:t>
      </w:r>
      <w:r w:rsidRPr="001D39C7">
        <w:rPr>
          <w:rFonts w:ascii="Times New Roman" w:eastAsia="Times New Roman" w:hAnsi="Times New Roman" w:cs="Times New Roman"/>
          <w:b/>
          <w:sz w:val="24"/>
          <w:szCs w:val="24"/>
        </w:rPr>
        <w:t>sẽ thế nào</w:t>
      </w:r>
    </w:p>
    <w:p w:rsidR="001D39C7" w:rsidRDefault="001D39C7" w:rsidP="001D39C7">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D39C7">
        <w:rPr>
          <w:rFonts w:ascii="Times New Roman" w:eastAsia="Times New Roman" w:hAnsi="Times New Roman" w:cs="Times New Roman"/>
          <w:sz w:val="24"/>
          <w:szCs w:val="24"/>
        </w:rPr>
        <w:t xml:space="preserve">Các tàu có cường độ GHG cao hơn ngưỡng </w:t>
      </w:r>
      <w:r>
        <w:rPr>
          <w:rFonts w:ascii="Times New Roman" w:eastAsia="Times New Roman" w:hAnsi="Times New Roman" w:cs="Times New Roman"/>
          <w:sz w:val="24"/>
          <w:szCs w:val="24"/>
        </w:rPr>
        <w:t xml:space="preserve">sẽ </w:t>
      </w:r>
      <w:r w:rsidRPr="001D39C7">
        <w:rPr>
          <w:rFonts w:ascii="Times New Roman" w:eastAsia="Times New Roman" w:hAnsi="Times New Roman" w:cs="Times New Roman"/>
          <w:sz w:val="24"/>
          <w:szCs w:val="24"/>
        </w:rPr>
        <w:t xml:space="preserve">phải trả mức phạt khắc phục tương ứng với mức độ thiếu tuân thủ của chúng. </w:t>
      </w:r>
      <w:r>
        <w:rPr>
          <w:rFonts w:ascii="Times New Roman" w:eastAsia="Times New Roman" w:hAnsi="Times New Roman" w:cs="Times New Roman"/>
          <w:sz w:val="24"/>
          <w:szCs w:val="24"/>
        </w:rPr>
        <w:t>T</w:t>
      </w:r>
      <w:r w:rsidRPr="001D39C7">
        <w:rPr>
          <w:rFonts w:ascii="Times New Roman" w:eastAsia="Times New Roman" w:hAnsi="Times New Roman" w:cs="Times New Roman"/>
          <w:sz w:val="24"/>
          <w:szCs w:val="24"/>
        </w:rPr>
        <w:t xml:space="preserve">hiếu tuân thủ là sự chênh lệch giữa cường độ </w:t>
      </w:r>
      <w:r>
        <w:rPr>
          <w:rFonts w:ascii="Times New Roman" w:eastAsia="Times New Roman" w:hAnsi="Times New Roman" w:cs="Times New Roman"/>
          <w:sz w:val="24"/>
          <w:szCs w:val="24"/>
        </w:rPr>
        <w:t>thải GHG</w:t>
      </w:r>
      <w:r w:rsidRPr="001D39C7">
        <w:rPr>
          <w:rFonts w:ascii="Times New Roman" w:eastAsia="Times New Roman" w:hAnsi="Times New Roman" w:cs="Times New Roman"/>
          <w:sz w:val="24"/>
          <w:szCs w:val="24"/>
        </w:rPr>
        <w:t xml:space="preserve"> tham chiếu và cường độ thực tế nhân với </w:t>
      </w:r>
      <w:r>
        <w:rPr>
          <w:rFonts w:ascii="Times New Roman" w:eastAsia="Times New Roman" w:hAnsi="Times New Roman" w:cs="Times New Roman"/>
          <w:sz w:val="24"/>
          <w:szCs w:val="24"/>
        </w:rPr>
        <w:t>lượng năng lượng</w:t>
      </w:r>
      <w:r w:rsidRPr="001D39C7">
        <w:rPr>
          <w:rFonts w:ascii="Times New Roman" w:eastAsia="Times New Roman" w:hAnsi="Times New Roman" w:cs="Times New Roman"/>
          <w:sz w:val="24"/>
          <w:szCs w:val="24"/>
        </w:rPr>
        <w:t xml:space="preserve"> tiêu thụ. Biểu đồ bên dưới thể hiện chi phí tuân thủ hàng ngày của </w:t>
      </w:r>
      <w:r>
        <w:rPr>
          <w:rFonts w:ascii="Times New Roman" w:eastAsia="Times New Roman" w:hAnsi="Times New Roman" w:cs="Times New Roman"/>
          <w:sz w:val="24"/>
          <w:szCs w:val="24"/>
        </w:rPr>
        <w:t xml:space="preserve">một </w:t>
      </w:r>
      <w:r w:rsidRPr="001D39C7">
        <w:rPr>
          <w:rFonts w:ascii="Times New Roman" w:eastAsia="Times New Roman" w:hAnsi="Times New Roman" w:cs="Times New Roman"/>
          <w:sz w:val="24"/>
          <w:szCs w:val="24"/>
        </w:rPr>
        <w:t xml:space="preserve">tàu </w:t>
      </w:r>
      <w:r>
        <w:rPr>
          <w:rFonts w:ascii="Times New Roman" w:eastAsia="Times New Roman" w:hAnsi="Times New Roman" w:cs="Times New Roman"/>
          <w:sz w:val="24"/>
          <w:szCs w:val="24"/>
        </w:rPr>
        <w:t xml:space="preserve">bằng cách </w:t>
      </w:r>
      <w:r w:rsidRPr="001D39C7">
        <w:rPr>
          <w:rFonts w:ascii="Times New Roman" w:eastAsia="Times New Roman" w:hAnsi="Times New Roman" w:cs="Times New Roman"/>
          <w:sz w:val="24"/>
          <w:szCs w:val="24"/>
        </w:rPr>
        <w:t xml:space="preserve">sử dụng LSFO dựa trên mức tiêu thụ dầu nhiên liệu hàng ngày của </w:t>
      </w:r>
      <w:r>
        <w:rPr>
          <w:rFonts w:ascii="Times New Roman" w:eastAsia="Times New Roman" w:hAnsi="Times New Roman" w:cs="Times New Roman"/>
          <w:sz w:val="24"/>
          <w:szCs w:val="24"/>
        </w:rPr>
        <w:t>nó.</w:t>
      </w:r>
    </w:p>
    <w:p w:rsidR="001D39C7" w:rsidRPr="001D39C7" w:rsidRDefault="001D39C7" w:rsidP="001D39C7">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D39C7">
        <w:rPr>
          <w:rFonts w:ascii="Times New Roman" w:eastAsia="Times New Roman" w:hAnsi="Times New Roman" w:cs="Times New Roman"/>
          <w:sz w:val="24"/>
          <w:szCs w:val="24"/>
        </w:rPr>
        <w:t xml:space="preserve">Nếu </w:t>
      </w:r>
      <w:r>
        <w:rPr>
          <w:rFonts w:ascii="Times New Roman" w:eastAsia="Times New Roman" w:hAnsi="Times New Roman" w:cs="Times New Roman"/>
          <w:sz w:val="24"/>
          <w:szCs w:val="24"/>
        </w:rPr>
        <w:t xml:space="preserve">một </w:t>
      </w:r>
      <w:r w:rsidRPr="001D39C7">
        <w:rPr>
          <w:rFonts w:ascii="Times New Roman" w:eastAsia="Times New Roman" w:hAnsi="Times New Roman" w:cs="Times New Roman"/>
          <w:sz w:val="24"/>
          <w:szCs w:val="24"/>
        </w:rPr>
        <w:t xml:space="preserve">tàu có </w:t>
      </w:r>
      <w:r>
        <w:rPr>
          <w:rFonts w:ascii="Times New Roman" w:eastAsia="Times New Roman" w:hAnsi="Times New Roman" w:cs="Times New Roman"/>
          <w:sz w:val="24"/>
          <w:szCs w:val="24"/>
        </w:rPr>
        <w:t xml:space="preserve">sự </w:t>
      </w:r>
      <w:r w:rsidRPr="001D39C7">
        <w:rPr>
          <w:rFonts w:ascii="Times New Roman" w:eastAsia="Times New Roman" w:hAnsi="Times New Roman" w:cs="Times New Roman"/>
          <w:sz w:val="24"/>
          <w:szCs w:val="24"/>
        </w:rPr>
        <w:t>thiếu tuân thủ trong hai kỳ báo cáo liên tiếp trở lên</w:t>
      </w:r>
      <w:r>
        <w:rPr>
          <w:rFonts w:ascii="Times New Roman" w:eastAsia="Times New Roman" w:hAnsi="Times New Roman" w:cs="Times New Roman"/>
          <w:sz w:val="24"/>
          <w:szCs w:val="24"/>
        </w:rPr>
        <w:t xml:space="preserve"> thì</w:t>
      </w:r>
      <w:r w:rsidRPr="001D39C7">
        <w:rPr>
          <w:rFonts w:ascii="Times New Roman" w:eastAsia="Times New Roman" w:hAnsi="Times New Roman" w:cs="Times New Roman"/>
          <w:sz w:val="24"/>
          <w:szCs w:val="24"/>
        </w:rPr>
        <w:t xml:space="preserve"> mức phạt khắc phục sẽ tăng 10% trong mỗi kỳ báo cáo liên tiếp cho đến khi tàu đạt được mức thặng dư tuân thủ để thiết lập lại hệ số tăng.</w:t>
      </w:r>
    </w:p>
    <w:p w:rsidR="001D39C7" w:rsidRPr="001D39C7" w:rsidRDefault="001D39C7" w:rsidP="001D39C7">
      <w:pPr>
        <w:shd w:val="clear" w:color="auto" w:fill="FFFFFF"/>
        <w:spacing w:before="120" w:after="120" w:line="390" w:lineRule="atLeast"/>
        <w:jc w:val="both"/>
        <w:textAlignment w:val="baseline"/>
        <w:rPr>
          <w:rFonts w:ascii="Times New Roman" w:eastAsia="Times New Roman" w:hAnsi="Times New Roman" w:cs="Times New Roman"/>
          <w:sz w:val="24"/>
          <w:szCs w:val="24"/>
        </w:rPr>
      </w:pPr>
    </w:p>
    <w:p w:rsidR="000A7BB3" w:rsidRPr="000A7BB3" w:rsidRDefault="000A7BB3" w:rsidP="000A7BB3">
      <w:pPr>
        <w:shd w:val="clear" w:color="auto" w:fill="FFFFFF"/>
        <w:spacing w:after="0" w:line="390" w:lineRule="atLeast"/>
        <w:textAlignment w:val="baseline"/>
        <w:rPr>
          <w:rFonts w:ascii="inherit" w:eastAsia="Times New Roman" w:hAnsi="inherit" w:cs="Helvetica"/>
          <w:color w:val="333333"/>
          <w:sz w:val="24"/>
          <w:szCs w:val="24"/>
        </w:rPr>
      </w:pPr>
      <w:r w:rsidRPr="000A7BB3">
        <w:rPr>
          <w:rFonts w:ascii="inherit" w:eastAsia="Times New Roman" w:hAnsi="inherit" w:cs="Helvetica"/>
          <w:noProof/>
          <w:color w:val="A0A0A0"/>
          <w:sz w:val="24"/>
          <w:szCs w:val="24"/>
          <w:bdr w:val="none" w:sz="0" w:space="0" w:color="auto" w:frame="1"/>
        </w:rPr>
        <w:lastRenderedPageBreak/>
        <w:drawing>
          <wp:inline distT="0" distB="0" distL="0" distR="0">
            <wp:extent cx="5924325" cy="2842260"/>
            <wp:effectExtent l="0" t="0" r="635" b="0"/>
            <wp:docPr id="5" name="Picture 5" descr="Be prepared for the next wave: FuelEU Maritime explain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 prepared for the next wave: FuelEU Maritime explain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0692" cy="2864505"/>
                    </a:xfrm>
                    <a:prstGeom prst="rect">
                      <a:avLst/>
                    </a:prstGeom>
                    <a:noFill/>
                    <a:ln>
                      <a:noFill/>
                    </a:ln>
                  </pic:spPr>
                </pic:pic>
              </a:graphicData>
            </a:graphic>
          </wp:inline>
        </w:drawing>
      </w:r>
    </w:p>
    <w:p w:rsidR="001D39C7" w:rsidRPr="001E3FFD" w:rsidRDefault="001D39C7" w:rsidP="001D39C7">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1E3FFD">
        <w:rPr>
          <w:rFonts w:ascii="Times New Roman" w:eastAsia="Times New Roman" w:hAnsi="Times New Roman" w:cs="Times New Roman"/>
          <w:b/>
          <w:sz w:val="24"/>
          <w:szCs w:val="24"/>
        </w:rPr>
        <w:t>Nhiên liệu tái tạo sẽ được khuyến khích?</w:t>
      </w:r>
    </w:p>
    <w:p w:rsidR="001D39C7" w:rsidRPr="001D39C7" w:rsidRDefault="001D39C7" w:rsidP="001D39C7">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D39C7">
        <w:rPr>
          <w:rFonts w:ascii="Times New Roman" w:eastAsia="Times New Roman" w:hAnsi="Times New Roman" w:cs="Times New Roman"/>
          <w:sz w:val="24"/>
          <w:szCs w:val="24"/>
        </w:rPr>
        <w:t>Chi phí sản xuất RFNBO hiện cao hơn nhiều so với giá thị trường của</w:t>
      </w:r>
      <w:r w:rsidR="001E3FFD">
        <w:rPr>
          <w:rFonts w:ascii="Times New Roman" w:eastAsia="Times New Roman" w:hAnsi="Times New Roman" w:cs="Times New Roman"/>
          <w:sz w:val="24"/>
          <w:szCs w:val="24"/>
        </w:rPr>
        <w:t xml:space="preserve"> các</w:t>
      </w:r>
      <w:r w:rsidRPr="001D39C7">
        <w:rPr>
          <w:rFonts w:ascii="Times New Roman" w:eastAsia="Times New Roman" w:hAnsi="Times New Roman" w:cs="Times New Roman"/>
          <w:sz w:val="24"/>
          <w:szCs w:val="24"/>
        </w:rPr>
        <w:t xml:space="preserve"> nhiên liệu thông thường. Do đó, </w:t>
      </w:r>
      <w:r w:rsidR="001E3FFD">
        <w:rPr>
          <w:rFonts w:ascii="Times New Roman" w:eastAsia="Times New Roman" w:hAnsi="Times New Roman" w:cs="Times New Roman"/>
          <w:sz w:val="24"/>
          <w:szCs w:val="24"/>
        </w:rPr>
        <w:t xml:space="preserve">có </w:t>
      </w:r>
      <w:r w:rsidRPr="001D39C7">
        <w:rPr>
          <w:rFonts w:ascii="Times New Roman" w:eastAsia="Times New Roman" w:hAnsi="Times New Roman" w:cs="Times New Roman"/>
          <w:sz w:val="24"/>
          <w:szCs w:val="24"/>
        </w:rPr>
        <w:t>hai biện pháp được đưa ra để đảm bảo hỗ trợ cho việc sử dụng</w:t>
      </w:r>
      <w:r w:rsidR="001E3FFD">
        <w:rPr>
          <w:rFonts w:ascii="Times New Roman" w:eastAsia="Times New Roman" w:hAnsi="Times New Roman" w:cs="Times New Roman"/>
          <w:sz w:val="24"/>
          <w:szCs w:val="24"/>
        </w:rPr>
        <w:t xml:space="preserve"> các</w:t>
      </w:r>
      <w:r w:rsidRPr="001D39C7">
        <w:rPr>
          <w:rFonts w:ascii="Times New Roman" w:eastAsia="Times New Roman" w:hAnsi="Times New Roman" w:cs="Times New Roman"/>
          <w:sz w:val="24"/>
          <w:szCs w:val="24"/>
        </w:rPr>
        <w:t xml:space="preserve"> RFNBO bền vững.</w:t>
      </w:r>
    </w:p>
    <w:p w:rsidR="001D39C7" w:rsidRPr="001E3FFD" w:rsidRDefault="001E3FFD" w:rsidP="001E3FFD">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Dùng m</w:t>
      </w:r>
      <w:r w:rsidR="001D39C7" w:rsidRPr="001E3FFD">
        <w:rPr>
          <w:rFonts w:ascii="Times New Roman" w:eastAsia="Times New Roman" w:hAnsi="Times New Roman" w:cs="Times New Roman"/>
          <w:sz w:val="24"/>
          <w:szCs w:val="24"/>
        </w:rPr>
        <w:t>ột ‘</w:t>
      </w:r>
      <w:r>
        <w:rPr>
          <w:rFonts w:ascii="Times New Roman" w:eastAsia="Times New Roman" w:hAnsi="Times New Roman" w:cs="Times New Roman"/>
          <w:sz w:val="24"/>
          <w:szCs w:val="24"/>
        </w:rPr>
        <w:t xml:space="preserve">hệ </w:t>
      </w:r>
      <w:r w:rsidR="001D39C7" w:rsidRPr="001E3FFD">
        <w:rPr>
          <w:rFonts w:ascii="Times New Roman" w:eastAsia="Times New Roman" w:hAnsi="Times New Roman" w:cs="Times New Roman"/>
          <w:sz w:val="24"/>
          <w:szCs w:val="24"/>
        </w:rPr>
        <w:t xml:space="preserve">số nhân’ </w:t>
      </w:r>
      <w:r>
        <w:rPr>
          <w:rFonts w:ascii="Times New Roman" w:eastAsia="Times New Roman" w:hAnsi="Times New Roman" w:cs="Times New Roman"/>
          <w:sz w:val="24"/>
          <w:szCs w:val="24"/>
        </w:rPr>
        <w:t>tới</w:t>
      </w:r>
      <w:r w:rsidR="001D39C7" w:rsidRPr="001E3FFD">
        <w:rPr>
          <w:rFonts w:ascii="Times New Roman" w:eastAsia="Times New Roman" w:hAnsi="Times New Roman" w:cs="Times New Roman"/>
          <w:sz w:val="24"/>
          <w:szCs w:val="24"/>
        </w:rPr>
        <w:t xml:space="preserve"> hết năm 2033, cho phép năng lượng từ RFNBO được tính gấp đôi</w:t>
      </w:r>
    </w:p>
    <w:p w:rsidR="001D39C7" w:rsidRPr="001E3FFD" w:rsidRDefault="001D39C7" w:rsidP="001E3FFD">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E3FFD">
        <w:rPr>
          <w:rFonts w:ascii="Times New Roman" w:eastAsia="Times New Roman" w:hAnsi="Times New Roman" w:cs="Times New Roman"/>
          <w:sz w:val="24"/>
          <w:szCs w:val="24"/>
        </w:rPr>
        <w:t xml:space="preserve">Mục tiêu phụ về mức sử dụng </w:t>
      </w:r>
      <w:r w:rsidR="001E3FFD">
        <w:rPr>
          <w:rFonts w:ascii="Times New Roman" w:eastAsia="Times New Roman" w:hAnsi="Times New Roman" w:cs="Times New Roman"/>
          <w:sz w:val="24"/>
          <w:szCs w:val="24"/>
        </w:rPr>
        <w:t xml:space="preserve">là </w:t>
      </w:r>
      <w:r w:rsidRPr="001E3FFD">
        <w:rPr>
          <w:rFonts w:ascii="Times New Roman" w:eastAsia="Times New Roman" w:hAnsi="Times New Roman" w:cs="Times New Roman"/>
          <w:sz w:val="24"/>
          <w:szCs w:val="24"/>
        </w:rPr>
        <w:t>tối thiểu 2% RFNBO trong tổng mức sử dụng năng lượng hàng năm của tàu</w:t>
      </w:r>
      <w:r w:rsidR="001E3FFD">
        <w:rPr>
          <w:rFonts w:ascii="Times New Roman" w:eastAsia="Times New Roman" w:hAnsi="Times New Roman" w:cs="Times New Roman"/>
          <w:sz w:val="24"/>
          <w:szCs w:val="24"/>
        </w:rPr>
        <w:t>,</w:t>
      </w:r>
      <w:r w:rsidRPr="001E3FFD">
        <w:rPr>
          <w:rFonts w:ascii="Times New Roman" w:eastAsia="Times New Roman" w:hAnsi="Times New Roman" w:cs="Times New Roman"/>
          <w:sz w:val="24"/>
          <w:szCs w:val="24"/>
        </w:rPr>
        <w:t xml:space="preserve"> sẽ được áp dụng kể từ năm 2034 nếu tỷ lệ RFNBO được</w:t>
      </w:r>
      <w:r w:rsidR="001E3FFD">
        <w:rPr>
          <w:rFonts w:ascii="Times New Roman" w:eastAsia="Times New Roman" w:hAnsi="Times New Roman" w:cs="Times New Roman"/>
          <w:sz w:val="24"/>
          <w:szCs w:val="24"/>
        </w:rPr>
        <w:t xml:space="preserve"> tàu</w:t>
      </w:r>
      <w:r w:rsidRPr="001E3FFD">
        <w:rPr>
          <w:rFonts w:ascii="Times New Roman" w:eastAsia="Times New Roman" w:hAnsi="Times New Roman" w:cs="Times New Roman"/>
          <w:sz w:val="24"/>
          <w:szCs w:val="24"/>
        </w:rPr>
        <w:t xml:space="preserve"> báo cáo sử dụng ít hơn 1% vào năm 2031.</w:t>
      </w:r>
      <w:r w:rsidR="001E3FFD">
        <w:rPr>
          <w:rFonts w:ascii="Times New Roman" w:eastAsia="Times New Roman" w:hAnsi="Times New Roman" w:cs="Times New Roman"/>
          <w:sz w:val="24"/>
          <w:szCs w:val="24"/>
        </w:rPr>
        <w:t xml:space="preserve"> </w:t>
      </w:r>
    </w:p>
    <w:p w:rsidR="001D39C7" w:rsidRDefault="001E3FFD" w:rsidP="001D39C7">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Việc</w:t>
      </w:r>
      <w:r w:rsidR="001D39C7" w:rsidRPr="001D39C7">
        <w:rPr>
          <w:rFonts w:ascii="Times New Roman" w:eastAsia="Times New Roman" w:hAnsi="Times New Roman" w:cs="Times New Roman"/>
          <w:sz w:val="24"/>
          <w:szCs w:val="24"/>
        </w:rPr>
        <w:t xml:space="preserve"> kết hợp các biện pháp hỗ trợ RFNBO này nhằm </w:t>
      </w:r>
      <w:r>
        <w:rPr>
          <w:rFonts w:ascii="Times New Roman" w:eastAsia="Times New Roman" w:hAnsi="Times New Roman" w:cs="Times New Roman"/>
          <w:sz w:val="24"/>
          <w:szCs w:val="24"/>
        </w:rPr>
        <w:t>tạo</w:t>
      </w:r>
      <w:r w:rsidR="001D39C7" w:rsidRPr="001D39C7">
        <w:rPr>
          <w:rFonts w:ascii="Times New Roman" w:eastAsia="Times New Roman" w:hAnsi="Times New Roman" w:cs="Times New Roman"/>
          <w:sz w:val="24"/>
          <w:szCs w:val="24"/>
        </w:rPr>
        <w:t xml:space="preserve"> cho các nhà khai thác tàu và nhà cung cấp nhiên liệu </w:t>
      </w:r>
      <w:r>
        <w:rPr>
          <w:rFonts w:ascii="Times New Roman" w:eastAsia="Times New Roman" w:hAnsi="Times New Roman" w:cs="Times New Roman"/>
          <w:sz w:val="24"/>
          <w:szCs w:val="24"/>
        </w:rPr>
        <w:t xml:space="preserve">một </w:t>
      </w:r>
      <w:r w:rsidR="001D39C7" w:rsidRPr="001D39C7">
        <w:rPr>
          <w:rFonts w:ascii="Times New Roman" w:eastAsia="Times New Roman" w:hAnsi="Times New Roman" w:cs="Times New Roman"/>
          <w:sz w:val="24"/>
          <w:szCs w:val="24"/>
        </w:rPr>
        <w:t xml:space="preserve">tín hiệu thị trường </w:t>
      </w:r>
      <w:r>
        <w:rPr>
          <w:rFonts w:ascii="Times New Roman" w:eastAsia="Times New Roman" w:hAnsi="Times New Roman" w:cs="Times New Roman"/>
          <w:sz w:val="24"/>
          <w:szCs w:val="24"/>
        </w:rPr>
        <w:t>để</w:t>
      </w:r>
      <w:r w:rsidR="001D39C7" w:rsidRPr="001D39C7">
        <w:rPr>
          <w:rFonts w:ascii="Times New Roman" w:eastAsia="Times New Roman" w:hAnsi="Times New Roman" w:cs="Times New Roman"/>
          <w:sz w:val="24"/>
          <w:szCs w:val="24"/>
        </w:rPr>
        <w:t xml:space="preserve"> đầu tư vào loại nhiên liệu tái tạo có thể mở rộng và bền vững này. Tuy nhiên, theo Điều 10.</w:t>
      </w:r>
      <w:r>
        <w:rPr>
          <w:rFonts w:ascii="Times New Roman" w:eastAsia="Times New Roman" w:hAnsi="Times New Roman" w:cs="Times New Roman"/>
          <w:sz w:val="24"/>
          <w:szCs w:val="24"/>
        </w:rPr>
        <w:t>1(b) thì</w:t>
      </w:r>
      <w:r w:rsidR="001D39C7" w:rsidRPr="001D39C7">
        <w:rPr>
          <w:rFonts w:ascii="Times New Roman" w:eastAsia="Times New Roman" w:hAnsi="Times New Roman" w:cs="Times New Roman"/>
          <w:sz w:val="24"/>
          <w:szCs w:val="24"/>
        </w:rPr>
        <w:t xml:space="preserve"> RFNBO (và nhiên liệu carbon thấp/tái chế) phải đáp ứng ngưỡng tiết kiệm phát thải khí nhà kính được quy định trong Chỉ thị RED II (tiết kiệm ít nhất 70% tương ứng với cường độ khí nhà kính tối đa 28,2 g CO₂e/MJ WtW dựa trên bộ so sánh nhiên liệu hóa thạch 94 g CO₂e/MJ), nếu không </w:t>
      </w:r>
      <w:r>
        <w:rPr>
          <w:rFonts w:ascii="Times New Roman" w:eastAsia="Times New Roman" w:hAnsi="Times New Roman" w:cs="Times New Roman"/>
          <w:sz w:val="24"/>
          <w:szCs w:val="24"/>
        </w:rPr>
        <w:t>thì chúng sẽ</w:t>
      </w:r>
      <w:r w:rsidR="001D39C7" w:rsidRPr="001D3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bị</w:t>
      </w:r>
      <w:r w:rsidR="001D39C7" w:rsidRPr="001D39C7">
        <w:rPr>
          <w:rFonts w:ascii="Times New Roman" w:eastAsia="Times New Roman" w:hAnsi="Times New Roman" w:cs="Times New Roman"/>
          <w:sz w:val="24"/>
          <w:szCs w:val="24"/>
        </w:rPr>
        <w:t xml:space="preserve"> coi là nhiên liệu hóa thạch.</w:t>
      </w:r>
    </w:p>
    <w:p w:rsidR="001E3FFD" w:rsidRPr="00062319" w:rsidRDefault="001E3FFD" w:rsidP="001E3FFD">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62319">
        <w:rPr>
          <w:rFonts w:ascii="Times New Roman" w:eastAsia="Times New Roman" w:hAnsi="Times New Roman" w:cs="Times New Roman"/>
          <w:b/>
          <w:sz w:val="24"/>
          <w:szCs w:val="24"/>
        </w:rPr>
        <w:t>Sử dụng nhiên liệu sinh học và khí sinh học có lợi ích gì?</w:t>
      </w:r>
    </w:p>
    <w:p w:rsidR="00062319" w:rsidRDefault="001E3FFD" w:rsidP="001E3FFD">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E3FFD">
        <w:rPr>
          <w:rFonts w:ascii="Times New Roman" w:eastAsia="Times New Roman" w:hAnsi="Times New Roman" w:cs="Times New Roman"/>
          <w:sz w:val="24"/>
          <w:szCs w:val="24"/>
        </w:rPr>
        <w:t xml:space="preserve">Nhiên liệu sinh học và khí sinh học có thể được </w:t>
      </w:r>
      <w:r w:rsidR="00062319">
        <w:rPr>
          <w:rFonts w:ascii="Times New Roman" w:eastAsia="Times New Roman" w:hAnsi="Times New Roman" w:cs="Times New Roman"/>
          <w:sz w:val="24"/>
          <w:szCs w:val="24"/>
        </w:rPr>
        <w:t>dùng</w:t>
      </w:r>
      <w:r w:rsidRPr="001E3FFD">
        <w:rPr>
          <w:rFonts w:ascii="Times New Roman" w:eastAsia="Times New Roman" w:hAnsi="Times New Roman" w:cs="Times New Roman"/>
          <w:sz w:val="24"/>
          <w:szCs w:val="24"/>
        </w:rPr>
        <w:t xml:space="preserve"> như một lựa chọn tuân thủ nhằm mục đích giảm cường độ GHG trung bình</w:t>
      </w:r>
      <w:r w:rsidR="00062319">
        <w:rPr>
          <w:rFonts w:ascii="Times New Roman" w:eastAsia="Times New Roman" w:hAnsi="Times New Roman" w:cs="Times New Roman"/>
          <w:sz w:val="24"/>
          <w:szCs w:val="24"/>
        </w:rPr>
        <w:t xml:space="preserve"> từ giếng khoan đến tàu</w:t>
      </w:r>
      <w:r w:rsidRPr="001E3FFD">
        <w:rPr>
          <w:rFonts w:ascii="Times New Roman" w:eastAsia="Times New Roman" w:hAnsi="Times New Roman" w:cs="Times New Roman"/>
          <w:sz w:val="24"/>
          <w:szCs w:val="24"/>
        </w:rPr>
        <w:t xml:space="preserve"> </w:t>
      </w:r>
      <w:r w:rsidR="00062319">
        <w:rPr>
          <w:rFonts w:ascii="Times New Roman" w:eastAsia="Times New Roman" w:hAnsi="Times New Roman" w:cs="Times New Roman"/>
          <w:sz w:val="24"/>
          <w:szCs w:val="24"/>
        </w:rPr>
        <w:t>(</w:t>
      </w:r>
      <w:r w:rsidRPr="001E3FFD">
        <w:rPr>
          <w:rFonts w:ascii="Times New Roman" w:eastAsia="Times New Roman" w:hAnsi="Times New Roman" w:cs="Times New Roman"/>
          <w:sz w:val="24"/>
          <w:szCs w:val="24"/>
        </w:rPr>
        <w:t>WTW</w:t>
      </w:r>
      <w:r w:rsidR="00062319">
        <w:rPr>
          <w:rFonts w:ascii="Times New Roman" w:eastAsia="Times New Roman" w:hAnsi="Times New Roman" w:cs="Times New Roman"/>
          <w:sz w:val="24"/>
          <w:szCs w:val="24"/>
        </w:rPr>
        <w:t>)</w:t>
      </w:r>
      <w:r w:rsidRPr="001E3FFD">
        <w:rPr>
          <w:rFonts w:ascii="Times New Roman" w:eastAsia="Times New Roman" w:hAnsi="Times New Roman" w:cs="Times New Roman"/>
          <w:sz w:val="24"/>
          <w:szCs w:val="24"/>
        </w:rPr>
        <w:t xml:space="preserve"> của năng lượng sử dụng trên tàu </w:t>
      </w:r>
      <w:r w:rsidR="00062319">
        <w:rPr>
          <w:rFonts w:ascii="Times New Roman" w:eastAsia="Times New Roman" w:hAnsi="Times New Roman" w:cs="Times New Roman"/>
          <w:sz w:val="24"/>
          <w:szCs w:val="24"/>
        </w:rPr>
        <w:t>để</w:t>
      </w:r>
      <w:r w:rsidRPr="001E3FFD">
        <w:rPr>
          <w:rFonts w:ascii="Times New Roman" w:eastAsia="Times New Roman" w:hAnsi="Times New Roman" w:cs="Times New Roman"/>
          <w:sz w:val="24"/>
          <w:szCs w:val="24"/>
        </w:rPr>
        <w:t xml:space="preserve"> đáp ứng các giới hạn </w:t>
      </w:r>
      <w:r w:rsidR="00062319">
        <w:rPr>
          <w:rFonts w:ascii="Times New Roman" w:eastAsia="Times New Roman" w:hAnsi="Times New Roman" w:cs="Times New Roman"/>
          <w:sz w:val="24"/>
          <w:szCs w:val="24"/>
        </w:rPr>
        <w:t xml:space="preserve">về </w:t>
      </w:r>
      <w:r w:rsidRPr="001E3FFD">
        <w:rPr>
          <w:rFonts w:ascii="Times New Roman" w:eastAsia="Times New Roman" w:hAnsi="Times New Roman" w:cs="Times New Roman"/>
          <w:sz w:val="24"/>
          <w:szCs w:val="24"/>
        </w:rPr>
        <w:t xml:space="preserve">cường độ GHG ở cấp độ </w:t>
      </w:r>
      <w:r w:rsidR="00062319">
        <w:rPr>
          <w:rFonts w:ascii="Times New Roman" w:eastAsia="Times New Roman" w:hAnsi="Times New Roman" w:cs="Times New Roman"/>
          <w:sz w:val="24"/>
          <w:szCs w:val="24"/>
        </w:rPr>
        <w:t xml:space="preserve">một </w:t>
      </w:r>
      <w:r w:rsidRPr="001E3FFD">
        <w:rPr>
          <w:rFonts w:ascii="Times New Roman" w:eastAsia="Times New Roman" w:hAnsi="Times New Roman" w:cs="Times New Roman"/>
          <w:sz w:val="24"/>
          <w:szCs w:val="24"/>
        </w:rPr>
        <w:t xml:space="preserve">tàu hoặc </w:t>
      </w:r>
      <w:r w:rsidR="00062319">
        <w:rPr>
          <w:rFonts w:ascii="Times New Roman" w:eastAsia="Times New Roman" w:hAnsi="Times New Roman" w:cs="Times New Roman"/>
          <w:sz w:val="24"/>
          <w:szCs w:val="24"/>
        </w:rPr>
        <w:t>đội tàu</w:t>
      </w:r>
      <w:r w:rsidRPr="001E3FFD">
        <w:rPr>
          <w:rFonts w:ascii="Times New Roman" w:eastAsia="Times New Roman" w:hAnsi="Times New Roman" w:cs="Times New Roman"/>
          <w:sz w:val="24"/>
          <w:szCs w:val="24"/>
        </w:rPr>
        <w:t>. Tuy nhiên, theo Điều 10.1(a)</w:t>
      </w:r>
      <w:r w:rsidR="00062319">
        <w:rPr>
          <w:rFonts w:ascii="Times New Roman" w:eastAsia="Times New Roman" w:hAnsi="Times New Roman" w:cs="Times New Roman"/>
          <w:sz w:val="24"/>
          <w:szCs w:val="24"/>
        </w:rPr>
        <w:t xml:space="preserve"> thì</w:t>
      </w:r>
      <w:r w:rsidRPr="001E3FFD">
        <w:rPr>
          <w:rFonts w:ascii="Times New Roman" w:eastAsia="Times New Roman" w:hAnsi="Times New Roman" w:cs="Times New Roman"/>
          <w:sz w:val="24"/>
          <w:szCs w:val="24"/>
        </w:rPr>
        <w:t xml:space="preserve"> nhiên liệu sinh học và khí sinh học phải tuân thủ các tiêu chí </w:t>
      </w:r>
      <w:r w:rsidR="00062319">
        <w:rPr>
          <w:rFonts w:ascii="Times New Roman" w:eastAsia="Times New Roman" w:hAnsi="Times New Roman" w:cs="Times New Roman"/>
          <w:sz w:val="24"/>
          <w:szCs w:val="24"/>
        </w:rPr>
        <w:t xml:space="preserve">về </w:t>
      </w:r>
      <w:r w:rsidRPr="001E3FFD">
        <w:rPr>
          <w:rFonts w:ascii="Times New Roman" w:eastAsia="Times New Roman" w:hAnsi="Times New Roman" w:cs="Times New Roman"/>
          <w:sz w:val="24"/>
          <w:szCs w:val="24"/>
        </w:rPr>
        <w:t xml:space="preserve">bền vững và tiết kiệm phát thải khí nhà kính </w:t>
      </w:r>
      <w:r w:rsidR="00062319">
        <w:rPr>
          <w:rFonts w:ascii="Times New Roman" w:eastAsia="Times New Roman" w:hAnsi="Times New Roman" w:cs="Times New Roman"/>
          <w:sz w:val="24"/>
          <w:szCs w:val="24"/>
        </w:rPr>
        <w:t>được quy định</w:t>
      </w:r>
      <w:r w:rsidRPr="001E3FFD">
        <w:rPr>
          <w:rFonts w:ascii="Times New Roman" w:eastAsia="Times New Roman" w:hAnsi="Times New Roman" w:cs="Times New Roman"/>
          <w:sz w:val="24"/>
          <w:szCs w:val="24"/>
        </w:rPr>
        <w:t xml:space="preserve"> trong Chỉ thị RED II và không được sản xuất từ ​​​​cây lương thực và thức ăn chăn nuôi, nếu không </w:t>
      </w:r>
      <w:r w:rsidR="00062319">
        <w:rPr>
          <w:rFonts w:ascii="Times New Roman" w:eastAsia="Times New Roman" w:hAnsi="Times New Roman" w:cs="Times New Roman"/>
          <w:sz w:val="24"/>
          <w:szCs w:val="24"/>
        </w:rPr>
        <w:t xml:space="preserve">thì nó </w:t>
      </w:r>
      <w:r w:rsidRPr="001E3FFD">
        <w:rPr>
          <w:rFonts w:ascii="Times New Roman" w:eastAsia="Times New Roman" w:hAnsi="Times New Roman" w:cs="Times New Roman"/>
          <w:sz w:val="24"/>
          <w:szCs w:val="24"/>
        </w:rPr>
        <w:t>sẽ bị coi là nhiên liệu hóa thạch.</w:t>
      </w:r>
      <w:r w:rsidR="00062319">
        <w:rPr>
          <w:rFonts w:ascii="Times New Roman" w:eastAsia="Times New Roman" w:hAnsi="Times New Roman" w:cs="Times New Roman"/>
          <w:sz w:val="24"/>
          <w:szCs w:val="24"/>
        </w:rPr>
        <w:t xml:space="preserve"> </w:t>
      </w:r>
    </w:p>
    <w:p w:rsidR="001E3FFD" w:rsidRPr="00062319" w:rsidRDefault="001E3FFD" w:rsidP="001E3FFD">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62319">
        <w:rPr>
          <w:rFonts w:ascii="Times New Roman" w:eastAsia="Times New Roman" w:hAnsi="Times New Roman" w:cs="Times New Roman"/>
          <w:b/>
          <w:sz w:val="24"/>
          <w:szCs w:val="24"/>
        </w:rPr>
        <w:lastRenderedPageBreak/>
        <w:t>Thế còn 'Nhiên liệu xanh' thì sao?</w:t>
      </w:r>
    </w:p>
    <w:p w:rsidR="00062319" w:rsidRPr="00062319" w:rsidRDefault="001E3FFD" w:rsidP="00062319">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E3FFD">
        <w:rPr>
          <w:rFonts w:ascii="Times New Roman" w:eastAsia="Times New Roman" w:hAnsi="Times New Roman" w:cs="Times New Roman"/>
          <w:sz w:val="24"/>
          <w:szCs w:val="24"/>
        </w:rPr>
        <w:t xml:space="preserve">FuelEU Maritime cũng sẽ tính đến sự đóng góp có thể có từ nhiên liệu tổng hợp carbon thấp có nguồn gốc từ hydro carbon thấp, bao gồm hoặc không </w:t>
      </w:r>
      <w:r w:rsidR="00062319">
        <w:rPr>
          <w:rFonts w:ascii="Times New Roman" w:eastAsia="Times New Roman" w:hAnsi="Times New Roman" w:cs="Times New Roman"/>
          <w:sz w:val="24"/>
          <w:szCs w:val="24"/>
        </w:rPr>
        <w:t xml:space="preserve">bao gồm </w:t>
      </w:r>
      <w:r w:rsidR="00062319" w:rsidRPr="00062319">
        <w:rPr>
          <w:rFonts w:ascii="Times New Roman" w:hAnsi="Times New Roman" w:cs="Times New Roman"/>
          <w:sz w:val="24"/>
          <w:szCs w:val="24"/>
        </w:rPr>
        <w:t>công nghệ thu giữ và lưu trữ carbon</w:t>
      </w:r>
      <w:r w:rsidR="00062319">
        <w:t xml:space="preserve"> </w:t>
      </w:r>
      <w:r w:rsidRPr="001E3FFD">
        <w:rPr>
          <w:rFonts w:ascii="Times New Roman" w:eastAsia="Times New Roman" w:hAnsi="Times New Roman" w:cs="Times New Roman"/>
          <w:sz w:val="24"/>
          <w:szCs w:val="24"/>
        </w:rPr>
        <w:t xml:space="preserve">CCS. </w:t>
      </w:r>
      <w:r w:rsidR="00062319" w:rsidRPr="00062319">
        <w:rPr>
          <w:rFonts w:ascii="Times New Roman" w:hAnsi="Times New Roman" w:cs="Times New Roman"/>
          <w:sz w:val="24"/>
          <w:szCs w:val="24"/>
        </w:rPr>
        <w:t>Theo Điều 10(2)</w:t>
      </w:r>
      <w:r w:rsidR="00062319">
        <w:rPr>
          <w:rFonts w:ascii="Times New Roman" w:hAnsi="Times New Roman" w:cs="Times New Roman"/>
          <w:sz w:val="24"/>
          <w:szCs w:val="24"/>
        </w:rPr>
        <w:t xml:space="preserve"> thì</w:t>
      </w:r>
      <w:r w:rsidR="00062319" w:rsidRPr="00062319">
        <w:rPr>
          <w:rFonts w:ascii="Times New Roman" w:hAnsi="Times New Roman" w:cs="Times New Roman"/>
          <w:sz w:val="24"/>
          <w:szCs w:val="24"/>
        </w:rPr>
        <w:t xml:space="preserve"> ngoài nhiên liệu sinh học, khí sinh học, RFNBO hoặc nhiên liệu tái tạo/carbon thấp, </w:t>
      </w:r>
      <w:r w:rsidR="00062319">
        <w:rPr>
          <w:rFonts w:ascii="Times New Roman" w:hAnsi="Times New Roman" w:cs="Times New Roman"/>
          <w:sz w:val="24"/>
          <w:szCs w:val="24"/>
        </w:rPr>
        <w:t xml:space="preserve">còn có </w:t>
      </w:r>
      <w:r w:rsidR="00062319" w:rsidRPr="00062319">
        <w:rPr>
          <w:rFonts w:ascii="Times New Roman" w:hAnsi="Times New Roman" w:cs="Times New Roman"/>
          <w:sz w:val="24"/>
          <w:szCs w:val="24"/>
        </w:rPr>
        <w:t xml:space="preserve">các nhiên liệu được chứng nhận theo các văn bản pháp lý của Liên minh Châu Âu liên quan đến thị trường nội bộ về khí tái tạo và tự nhiên và hydro, </w:t>
      </w:r>
      <w:r w:rsidR="00062319">
        <w:rPr>
          <w:rFonts w:ascii="Times New Roman" w:hAnsi="Times New Roman" w:cs="Times New Roman"/>
          <w:sz w:val="24"/>
          <w:szCs w:val="24"/>
        </w:rPr>
        <w:t xml:space="preserve">việc </w:t>
      </w:r>
      <w:r w:rsidR="00062319" w:rsidRPr="00062319">
        <w:rPr>
          <w:rFonts w:ascii="Times New Roman" w:hAnsi="Times New Roman" w:cs="Times New Roman"/>
          <w:sz w:val="24"/>
          <w:szCs w:val="24"/>
        </w:rPr>
        <w:t>thiết lập ngưỡng tiết kiệm khí thải GHG và phương pháp tính toán khí thải GHG từ sản xuất các nhiên liệ</w:t>
      </w:r>
      <w:r w:rsidR="00062319">
        <w:rPr>
          <w:rFonts w:ascii="Times New Roman" w:hAnsi="Times New Roman" w:cs="Times New Roman"/>
          <w:sz w:val="24"/>
          <w:szCs w:val="24"/>
        </w:rPr>
        <w:t>u này</w:t>
      </w:r>
      <w:r w:rsidR="00062319" w:rsidRPr="00062319">
        <w:rPr>
          <w:rFonts w:ascii="Times New Roman" w:hAnsi="Times New Roman" w:cs="Times New Roman"/>
          <w:sz w:val="24"/>
          <w:szCs w:val="24"/>
        </w:rPr>
        <w:t xml:space="preserve"> sẽ đủ điều kiện để đóng góp vào việc giảm cường độ GHG của năng lượng </w:t>
      </w:r>
      <w:r w:rsidR="00062319">
        <w:rPr>
          <w:rFonts w:ascii="Times New Roman" w:hAnsi="Times New Roman" w:cs="Times New Roman"/>
          <w:sz w:val="24"/>
          <w:szCs w:val="24"/>
        </w:rPr>
        <w:t>được dùng</w:t>
      </w:r>
      <w:r w:rsidR="00062319" w:rsidRPr="00062319">
        <w:rPr>
          <w:rFonts w:ascii="Times New Roman" w:hAnsi="Times New Roman" w:cs="Times New Roman"/>
          <w:sz w:val="24"/>
          <w:szCs w:val="24"/>
        </w:rPr>
        <w:t xml:space="preserve"> trên tàu. Bên cạnh nhiên liệu xanh, nhiên liệu tổng hợp carbon thấp sản xuất từ điện hạt nhân cũng sẽ được </w:t>
      </w:r>
      <w:r w:rsidR="00062319">
        <w:rPr>
          <w:rFonts w:ascii="Times New Roman" w:hAnsi="Times New Roman" w:cs="Times New Roman"/>
          <w:sz w:val="24"/>
          <w:szCs w:val="24"/>
        </w:rPr>
        <w:t>tính đến.</w:t>
      </w:r>
    </w:p>
    <w:p w:rsidR="001E3FFD" w:rsidRPr="00062319" w:rsidRDefault="001E3FFD" w:rsidP="001E3FFD">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62319">
        <w:rPr>
          <w:rFonts w:ascii="Times New Roman" w:eastAsia="Times New Roman" w:hAnsi="Times New Roman" w:cs="Times New Roman"/>
          <w:b/>
          <w:sz w:val="24"/>
          <w:szCs w:val="24"/>
        </w:rPr>
        <w:t>Còn năng lượng gió thì sao?</w:t>
      </w:r>
    </w:p>
    <w:p w:rsidR="001E3FFD" w:rsidRPr="001D39C7" w:rsidRDefault="001E3FFD" w:rsidP="001E3FFD">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E3FFD">
        <w:rPr>
          <w:rFonts w:ascii="Times New Roman" w:eastAsia="Times New Roman" w:hAnsi="Times New Roman" w:cs="Times New Roman"/>
          <w:sz w:val="24"/>
          <w:szCs w:val="24"/>
        </w:rPr>
        <w:t xml:space="preserve">FuelEU nhằm mục đích thúc đẩy sự đổi mới và hỗ trợ nghiên cứu cho những </w:t>
      </w:r>
      <w:r w:rsidR="00092782">
        <w:rPr>
          <w:rFonts w:ascii="Times New Roman" w:eastAsia="Times New Roman" w:hAnsi="Times New Roman" w:cs="Times New Roman"/>
          <w:sz w:val="24"/>
          <w:szCs w:val="24"/>
        </w:rPr>
        <w:t>sang tạo</w:t>
      </w:r>
      <w:r w:rsidRPr="001E3FFD">
        <w:rPr>
          <w:rFonts w:ascii="Times New Roman" w:eastAsia="Times New Roman" w:hAnsi="Times New Roman" w:cs="Times New Roman"/>
          <w:sz w:val="24"/>
          <w:szCs w:val="24"/>
        </w:rPr>
        <w:t xml:space="preserve"> mới nổi và trong tương lai, chẳng hạn như động cơ đẩy được hỗ trợ </w:t>
      </w:r>
      <w:r w:rsidR="00092782">
        <w:rPr>
          <w:rFonts w:ascii="Times New Roman" w:eastAsia="Times New Roman" w:hAnsi="Times New Roman" w:cs="Times New Roman"/>
          <w:sz w:val="24"/>
          <w:szCs w:val="24"/>
        </w:rPr>
        <w:t>bằng</w:t>
      </w:r>
      <w:r w:rsidRPr="001E3FFD">
        <w:rPr>
          <w:rFonts w:ascii="Times New Roman" w:eastAsia="Times New Roman" w:hAnsi="Times New Roman" w:cs="Times New Roman"/>
          <w:sz w:val="24"/>
          <w:szCs w:val="24"/>
        </w:rPr>
        <w:t xml:space="preserve"> gió (WAP) bao gồm các cánh buồm cánh quạt, diều, cánh buồm cứng hoặc </w:t>
      </w:r>
      <w:r w:rsidR="00092782">
        <w:rPr>
          <w:rFonts w:ascii="Times New Roman" w:eastAsia="Times New Roman" w:hAnsi="Times New Roman" w:cs="Times New Roman"/>
          <w:sz w:val="24"/>
          <w:szCs w:val="24"/>
        </w:rPr>
        <w:t>liền</w:t>
      </w:r>
      <w:r w:rsidRPr="001E3FFD">
        <w:rPr>
          <w:rFonts w:ascii="Times New Roman" w:eastAsia="Times New Roman" w:hAnsi="Times New Roman" w:cs="Times New Roman"/>
          <w:sz w:val="24"/>
          <w:szCs w:val="24"/>
        </w:rPr>
        <w:t>, cánh buồm mềm, cánh hút hoặc tua-bin. Tác động của WAP đến cường độ phát thải khí nhà kính của năng lượng sử dụng trên tàu được phản ánh thông qua hệ số ‘fwind’ trong công thức tính cường độ phát thải khí nhà kính:</w:t>
      </w:r>
    </w:p>
    <w:p w:rsidR="000A7BB3" w:rsidRPr="000A7BB3" w:rsidRDefault="000A7BB3" w:rsidP="00092782">
      <w:pPr>
        <w:shd w:val="clear" w:color="auto" w:fill="FFFFFF"/>
        <w:spacing w:after="0" w:line="390" w:lineRule="atLeast"/>
        <w:jc w:val="center"/>
        <w:textAlignment w:val="baseline"/>
        <w:rPr>
          <w:rFonts w:ascii="inherit" w:eastAsia="Times New Roman" w:hAnsi="inherit" w:cs="Helvetica"/>
          <w:color w:val="333333"/>
          <w:sz w:val="24"/>
          <w:szCs w:val="24"/>
        </w:rPr>
      </w:pPr>
      <w:r w:rsidRPr="000A7BB3">
        <w:rPr>
          <w:rFonts w:ascii="inherit" w:eastAsia="Times New Roman" w:hAnsi="inherit" w:cs="Helvetica"/>
          <w:noProof/>
          <w:color w:val="333333"/>
          <w:sz w:val="24"/>
          <w:szCs w:val="24"/>
        </w:rPr>
        <w:drawing>
          <wp:inline distT="0" distB="0" distL="0" distR="0">
            <wp:extent cx="3824007" cy="693420"/>
            <wp:effectExtent l="0" t="0" r="5080" b="0"/>
            <wp:docPr id="4" name="Picture 4" descr="Be prepared for the next wave: FuelEU Maritime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 prepared for the next wave: FuelEU Maritime explain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8559" cy="696059"/>
                    </a:xfrm>
                    <a:prstGeom prst="rect">
                      <a:avLst/>
                    </a:prstGeom>
                    <a:noFill/>
                    <a:ln>
                      <a:noFill/>
                    </a:ln>
                  </pic:spPr>
                </pic:pic>
              </a:graphicData>
            </a:graphic>
          </wp:inline>
        </w:drawing>
      </w:r>
    </w:p>
    <w:p w:rsidR="00092782" w:rsidRPr="00092782" w:rsidRDefault="00092782" w:rsidP="000A7BB3">
      <w:pPr>
        <w:shd w:val="clear" w:color="auto" w:fill="FFFFFF"/>
        <w:spacing w:after="300" w:line="390" w:lineRule="atLeast"/>
        <w:textAlignment w:val="baseline"/>
        <w:rPr>
          <w:rFonts w:ascii="Times New Roman" w:eastAsia="Times New Roman" w:hAnsi="Times New Roman" w:cs="Times New Roman"/>
          <w:sz w:val="24"/>
          <w:szCs w:val="24"/>
        </w:rPr>
      </w:pPr>
      <w:r w:rsidRPr="00092782">
        <w:rPr>
          <w:rFonts w:ascii="Times New Roman" w:eastAsia="Times New Roman" w:hAnsi="Times New Roman" w:cs="Times New Roman"/>
          <w:sz w:val="24"/>
          <w:szCs w:val="24"/>
        </w:rPr>
        <w:t>trong đó fwind là hệ số thưởng cho WAP được xác định dựa trên tỷ số giữa công suất hữu hiệu sẵn có (PWind) và công suất đẩy của tàu (PProp).</w:t>
      </w:r>
    </w:p>
    <w:p w:rsidR="000A7BB3" w:rsidRDefault="000A7BB3" w:rsidP="00092782">
      <w:pPr>
        <w:shd w:val="clear" w:color="auto" w:fill="FFFFFF"/>
        <w:spacing w:after="0" w:line="390" w:lineRule="atLeast"/>
        <w:jc w:val="center"/>
        <w:textAlignment w:val="baseline"/>
        <w:rPr>
          <w:rFonts w:ascii="inherit" w:eastAsia="Times New Roman" w:hAnsi="inherit" w:cs="Helvetica"/>
          <w:color w:val="333333"/>
          <w:sz w:val="24"/>
          <w:szCs w:val="24"/>
        </w:rPr>
      </w:pPr>
      <w:r w:rsidRPr="000A7BB3">
        <w:rPr>
          <w:rFonts w:ascii="inherit" w:eastAsia="Times New Roman" w:hAnsi="inherit" w:cs="Helvetica"/>
          <w:noProof/>
          <w:color w:val="333333"/>
          <w:sz w:val="24"/>
          <w:szCs w:val="24"/>
        </w:rPr>
        <w:drawing>
          <wp:inline distT="0" distB="0" distL="0" distR="0">
            <wp:extent cx="3482340" cy="1383650"/>
            <wp:effectExtent l="0" t="0" r="3810" b="7620"/>
            <wp:docPr id="3" name="Picture 3" descr="Be prepared for the next wave: FuelEU Maritime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 prepared for the next wave: FuelEU Maritime explain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7614" cy="1409586"/>
                    </a:xfrm>
                    <a:prstGeom prst="rect">
                      <a:avLst/>
                    </a:prstGeom>
                    <a:noFill/>
                    <a:ln>
                      <a:noFill/>
                    </a:ln>
                  </pic:spPr>
                </pic:pic>
              </a:graphicData>
            </a:graphic>
          </wp:inline>
        </w:drawing>
      </w:r>
    </w:p>
    <w:p w:rsidR="00092782" w:rsidRPr="00092782" w:rsidRDefault="00092782" w:rsidP="00092782">
      <w:pPr>
        <w:shd w:val="clear" w:color="auto" w:fill="FFFFFF"/>
        <w:spacing w:before="120" w:after="120" w:line="390" w:lineRule="atLeast"/>
        <w:textAlignment w:val="baseline"/>
        <w:rPr>
          <w:rFonts w:ascii="Times New Roman" w:eastAsia="Times New Roman" w:hAnsi="Times New Roman" w:cs="Times New Roman"/>
          <w:sz w:val="24"/>
          <w:szCs w:val="24"/>
        </w:rPr>
      </w:pPr>
      <w:r w:rsidRPr="00092782">
        <w:rPr>
          <w:rFonts w:ascii="Times New Roman" w:eastAsia="Times New Roman" w:hAnsi="Times New Roman" w:cs="Times New Roman"/>
          <w:sz w:val="24"/>
          <w:szCs w:val="24"/>
        </w:rPr>
        <w:t>Biểu đồ bên dưới cho thấy chi phí tuân thủ hàng ngày giảm đối với tàu sử dụng LSFO được trang bị WAP với hệ số thưởng fwind = 97%:</w:t>
      </w:r>
    </w:p>
    <w:p w:rsidR="000A7BB3" w:rsidRPr="000A7BB3" w:rsidRDefault="000A7BB3" w:rsidP="000A7BB3">
      <w:pPr>
        <w:shd w:val="clear" w:color="auto" w:fill="FFFFFF"/>
        <w:spacing w:after="0" w:line="390" w:lineRule="atLeast"/>
        <w:textAlignment w:val="baseline"/>
        <w:rPr>
          <w:rFonts w:ascii="inherit" w:eastAsia="Times New Roman" w:hAnsi="inherit" w:cs="Helvetica"/>
          <w:color w:val="333333"/>
          <w:sz w:val="24"/>
          <w:szCs w:val="24"/>
        </w:rPr>
      </w:pPr>
      <w:r w:rsidRPr="000A7BB3">
        <w:rPr>
          <w:rFonts w:ascii="inherit" w:eastAsia="Times New Roman" w:hAnsi="inherit" w:cs="Helvetica"/>
          <w:noProof/>
          <w:color w:val="A0A0A0"/>
          <w:sz w:val="24"/>
          <w:szCs w:val="24"/>
          <w:bdr w:val="none" w:sz="0" w:space="0" w:color="auto" w:frame="1"/>
        </w:rPr>
        <w:lastRenderedPageBreak/>
        <w:drawing>
          <wp:inline distT="0" distB="0" distL="0" distR="0">
            <wp:extent cx="5932707" cy="2734388"/>
            <wp:effectExtent l="0" t="0" r="0" b="8890"/>
            <wp:docPr id="2" name="Picture 2" descr="Be prepared for the next wave: FuelEU Maritime explain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 prepared for the next wave: FuelEU Maritime explain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275" cy="2765530"/>
                    </a:xfrm>
                    <a:prstGeom prst="rect">
                      <a:avLst/>
                    </a:prstGeom>
                    <a:noFill/>
                    <a:ln>
                      <a:noFill/>
                    </a:ln>
                  </pic:spPr>
                </pic:pic>
              </a:graphicData>
            </a:graphic>
          </wp:inline>
        </w:drawing>
      </w:r>
    </w:p>
    <w:p w:rsidR="00092782" w:rsidRPr="00092782" w:rsidRDefault="00092782" w:rsidP="00092782">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92782">
        <w:rPr>
          <w:rFonts w:ascii="Times New Roman" w:eastAsia="Times New Roman" w:hAnsi="Times New Roman" w:cs="Times New Roman"/>
          <w:b/>
          <w:sz w:val="24"/>
          <w:szCs w:val="24"/>
        </w:rPr>
        <w:t xml:space="preserve">Quy định </w:t>
      </w:r>
      <w:r w:rsidRPr="00092782">
        <w:rPr>
          <w:rFonts w:ascii="Times New Roman" w:eastAsia="Times New Roman" w:hAnsi="Times New Roman" w:cs="Times New Roman"/>
          <w:b/>
          <w:sz w:val="24"/>
          <w:szCs w:val="24"/>
        </w:rPr>
        <w:t xml:space="preserve">này </w:t>
      </w:r>
      <w:r w:rsidRPr="00092782">
        <w:rPr>
          <w:rFonts w:ascii="Times New Roman" w:eastAsia="Times New Roman" w:hAnsi="Times New Roman" w:cs="Times New Roman"/>
          <w:b/>
          <w:sz w:val="24"/>
          <w:szCs w:val="24"/>
        </w:rPr>
        <w:t>có mang lại sự linh hoạt cho việc tuân thủ không?</w:t>
      </w:r>
    </w:p>
    <w:p w:rsidR="00092782" w:rsidRPr="00092782" w:rsidRDefault="00092782" w:rsidP="0009278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092782">
        <w:rPr>
          <w:rFonts w:ascii="Times New Roman" w:eastAsia="Times New Roman" w:hAnsi="Times New Roman" w:cs="Times New Roman"/>
          <w:sz w:val="24"/>
          <w:szCs w:val="24"/>
        </w:rPr>
        <w:t>Trong trường hợp một con tàu có</w:t>
      </w:r>
      <w:r>
        <w:rPr>
          <w:rFonts w:ascii="Times New Roman" w:eastAsia="Times New Roman" w:hAnsi="Times New Roman" w:cs="Times New Roman"/>
          <w:sz w:val="24"/>
          <w:szCs w:val="24"/>
        </w:rPr>
        <w:t xml:space="preserve"> một</w:t>
      </w:r>
      <w:r w:rsidRPr="00092782">
        <w:rPr>
          <w:rFonts w:ascii="Times New Roman" w:eastAsia="Times New Roman" w:hAnsi="Times New Roman" w:cs="Times New Roman"/>
          <w:sz w:val="24"/>
          <w:szCs w:val="24"/>
        </w:rPr>
        <w:t xml:space="preserve"> thặng dư tuân thủ</w:t>
      </w:r>
      <w:r>
        <w:rPr>
          <w:rFonts w:ascii="Times New Roman" w:eastAsia="Times New Roman" w:hAnsi="Times New Roman" w:cs="Times New Roman"/>
          <w:sz w:val="24"/>
          <w:szCs w:val="24"/>
        </w:rPr>
        <w:t xml:space="preserve"> thì</w:t>
      </w:r>
      <w:r w:rsidRPr="00092782">
        <w:rPr>
          <w:rFonts w:ascii="Times New Roman" w:eastAsia="Times New Roman" w:hAnsi="Times New Roman" w:cs="Times New Roman"/>
          <w:sz w:val="24"/>
          <w:szCs w:val="24"/>
        </w:rPr>
        <w:t xml:space="preserve"> công ty có thể 'lưu trữ' và sử dụng nó cho </w:t>
      </w:r>
      <w:r>
        <w:rPr>
          <w:rFonts w:ascii="Times New Roman" w:eastAsia="Times New Roman" w:hAnsi="Times New Roman" w:cs="Times New Roman"/>
          <w:sz w:val="24"/>
          <w:szCs w:val="24"/>
        </w:rPr>
        <w:t xml:space="preserve">chính </w:t>
      </w:r>
      <w:r w:rsidRPr="00092782">
        <w:rPr>
          <w:rFonts w:ascii="Times New Roman" w:eastAsia="Times New Roman" w:hAnsi="Times New Roman" w:cs="Times New Roman"/>
          <w:sz w:val="24"/>
          <w:szCs w:val="24"/>
        </w:rPr>
        <w:t>con tàu</w:t>
      </w:r>
      <w:r>
        <w:rPr>
          <w:rFonts w:ascii="Times New Roman" w:eastAsia="Times New Roman" w:hAnsi="Times New Roman" w:cs="Times New Roman"/>
          <w:sz w:val="24"/>
          <w:szCs w:val="24"/>
        </w:rPr>
        <w:t xml:space="preserve"> đó</w:t>
      </w:r>
      <w:r w:rsidRPr="00092782">
        <w:rPr>
          <w:rFonts w:ascii="Times New Roman" w:eastAsia="Times New Roman" w:hAnsi="Times New Roman" w:cs="Times New Roman"/>
          <w:sz w:val="24"/>
          <w:szCs w:val="24"/>
        </w:rPr>
        <w:t xml:space="preserve"> trong kỳ báo cáo tiếp theo. Trong trường hợp tàu bị thiếu </w:t>
      </w:r>
      <w:r>
        <w:rPr>
          <w:rFonts w:ascii="Times New Roman" w:eastAsia="Times New Roman" w:hAnsi="Times New Roman" w:cs="Times New Roman"/>
          <w:sz w:val="24"/>
          <w:szCs w:val="24"/>
        </w:rPr>
        <w:t>tuân thủ thì</w:t>
      </w:r>
      <w:r w:rsidRPr="00092782">
        <w:rPr>
          <w:rFonts w:ascii="Times New Roman" w:eastAsia="Times New Roman" w:hAnsi="Times New Roman" w:cs="Times New Roman"/>
          <w:sz w:val="24"/>
          <w:szCs w:val="24"/>
        </w:rPr>
        <w:t xml:space="preserve"> công ty có thể vay tạm ứng thặng dư tuân thủ với số tiền tương ứng từ kỳ báo cáo tiếp theo. Tuy nhiên, trong kỳ báo cáo tiếp theo, phần thặng dư tuân thủ đã vay phải được nhân với 1,1 và trừ vào số dư của chính con tàu đó.</w:t>
      </w:r>
    </w:p>
    <w:p w:rsidR="000A7BB3" w:rsidRDefault="000A7BB3" w:rsidP="000A7BB3">
      <w:pPr>
        <w:shd w:val="clear" w:color="auto" w:fill="FFFFFF"/>
        <w:spacing w:after="0" w:line="390" w:lineRule="atLeast"/>
        <w:textAlignment w:val="baseline"/>
        <w:rPr>
          <w:rFonts w:ascii="inherit" w:eastAsia="Times New Roman" w:hAnsi="inherit" w:cs="Helvetica"/>
          <w:color w:val="333333"/>
          <w:sz w:val="24"/>
          <w:szCs w:val="24"/>
        </w:rPr>
      </w:pPr>
      <w:r w:rsidRPr="000A7BB3">
        <w:rPr>
          <w:rFonts w:ascii="inherit" w:eastAsia="Times New Roman" w:hAnsi="inherit" w:cs="Helvetica"/>
          <w:noProof/>
          <w:color w:val="A0A0A0"/>
          <w:sz w:val="24"/>
          <w:szCs w:val="24"/>
          <w:bdr w:val="none" w:sz="0" w:space="0" w:color="auto" w:frame="1"/>
        </w:rPr>
        <w:drawing>
          <wp:inline distT="0" distB="0" distL="0" distR="0">
            <wp:extent cx="6042660" cy="2915285"/>
            <wp:effectExtent l="0" t="0" r="0" b="0"/>
            <wp:docPr id="1" name="Picture 1" descr="Be prepared for the next wave: FuelEU Maritime explain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 prepared for the next wave: FuelEU Maritime explaine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9919" cy="2938085"/>
                    </a:xfrm>
                    <a:prstGeom prst="rect">
                      <a:avLst/>
                    </a:prstGeom>
                    <a:noFill/>
                    <a:ln>
                      <a:noFill/>
                    </a:ln>
                  </pic:spPr>
                </pic:pic>
              </a:graphicData>
            </a:graphic>
          </wp:inline>
        </w:drawing>
      </w:r>
    </w:p>
    <w:p w:rsidR="001258EF" w:rsidRDefault="001258EF" w:rsidP="001258EF">
      <w:pPr>
        <w:shd w:val="clear" w:color="auto" w:fill="FFFFFF"/>
        <w:spacing w:before="120" w:after="120" w:line="390" w:lineRule="atLeast"/>
        <w:jc w:val="both"/>
        <w:textAlignment w:val="baseline"/>
        <w:rPr>
          <w:rFonts w:ascii="Times New Roman" w:hAnsi="Times New Roman" w:cs="Times New Roman"/>
          <w:sz w:val="24"/>
          <w:szCs w:val="24"/>
        </w:rPr>
      </w:pPr>
      <w:r w:rsidRPr="00092782">
        <w:rPr>
          <w:rFonts w:ascii="Times New Roman" w:eastAsia="Times New Roman" w:hAnsi="Times New Roman" w:cs="Times New Roman"/>
          <w:sz w:val="24"/>
          <w:szCs w:val="24"/>
        </w:rPr>
        <w:t xml:space="preserve">Hơn nữa, sự cân bằng tuân thủ về cường độ GHG và mục tiêu phụ của RFNBO có thể được gộp lại. </w:t>
      </w:r>
      <w:r>
        <w:rPr>
          <w:rFonts w:ascii="Times New Roman" w:eastAsia="Times New Roman" w:hAnsi="Times New Roman" w:cs="Times New Roman"/>
          <w:sz w:val="24"/>
          <w:szCs w:val="24"/>
        </w:rPr>
        <w:t>Các nhóm tàu</w:t>
      </w:r>
      <w:r w:rsidRPr="00092782">
        <w:rPr>
          <w:rFonts w:ascii="Times New Roman" w:eastAsia="Times New Roman" w:hAnsi="Times New Roman" w:cs="Times New Roman"/>
          <w:sz w:val="24"/>
          <w:szCs w:val="24"/>
        </w:rPr>
        <w:t xml:space="preserve"> có thể bao gồm các tàu của cùng một công ty hoặc </w:t>
      </w:r>
      <w:r>
        <w:rPr>
          <w:rFonts w:ascii="Times New Roman" w:eastAsia="Times New Roman" w:hAnsi="Times New Roman" w:cs="Times New Roman"/>
          <w:sz w:val="24"/>
          <w:szCs w:val="24"/>
        </w:rPr>
        <w:t xml:space="preserve">của các công ty </w:t>
      </w:r>
      <w:r w:rsidRPr="00092782">
        <w:rPr>
          <w:rFonts w:ascii="Times New Roman" w:eastAsia="Times New Roman" w:hAnsi="Times New Roman" w:cs="Times New Roman"/>
          <w:sz w:val="24"/>
          <w:szCs w:val="24"/>
        </w:rPr>
        <w:t xml:space="preserve">khác nhau. Hai nhóm khác nhau có thể được </w:t>
      </w:r>
      <w:r>
        <w:rPr>
          <w:rFonts w:ascii="Times New Roman" w:eastAsia="Times New Roman" w:hAnsi="Times New Roman" w:cs="Times New Roman"/>
          <w:sz w:val="24"/>
          <w:szCs w:val="24"/>
        </w:rPr>
        <w:t>dùng</w:t>
      </w:r>
      <w:r w:rsidRPr="00092782">
        <w:rPr>
          <w:rFonts w:ascii="Times New Roman" w:eastAsia="Times New Roman" w:hAnsi="Times New Roman" w:cs="Times New Roman"/>
          <w:sz w:val="24"/>
          <w:szCs w:val="24"/>
        </w:rPr>
        <w:t xml:space="preserve"> để tuân thủ mục tiêu cường độ khí nhà kính và mục tiêu phụ RFNBO. </w:t>
      </w:r>
      <w:r w:rsidRPr="001258EF">
        <w:rPr>
          <w:rFonts w:ascii="Times New Roman" w:hAnsi="Times New Roman" w:cs="Times New Roman"/>
          <w:sz w:val="24"/>
          <w:szCs w:val="24"/>
        </w:rPr>
        <w:t xml:space="preserve">Một nhóm chỉ có thể thực hiện được nếu tổng mức tuân thủ của nhóm là dương, các tàu có </w:t>
      </w:r>
      <w:r w:rsidRPr="001258EF">
        <w:rPr>
          <w:rFonts w:ascii="Times New Roman" w:hAnsi="Times New Roman" w:cs="Times New Roman"/>
          <w:sz w:val="24"/>
          <w:szCs w:val="24"/>
        </w:rPr>
        <w:lastRenderedPageBreak/>
        <w:t>mức tuân thủ thiếu hụt không bị tăng mức thiếu hụt tuân thủ sau khi phân bổ nhóm hoặc các tàu có mức tuân thủ dư thừa không bị thiếu hụt tuân thủ sau khi phân bổ nhóm</w:t>
      </w:r>
      <w:r>
        <w:rPr>
          <w:rFonts w:ascii="Times New Roman" w:hAnsi="Times New Roman" w:cs="Times New Roman"/>
          <w:sz w:val="24"/>
          <w:szCs w:val="24"/>
        </w:rPr>
        <w:t>.</w:t>
      </w:r>
    </w:p>
    <w:p w:rsidR="001258EF" w:rsidRPr="001258EF" w:rsidRDefault="001258EF" w:rsidP="001258EF">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1258EF">
        <w:rPr>
          <w:rFonts w:ascii="Times New Roman" w:eastAsia="Times New Roman" w:hAnsi="Times New Roman" w:cs="Times New Roman"/>
          <w:b/>
          <w:sz w:val="24"/>
          <w:szCs w:val="24"/>
        </w:rPr>
        <w:t>Việc thu hồi và lưu trữ carbon trên tàu có được đề cập</w:t>
      </w:r>
      <w:r>
        <w:rPr>
          <w:rFonts w:ascii="Times New Roman" w:eastAsia="Times New Roman" w:hAnsi="Times New Roman" w:cs="Times New Roman"/>
          <w:b/>
          <w:sz w:val="24"/>
          <w:szCs w:val="24"/>
        </w:rPr>
        <w:t xml:space="preserve"> đến</w:t>
      </w:r>
      <w:r w:rsidRPr="001258EF">
        <w:rPr>
          <w:rFonts w:ascii="Times New Roman" w:eastAsia="Times New Roman" w:hAnsi="Times New Roman" w:cs="Times New Roman"/>
          <w:b/>
          <w:sz w:val="24"/>
          <w:szCs w:val="24"/>
        </w:rPr>
        <w:t xml:space="preserve"> không?</w:t>
      </w:r>
    </w:p>
    <w:p w:rsidR="001258EF" w:rsidRPr="001258EF" w:rsidRDefault="001258EF" w:rsidP="001258EF">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258EF">
        <w:rPr>
          <w:rFonts w:ascii="Times New Roman" w:eastAsia="Times New Roman" w:hAnsi="Times New Roman" w:cs="Times New Roman"/>
          <w:sz w:val="24"/>
          <w:szCs w:val="24"/>
        </w:rPr>
        <w:t>Việc thu giữ cacbon trên tàu (OCC) chưa được quy định cụ thể trong Quy định</w:t>
      </w:r>
      <w:r>
        <w:rPr>
          <w:rFonts w:ascii="Times New Roman" w:eastAsia="Times New Roman" w:hAnsi="Times New Roman" w:cs="Times New Roman"/>
          <w:sz w:val="24"/>
          <w:szCs w:val="24"/>
        </w:rPr>
        <w:t xml:space="preserve"> này</w:t>
      </w:r>
      <w:r w:rsidRPr="001258EF">
        <w:rPr>
          <w:rFonts w:ascii="Times New Roman" w:eastAsia="Times New Roman" w:hAnsi="Times New Roman" w:cs="Times New Roman"/>
          <w:sz w:val="24"/>
          <w:szCs w:val="24"/>
        </w:rPr>
        <w:t>, nhưng điều 30.</w:t>
      </w:r>
      <w:proofErr w:type="gramStart"/>
      <w:r w:rsidRPr="001258EF">
        <w:rPr>
          <w:rFonts w:ascii="Times New Roman" w:eastAsia="Times New Roman" w:hAnsi="Times New Roman" w:cs="Times New Roman"/>
          <w:sz w:val="24"/>
          <w:szCs w:val="24"/>
        </w:rPr>
        <w:t>2.(</w:t>
      </w:r>
      <w:proofErr w:type="gramEnd"/>
      <w:r w:rsidRPr="001258EF">
        <w:rPr>
          <w:rFonts w:ascii="Times New Roman" w:eastAsia="Times New Roman" w:hAnsi="Times New Roman" w:cs="Times New Roman"/>
          <w:sz w:val="24"/>
          <w:szCs w:val="24"/>
        </w:rPr>
        <w:t xml:space="preserve">i) quy định rằng Ủy ban </w:t>
      </w:r>
      <w:r w:rsidRPr="001258EF">
        <w:rPr>
          <w:rFonts w:ascii="Times New Roman" w:hAnsi="Times New Roman" w:cs="Times New Roman"/>
          <w:sz w:val="24"/>
          <w:szCs w:val="24"/>
        </w:rPr>
        <w:t xml:space="preserve">Ủy ban sẽ xem xét khả năng </w:t>
      </w:r>
      <w:r w:rsidRPr="001258EF">
        <w:rPr>
          <w:rFonts w:ascii="Times New Roman" w:hAnsi="Times New Roman" w:cs="Times New Roman"/>
          <w:sz w:val="24"/>
          <w:szCs w:val="24"/>
        </w:rPr>
        <w:t>đưa</w:t>
      </w:r>
      <w:r w:rsidRPr="001258EF">
        <w:rPr>
          <w:rFonts w:ascii="Times New Roman" w:hAnsi="Times New Roman" w:cs="Times New Roman"/>
          <w:sz w:val="24"/>
          <w:szCs w:val="24"/>
        </w:rPr>
        <w:t xml:space="preserve"> OCC </w:t>
      </w:r>
      <w:r w:rsidRPr="001258EF">
        <w:rPr>
          <w:rFonts w:ascii="Times New Roman" w:hAnsi="Times New Roman" w:cs="Times New Roman"/>
          <w:sz w:val="24"/>
          <w:szCs w:val="24"/>
        </w:rPr>
        <w:t xml:space="preserve">vào </w:t>
      </w:r>
      <w:r w:rsidRPr="001258EF">
        <w:rPr>
          <w:rFonts w:ascii="Times New Roman" w:hAnsi="Times New Roman" w:cs="Times New Roman"/>
          <w:sz w:val="24"/>
          <w:szCs w:val="24"/>
        </w:rPr>
        <w:t>trong tính toán cường độ khí nhà kính (GHG) của năng lượng sử dụng trên tàu và trong cân đối tuân thủ, tùy thuộc vào sự sẵn có của một phương pháp có thể xác minh để giám sát và kiểm toán lượng carbon đã thu giữ.</w:t>
      </w:r>
      <w:r w:rsidRPr="001258EF">
        <w:rPr>
          <w:rFonts w:ascii="Times New Roman" w:eastAsia="Times New Roman" w:hAnsi="Times New Roman" w:cs="Times New Roman"/>
          <w:sz w:val="24"/>
          <w:szCs w:val="24"/>
        </w:rPr>
        <w:t>.</w:t>
      </w:r>
    </w:p>
    <w:p w:rsidR="00060DBB" w:rsidRDefault="001258EF" w:rsidP="001258EF">
      <w:pPr>
        <w:jc w:val="center"/>
      </w:pPr>
      <w:r>
        <w:rPr>
          <w:rFonts w:ascii="inherit" w:eastAsia="Times New Roman" w:hAnsi="inherit" w:cs="Helvetica"/>
          <w:color w:val="333333"/>
          <w:sz w:val="24"/>
          <w:szCs w:val="24"/>
        </w:rPr>
        <w:t>--------------------------------</w:t>
      </w:r>
      <w:bookmarkStart w:id="0" w:name="_GoBack"/>
      <w:bookmarkEnd w:id="0"/>
    </w:p>
    <w:sectPr w:rsidR="00060DBB" w:rsidSect="004F5CB7">
      <w:pgSz w:w="12240" w:h="15840"/>
      <w:pgMar w:top="108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A2E4C"/>
    <w:multiLevelType w:val="hybridMultilevel"/>
    <w:tmpl w:val="B762B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27110"/>
    <w:multiLevelType w:val="hybridMultilevel"/>
    <w:tmpl w:val="8C44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F6A95"/>
    <w:multiLevelType w:val="multilevel"/>
    <w:tmpl w:val="2C72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DA5A68"/>
    <w:multiLevelType w:val="multilevel"/>
    <w:tmpl w:val="235A7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07891"/>
    <w:multiLevelType w:val="hybridMultilevel"/>
    <w:tmpl w:val="6ACEE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B3"/>
    <w:rsid w:val="00060DBB"/>
    <w:rsid w:val="00062319"/>
    <w:rsid w:val="00092782"/>
    <w:rsid w:val="000A7BB3"/>
    <w:rsid w:val="001258EF"/>
    <w:rsid w:val="001D39C7"/>
    <w:rsid w:val="001E3FFD"/>
    <w:rsid w:val="00442178"/>
    <w:rsid w:val="004F5CB7"/>
    <w:rsid w:val="00691091"/>
    <w:rsid w:val="00C72BCC"/>
    <w:rsid w:val="00C8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C194"/>
  <w15:chartTrackingRefBased/>
  <w15:docId w15:val="{A5FC2AFC-773D-4180-84A1-A317A268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7B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A7B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0A7BB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B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A7BB3"/>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A7BB3"/>
    <w:rPr>
      <w:rFonts w:ascii="Times New Roman" w:eastAsia="Times New Roman" w:hAnsi="Times New Roman" w:cs="Times New Roman"/>
      <w:b/>
      <w:bCs/>
      <w:sz w:val="15"/>
      <w:szCs w:val="15"/>
    </w:rPr>
  </w:style>
  <w:style w:type="character" w:customStyle="1" w:styleId="metatext">
    <w:name w:val="meta_text"/>
    <w:basedOn w:val="DefaultParagraphFont"/>
    <w:rsid w:val="000A7BB3"/>
  </w:style>
  <w:style w:type="character" w:styleId="Hyperlink">
    <w:name w:val="Hyperlink"/>
    <w:basedOn w:val="DefaultParagraphFont"/>
    <w:uiPriority w:val="99"/>
    <w:semiHidden/>
    <w:unhideWhenUsed/>
    <w:rsid w:val="000A7BB3"/>
    <w:rPr>
      <w:color w:val="0000FF"/>
      <w:u w:val="single"/>
    </w:rPr>
  </w:style>
  <w:style w:type="paragraph" w:customStyle="1" w:styleId="wp-caption-text">
    <w:name w:val="wp-caption-text"/>
    <w:basedOn w:val="Normal"/>
    <w:rsid w:val="000A7B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7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0A7BB3"/>
  </w:style>
  <w:style w:type="character" w:styleId="Strong">
    <w:name w:val="Strong"/>
    <w:basedOn w:val="DefaultParagraphFont"/>
    <w:uiPriority w:val="22"/>
    <w:qFormat/>
    <w:rsid w:val="000A7BB3"/>
    <w:rPr>
      <w:b/>
      <w:bCs/>
    </w:rPr>
  </w:style>
  <w:style w:type="paragraph" w:styleId="ListParagraph">
    <w:name w:val="List Paragraph"/>
    <w:basedOn w:val="Normal"/>
    <w:uiPriority w:val="34"/>
    <w:qFormat/>
    <w:rsid w:val="00C72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484457">
      <w:bodyDiv w:val="1"/>
      <w:marLeft w:val="0"/>
      <w:marRight w:val="0"/>
      <w:marTop w:val="0"/>
      <w:marBottom w:val="0"/>
      <w:divBdr>
        <w:top w:val="none" w:sz="0" w:space="0" w:color="auto"/>
        <w:left w:val="none" w:sz="0" w:space="0" w:color="auto"/>
        <w:bottom w:val="none" w:sz="0" w:space="0" w:color="auto"/>
        <w:right w:val="none" w:sz="0" w:space="0" w:color="auto"/>
      </w:divBdr>
      <w:divsChild>
        <w:div w:id="1848866937">
          <w:marLeft w:val="0"/>
          <w:marRight w:val="0"/>
          <w:marTop w:val="0"/>
          <w:marBottom w:val="450"/>
          <w:divBdr>
            <w:top w:val="none" w:sz="0" w:space="0" w:color="auto"/>
            <w:left w:val="none" w:sz="0" w:space="0" w:color="auto"/>
            <w:bottom w:val="single" w:sz="12" w:space="11" w:color="111111"/>
            <w:right w:val="none" w:sz="0" w:space="0" w:color="auto"/>
          </w:divBdr>
          <w:divsChild>
            <w:div w:id="712584311">
              <w:marLeft w:val="0"/>
              <w:marRight w:val="0"/>
              <w:marTop w:val="0"/>
              <w:marBottom w:val="0"/>
              <w:divBdr>
                <w:top w:val="none" w:sz="0" w:space="0" w:color="auto"/>
                <w:left w:val="none" w:sz="0" w:space="0" w:color="auto"/>
                <w:bottom w:val="none" w:sz="0" w:space="0" w:color="auto"/>
                <w:right w:val="none" w:sz="0" w:space="0" w:color="auto"/>
              </w:divBdr>
              <w:divsChild>
                <w:div w:id="1974556362">
                  <w:marLeft w:val="0"/>
                  <w:marRight w:val="0"/>
                  <w:marTop w:val="0"/>
                  <w:marBottom w:val="0"/>
                  <w:divBdr>
                    <w:top w:val="none" w:sz="0" w:space="0" w:color="auto"/>
                    <w:left w:val="none" w:sz="0" w:space="0" w:color="auto"/>
                    <w:bottom w:val="none" w:sz="0" w:space="0" w:color="auto"/>
                    <w:right w:val="none" w:sz="0" w:space="0" w:color="auto"/>
                  </w:divBdr>
                  <w:divsChild>
                    <w:div w:id="1446267705">
                      <w:marLeft w:val="0"/>
                      <w:marRight w:val="240"/>
                      <w:marTop w:val="0"/>
                      <w:marBottom w:val="0"/>
                      <w:divBdr>
                        <w:top w:val="none" w:sz="0" w:space="0" w:color="auto"/>
                        <w:left w:val="none" w:sz="0" w:space="0" w:color="auto"/>
                        <w:bottom w:val="none" w:sz="0" w:space="0" w:color="auto"/>
                        <w:right w:val="none" w:sz="0" w:space="0" w:color="auto"/>
                      </w:divBdr>
                      <w:divsChild>
                        <w:div w:id="1559710143">
                          <w:marLeft w:val="0"/>
                          <w:marRight w:val="90"/>
                          <w:marTop w:val="0"/>
                          <w:marBottom w:val="0"/>
                          <w:divBdr>
                            <w:top w:val="none" w:sz="0" w:space="0" w:color="auto"/>
                            <w:left w:val="none" w:sz="0" w:space="0" w:color="auto"/>
                            <w:bottom w:val="none" w:sz="0" w:space="0" w:color="auto"/>
                            <w:right w:val="none" w:sz="0" w:space="0" w:color="auto"/>
                          </w:divBdr>
                        </w:div>
                        <w:div w:id="970525538">
                          <w:marLeft w:val="0"/>
                          <w:marRight w:val="90"/>
                          <w:marTop w:val="0"/>
                          <w:marBottom w:val="0"/>
                          <w:divBdr>
                            <w:top w:val="none" w:sz="0" w:space="0" w:color="auto"/>
                            <w:left w:val="none" w:sz="0" w:space="0" w:color="auto"/>
                            <w:bottom w:val="none" w:sz="0" w:space="0" w:color="auto"/>
                            <w:right w:val="none" w:sz="0" w:space="0" w:color="auto"/>
                          </w:divBdr>
                        </w:div>
                        <w:div w:id="12743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74486">
          <w:marLeft w:val="-225"/>
          <w:marRight w:val="-225"/>
          <w:marTop w:val="0"/>
          <w:marBottom w:val="0"/>
          <w:divBdr>
            <w:top w:val="none" w:sz="0" w:space="0" w:color="auto"/>
            <w:left w:val="none" w:sz="0" w:space="0" w:color="auto"/>
            <w:bottom w:val="none" w:sz="0" w:space="0" w:color="auto"/>
            <w:right w:val="none" w:sz="0" w:space="0" w:color="auto"/>
          </w:divBdr>
          <w:divsChild>
            <w:div w:id="1949698003">
              <w:marLeft w:val="0"/>
              <w:marRight w:val="0"/>
              <w:marTop w:val="0"/>
              <w:marBottom w:val="0"/>
              <w:divBdr>
                <w:top w:val="none" w:sz="0" w:space="0" w:color="auto"/>
                <w:left w:val="none" w:sz="0" w:space="0" w:color="auto"/>
                <w:bottom w:val="none" w:sz="0" w:space="0" w:color="auto"/>
                <w:right w:val="none" w:sz="0" w:space="0" w:color="auto"/>
              </w:divBdr>
              <w:divsChild>
                <w:div w:id="1510825153">
                  <w:marLeft w:val="0"/>
                  <w:marRight w:val="0"/>
                  <w:marTop w:val="0"/>
                  <w:marBottom w:val="0"/>
                  <w:divBdr>
                    <w:top w:val="none" w:sz="0" w:space="0" w:color="auto"/>
                    <w:left w:val="none" w:sz="0" w:space="0" w:color="auto"/>
                    <w:bottom w:val="none" w:sz="0" w:space="0" w:color="auto"/>
                    <w:right w:val="none" w:sz="0" w:space="0" w:color="auto"/>
                  </w:divBdr>
                  <w:divsChild>
                    <w:div w:id="1669289409">
                      <w:marLeft w:val="0"/>
                      <w:marRight w:val="0"/>
                      <w:marTop w:val="0"/>
                      <w:marBottom w:val="450"/>
                      <w:divBdr>
                        <w:top w:val="none" w:sz="0" w:space="0" w:color="auto"/>
                        <w:left w:val="none" w:sz="0" w:space="0" w:color="auto"/>
                        <w:bottom w:val="none" w:sz="0" w:space="0" w:color="auto"/>
                        <w:right w:val="none" w:sz="0" w:space="0" w:color="auto"/>
                      </w:divBdr>
                      <w:divsChild>
                        <w:div w:id="1302347484">
                          <w:marLeft w:val="0"/>
                          <w:marRight w:val="0"/>
                          <w:marTop w:val="0"/>
                          <w:marBottom w:val="0"/>
                          <w:divBdr>
                            <w:top w:val="none" w:sz="0" w:space="0" w:color="auto"/>
                            <w:left w:val="none" w:sz="0" w:space="0" w:color="auto"/>
                            <w:bottom w:val="none" w:sz="0" w:space="0" w:color="auto"/>
                            <w:right w:val="none" w:sz="0" w:space="0" w:color="auto"/>
                          </w:divBdr>
                          <w:divsChild>
                            <w:div w:id="17348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069">
                      <w:marLeft w:val="0"/>
                      <w:marRight w:val="0"/>
                      <w:marTop w:val="0"/>
                      <w:marBottom w:val="450"/>
                      <w:divBdr>
                        <w:top w:val="none" w:sz="0" w:space="0" w:color="auto"/>
                        <w:left w:val="none" w:sz="0" w:space="0" w:color="auto"/>
                        <w:bottom w:val="none" w:sz="0" w:space="0" w:color="auto"/>
                        <w:right w:val="none" w:sz="0" w:space="0" w:color="auto"/>
                      </w:divBdr>
                      <w:divsChild>
                        <w:div w:id="2092853220">
                          <w:marLeft w:val="1350"/>
                          <w:marRight w:val="0"/>
                          <w:marTop w:val="0"/>
                          <w:marBottom w:val="0"/>
                          <w:divBdr>
                            <w:top w:val="none" w:sz="0" w:space="0" w:color="auto"/>
                            <w:left w:val="none" w:sz="0" w:space="0" w:color="auto"/>
                            <w:bottom w:val="none" w:sz="0" w:space="0" w:color="auto"/>
                            <w:right w:val="none" w:sz="0" w:space="0" w:color="auto"/>
                          </w:divBdr>
                          <w:divsChild>
                            <w:div w:id="2039089206">
                              <w:marLeft w:val="0"/>
                              <w:marRight w:val="0"/>
                              <w:marTop w:val="0"/>
                              <w:marBottom w:val="0"/>
                              <w:divBdr>
                                <w:top w:val="none" w:sz="0" w:space="0" w:color="auto"/>
                                <w:left w:val="none" w:sz="0" w:space="0" w:color="auto"/>
                                <w:bottom w:val="none" w:sz="0" w:space="0" w:color="auto"/>
                                <w:right w:val="none" w:sz="0" w:space="0" w:color="auto"/>
                              </w:divBdr>
                              <w:divsChild>
                                <w:div w:id="1704138652">
                                  <w:marLeft w:val="0"/>
                                  <w:marRight w:val="0"/>
                                  <w:marTop w:val="0"/>
                                  <w:marBottom w:val="0"/>
                                  <w:divBdr>
                                    <w:top w:val="none" w:sz="0" w:space="0" w:color="auto"/>
                                    <w:left w:val="none" w:sz="0" w:space="0" w:color="auto"/>
                                    <w:bottom w:val="none" w:sz="0" w:space="0" w:color="auto"/>
                                    <w:right w:val="none" w:sz="0" w:space="0" w:color="auto"/>
                                  </w:divBdr>
                                </w:div>
                                <w:div w:id="1162815637">
                                  <w:marLeft w:val="0"/>
                                  <w:marRight w:val="0"/>
                                  <w:marTop w:val="0"/>
                                  <w:marBottom w:val="0"/>
                                  <w:divBdr>
                                    <w:top w:val="none" w:sz="0" w:space="0" w:color="auto"/>
                                    <w:left w:val="none" w:sz="0" w:space="0" w:color="auto"/>
                                    <w:bottom w:val="none" w:sz="0" w:space="0" w:color="auto"/>
                                    <w:right w:val="none" w:sz="0" w:space="0" w:color="auto"/>
                                  </w:divBdr>
                                  <w:divsChild>
                                    <w:div w:id="1774011942">
                                      <w:marLeft w:val="0"/>
                                      <w:marRight w:val="0"/>
                                      <w:marTop w:val="0"/>
                                      <w:marBottom w:val="0"/>
                                      <w:divBdr>
                                        <w:top w:val="none" w:sz="0" w:space="0" w:color="auto"/>
                                        <w:left w:val="none" w:sz="0" w:space="0" w:color="auto"/>
                                        <w:bottom w:val="none" w:sz="0" w:space="0" w:color="auto"/>
                                        <w:right w:val="none" w:sz="0" w:space="0" w:color="auto"/>
                                      </w:divBdr>
                                      <w:divsChild>
                                        <w:div w:id="1032194668">
                                          <w:marLeft w:val="0"/>
                                          <w:marRight w:val="0"/>
                                          <w:marTop w:val="0"/>
                                          <w:marBottom w:val="300"/>
                                          <w:divBdr>
                                            <w:top w:val="none" w:sz="0" w:space="0" w:color="auto"/>
                                            <w:left w:val="none" w:sz="0" w:space="0" w:color="auto"/>
                                            <w:bottom w:val="none" w:sz="0" w:space="0" w:color="auto"/>
                                            <w:right w:val="none" w:sz="0" w:space="0" w:color="auto"/>
                                          </w:divBdr>
                                          <w:divsChild>
                                            <w:div w:id="976378469">
                                              <w:marLeft w:val="0"/>
                                              <w:marRight w:val="0"/>
                                              <w:marTop w:val="0"/>
                                              <w:marBottom w:val="225"/>
                                              <w:divBdr>
                                                <w:top w:val="none" w:sz="0" w:space="0" w:color="auto"/>
                                                <w:left w:val="none" w:sz="0" w:space="0" w:color="auto"/>
                                                <w:bottom w:val="none" w:sz="0" w:space="0" w:color="auto"/>
                                                <w:right w:val="none" w:sz="0" w:space="0" w:color="auto"/>
                                              </w:divBdr>
                                            </w:div>
                                            <w:div w:id="67777187">
                                              <w:marLeft w:val="0"/>
                                              <w:marRight w:val="0"/>
                                              <w:marTop w:val="0"/>
                                              <w:marBottom w:val="0"/>
                                              <w:divBdr>
                                                <w:top w:val="none" w:sz="0" w:space="0" w:color="auto"/>
                                                <w:left w:val="none" w:sz="0" w:space="0" w:color="auto"/>
                                                <w:bottom w:val="none" w:sz="0" w:space="0" w:color="auto"/>
                                                <w:right w:val="none" w:sz="0" w:space="0" w:color="auto"/>
                                              </w:divBdr>
                                              <w:divsChild>
                                                <w:div w:id="39207033">
                                                  <w:marLeft w:val="0"/>
                                                  <w:marRight w:val="0"/>
                                                  <w:marTop w:val="0"/>
                                                  <w:marBottom w:val="0"/>
                                                  <w:divBdr>
                                                    <w:top w:val="none" w:sz="0" w:space="0" w:color="auto"/>
                                                    <w:left w:val="none" w:sz="0" w:space="0" w:color="auto"/>
                                                    <w:bottom w:val="none" w:sz="0" w:space="0" w:color="auto"/>
                                                    <w:right w:val="none" w:sz="0" w:space="0" w:color="auto"/>
                                                  </w:divBdr>
                                                  <w:divsChild>
                                                    <w:div w:id="521746316">
                                                      <w:marLeft w:val="0"/>
                                                      <w:marRight w:val="0"/>
                                                      <w:marTop w:val="0"/>
                                                      <w:marBottom w:val="0"/>
                                                      <w:divBdr>
                                                        <w:top w:val="none" w:sz="0" w:space="0" w:color="auto"/>
                                                        <w:left w:val="none" w:sz="0" w:space="0" w:color="auto"/>
                                                        <w:bottom w:val="none" w:sz="0" w:space="0" w:color="auto"/>
                                                        <w:right w:val="none" w:sz="0" w:space="0" w:color="auto"/>
                                                      </w:divBdr>
                                                      <w:divsChild>
                                                        <w:div w:id="86967209">
                                                          <w:marLeft w:val="0"/>
                                                          <w:marRight w:val="0"/>
                                                          <w:marTop w:val="0"/>
                                                          <w:marBottom w:val="0"/>
                                                          <w:divBdr>
                                                            <w:top w:val="none" w:sz="0" w:space="0" w:color="auto"/>
                                                            <w:left w:val="none" w:sz="0" w:space="0" w:color="auto"/>
                                                            <w:bottom w:val="none" w:sz="0" w:space="0" w:color="auto"/>
                                                            <w:right w:val="none" w:sz="0" w:space="0" w:color="auto"/>
                                                          </w:divBdr>
                                                        </w:div>
                                                        <w:div w:id="498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4/05/1-GHG-Intensity-Limit.png" TargetMode="External"/><Relationship Id="rId13" Type="http://schemas.openxmlformats.org/officeDocument/2006/relationships/hyperlink" Target="https://safety4sea.com/wp-content/uploads/2024/05/4-Fuel-EU-Maritime-Timeline.jpg"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safety4sea.com/wp-content/uploads/2024/05/9-GHG-Target.png"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safety4sea.com/wp-content/uploads/2023/07/shutterstock_1801959820.jpg" TargetMode="External"/><Relationship Id="rId11" Type="http://schemas.openxmlformats.org/officeDocument/2006/relationships/hyperlink" Target="https://safety4sea.com/wp-content/uploads/2024/05/3-GHGH-Intensity-gco2eMJ-2-scaled.jpg" TargetMode="External"/><Relationship Id="rId24" Type="http://schemas.openxmlformats.org/officeDocument/2006/relationships/theme" Target="theme/theme1.xml"/><Relationship Id="rId5" Type="http://schemas.openxmlformats.org/officeDocument/2006/relationships/hyperlink" Target="https://safety4sea.com/author/stamatisfradelos/" TargetMode="External"/><Relationship Id="rId15" Type="http://schemas.openxmlformats.org/officeDocument/2006/relationships/hyperlink" Target="https://safety4sea.com/wp-content/uploads/2024/05/5-Daily-Compliance-Fuel-EU.pn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safety4sea.com/wp-content/uploads/2024/05/8-Daily-Compliance-LFO-fWind.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2024-07-19T00:49:00Z</dcterms:created>
  <dcterms:modified xsi:type="dcterms:W3CDTF">2024-07-20T10:28:00Z</dcterms:modified>
</cp:coreProperties>
</file>