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7C" w:rsidRPr="00316F7C" w:rsidRDefault="00316F7C" w:rsidP="00316F7C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Báo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cáo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toàn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cầu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năm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2024 </w:t>
      </w: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về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p</w:t>
      </w:r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hân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khúc</w:t>
      </w:r>
      <w:proofErr w:type="spellEnd"/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r w:rsidRPr="00316F7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LNG</w:t>
      </w:r>
    </w:p>
    <w:p w:rsidR="00316F7C" w:rsidRPr="00316F7C" w:rsidRDefault="00316F7C" w:rsidP="00316F7C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24"/>
          <w:szCs w:val="24"/>
        </w:rPr>
      </w:pPr>
      <w:r w:rsidRPr="00316F7C">
        <w:rPr>
          <w:rFonts w:ascii="Arial" w:eastAsia="Times New Roman" w:hAnsi="Arial" w:cs="Arial"/>
          <w:color w:val="002060"/>
          <w:sz w:val="24"/>
          <w:szCs w:val="24"/>
        </w:rPr>
        <w:t>Theo  </w:t>
      </w:r>
      <w:hyperlink r:id="rId4" w:history="1">
        <w:proofErr w:type="spellStart"/>
        <w:r w:rsidRPr="00316F7C">
          <w:rPr>
            <w:rFonts w:ascii="Arial" w:eastAsia="Times New Roman" w:hAnsi="Arial" w:cs="Arial"/>
            <w:b/>
            <w:bCs/>
            <w:color w:val="002060"/>
            <w:sz w:val="24"/>
            <w:szCs w:val="24"/>
          </w:rPr>
          <w:t>maritimecyprus</w:t>
        </w:r>
        <w:proofErr w:type="spellEnd"/>
      </w:hyperlink>
    </w:p>
    <w:p w:rsidR="00316F7C" w:rsidRPr="00316F7C" w:rsidRDefault="00316F7C" w:rsidP="00316F7C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316F7C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316F7C" w:rsidRPr="00316F7C" w:rsidRDefault="00316F7C" w:rsidP="00316F7C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bookmarkStart w:id="0" w:name="_GoBack"/>
      <w:r w:rsidRPr="00316F7C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851756" cy="2788920"/>
            <wp:effectExtent l="0" t="0" r="0" b="0"/>
            <wp:docPr id="5" name="Picture 5" descr="https://maritimecyprus.com/wp-content/uploads/2024/06/lng-report-2024-E-696x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6/lng-report-2024-E-696x3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031" cy="279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6F7C" w:rsidRPr="00316F7C" w:rsidRDefault="00316F7C" w:rsidP="00316F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LNG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ủa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IGU,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mặc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dù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giá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đã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thấp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hơn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nhưng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thị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LNG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toàn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cầu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vẫn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triển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bối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cảnh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nguồn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cung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hạn</w:t>
      </w:r>
      <w:proofErr w:type="spellEnd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b/>
          <w:sz w:val="24"/>
          <w:szCs w:val="24"/>
        </w:rPr>
        <w:t>chế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F7C" w:rsidRPr="00316F7C" w:rsidRDefault="00316F7C" w:rsidP="00316F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LNG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IGU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2,1%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2023,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vượt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401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tấn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(MT). Thị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xuất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51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loạn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manh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F7C" w:rsidRPr="00316F7C" w:rsidRDefault="00316F7C" w:rsidP="00316F7C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316F7C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210300" cy="3546664"/>
            <wp:effectExtent l="0" t="0" r="0" b="0"/>
            <wp:docPr id="4" name="Picture 4" descr="https://maritimecyprus.com/wp-content/uploads/2024/06/LNG-report-2024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24/06/LNG-report-2024-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717" cy="355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7C" w:rsidRPr="00316F7C" w:rsidRDefault="00316F7C" w:rsidP="00316F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LNG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đã</w:t>
      </w:r>
      <w:proofErr w:type="spellEnd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trở</w:t>
      </w:r>
      <w:proofErr w:type="spellEnd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thành</w:t>
      </w:r>
      <w:proofErr w:type="spellEnd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một</w:t>
      </w:r>
      <w:proofErr w:type="spellEnd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thành</w:t>
      </w:r>
      <w:proofErr w:type="spellEnd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proofErr w:type="spellEnd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quan</w:t>
      </w:r>
      <w:proofErr w:type="spellEnd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b/>
          <w:sz w:val="24"/>
          <w:szCs w:val="24"/>
        </w:rPr>
        <w:t>trọng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cậy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qua</w:t>
      </w:r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cacbon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chuỗi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xuất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tái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carbon,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e-methane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học, hay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biomethane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được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xuất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​​​​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</w:t>
      </w:r>
      <w:r w:rsidR="004321D9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21D9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21D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21D9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21D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21D9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21D9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="004321D9">
        <w:rPr>
          <w:rFonts w:ascii="Times New Roman" w:eastAsia="Times New Roman" w:hAnsi="Times New Roman" w:cs="Times New Roman"/>
          <w:sz w:val="24"/>
          <w:szCs w:val="24"/>
        </w:rPr>
        <w:t xml:space="preserve"> học </w:t>
      </w:r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được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bãi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chôn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lấp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thô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7C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316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F7C" w:rsidRPr="00316F7C" w:rsidRDefault="00316F7C" w:rsidP="00316F7C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316F7C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149340" cy="4351076"/>
            <wp:effectExtent l="0" t="0" r="3810" b="0"/>
            <wp:docPr id="3" name="Picture 3" descr="https://maritimecyprus.com/wp-content/uploads/2024/06/LNG-report-2024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24/06/LNG-report-2024-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293" cy="436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D9" w:rsidRPr="004321D9" w:rsidRDefault="004321D9" w:rsidP="004321D9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sz w:val="24"/>
          <w:szCs w:val="24"/>
        </w:rPr>
      </w:pP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Tăng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trưởng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công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suất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tiếp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nhận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đã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định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hình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sự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phát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triển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của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thị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trường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trong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24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tháng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qua,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đạt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mức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ấn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tượng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là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1.029,9 MTPA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trên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47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thị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trường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vào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cuối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tháng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2024,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tăng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thêm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gần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70 MTPA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vào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2023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trở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thành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lượng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bổ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sung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mới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cao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nhất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kể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từ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2010.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Châu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Âu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mức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bổ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sung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lớn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nhất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30 MTPA,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tiếp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theo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26,9 MTPA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của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Châu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Á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13 MTPA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của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Châu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Á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Thái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Bình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Dương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. Philippines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Việt Nam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lần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đầu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tiên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gia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nhập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câu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lạc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bộ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các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nhập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khẩu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vào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2023</w:t>
      </w:r>
    </w:p>
    <w:p w:rsidR="004321D9" w:rsidRPr="004321D9" w:rsidRDefault="004321D9" w:rsidP="004321D9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sz w:val="24"/>
          <w:szCs w:val="24"/>
        </w:rPr>
      </w:pP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Nguồn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cung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vẫn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bị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hạn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chế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chỉ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tăng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0,8% so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với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cùng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kỳ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từ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việc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bổ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sung 3,8 MTPA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của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Indonesia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tại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Tangguh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LNG.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Tuy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nhiên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công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suất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hóa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lỏng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toàn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cầu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có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khả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tăng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lên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hơn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700 MTPA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vào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2030, do FID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mới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khởi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động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các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dự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án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hiện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đang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được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xây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dựng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để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hỗ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trợ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cầu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ngày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càng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tăng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đặc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biệt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ở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các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thị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trường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châu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Á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đang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phát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triển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nơi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mà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việc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chuyển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đổi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từ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than sang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khí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đốt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quá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trình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loại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bỏ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cacbon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quan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trọng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chiến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lược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cải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thiện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chất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lượng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không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khí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>.</w:t>
      </w:r>
    </w:p>
    <w:p w:rsidR="004321D9" w:rsidRPr="00316F7C" w:rsidRDefault="004321D9" w:rsidP="004321D9">
      <w:pPr>
        <w:spacing w:before="120" w:after="120" w:line="240" w:lineRule="auto"/>
        <w:jc w:val="both"/>
        <w:rPr>
          <w:rFonts w:ascii="Merriweather Sans" w:eastAsia="Times New Roman" w:hAnsi="Merriweather Sans" w:cs="Times New Roman"/>
          <w:sz w:val="24"/>
          <w:szCs w:val="24"/>
        </w:rPr>
      </w:pPr>
      <w:r w:rsidRPr="004321D9">
        <w:rPr>
          <w:rFonts w:ascii="Merriweather Sans" w:eastAsia="Times New Roman" w:hAnsi="Merriweather Sans" w:cs="Times New Roman"/>
          <w:sz w:val="24"/>
          <w:szCs w:val="24"/>
        </w:rPr>
        <w:lastRenderedPageBreak/>
        <w:t xml:space="preserve">Xuất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khẩu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LNG do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Mỹ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thống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trị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quốc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gia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này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trở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thành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sản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xuất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xuất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khẩu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lớn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nhất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(84,53</w:t>
      </w:r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triệu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tấn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2023 so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với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75,63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triệu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tấn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năm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2022),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tiếp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theo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là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Úc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(79,56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triệu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tấn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), Qatar (78,22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triệu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tấn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)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và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 w:rsidRPr="004321D9">
        <w:rPr>
          <w:rFonts w:ascii="Merriweather Sans" w:eastAsia="Times New Roman" w:hAnsi="Merriweather Sans" w:cs="Times New Roman"/>
          <w:sz w:val="24"/>
          <w:szCs w:val="24"/>
        </w:rPr>
        <w:t>Nga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 xml:space="preserve"> (31,36</w:t>
      </w:r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triệu</w:t>
      </w:r>
      <w:proofErr w:type="spellEnd"/>
      <w:r>
        <w:rPr>
          <w:rFonts w:ascii="Merriweather Sans" w:eastAsia="Times New Roman" w:hAnsi="Merriweather Sans" w:cs="Times New Roman"/>
          <w:sz w:val="24"/>
          <w:szCs w:val="24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sz w:val="24"/>
          <w:szCs w:val="24"/>
        </w:rPr>
        <w:t>tấn</w:t>
      </w:r>
      <w:proofErr w:type="spellEnd"/>
      <w:r w:rsidRPr="004321D9">
        <w:rPr>
          <w:rFonts w:ascii="Merriweather Sans" w:eastAsia="Times New Roman" w:hAnsi="Merriweather Sans" w:cs="Times New Roman"/>
          <w:sz w:val="24"/>
          <w:szCs w:val="24"/>
        </w:rPr>
        <w:t>).</w:t>
      </w:r>
    </w:p>
    <w:p w:rsidR="00316F7C" w:rsidRPr="00316F7C" w:rsidRDefault="00316F7C" w:rsidP="00316F7C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316F7C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35040" cy="4252464"/>
            <wp:effectExtent l="0" t="0" r="3810" b="0"/>
            <wp:docPr id="2" name="Picture 2" descr="https://maritimecyprus.com/wp-content/uploads/2024/06/LNG-report-2024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ritimecyprus.com/wp-content/uploads/2024/06/LNG-report-2024-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52" cy="426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D9" w:rsidRPr="004321D9" w:rsidRDefault="004321D9" w:rsidP="004321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​​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Á,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Platts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JKM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13,86 USD/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mmBtu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khủng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hoảng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71,19 </w:t>
      </w:r>
      <w:proofErr w:type="spellStart"/>
      <w:r w:rsidR="00C95307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tấn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Hàn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dù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Ấn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củng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121,29 </w:t>
      </w:r>
      <w:proofErr w:type="spellStart"/>
      <w:r w:rsidR="00C95307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tấn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nửa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đốt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Á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Âu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21D9" w:rsidRPr="00316F7C" w:rsidRDefault="004321D9" w:rsidP="004321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Thị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chóng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đốt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chơi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9530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530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321D9">
        <w:rPr>
          <w:rFonts w:ascii="Times New Roman" w:eastAsia="Times New Roman" w:hAnsi="Times New Roman" w:cs="Times New Roman"/>
          <w:sz w:val="24"/>
          <w:szCs w:val="24"/>
        </w:rPr>
        <w:t>ăm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2023,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180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35%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21D9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432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F7C" w:rsidRPr="00316F7C" w:rsidRDefault="00316F7C" w:rsidP="00316F7C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316F7C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5897880" cy="4173151"/>
            <wp:effectExtent l="0" t="0" r="7620" b="0"/>
            <wp:docPr id="1" name="Picture 1" descr="https://maritimecyprus.com/wp-content/uploads/2024/06/LNG-report-2024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itimecyprus.com/wp-content/uploads/2024/06/LNG-report-2024-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546" cy="417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07" w:rsidRPr="00C95307" w:rsidRDefault="00C95307" w:rsidP="00C953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manh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chắn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Biden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LNG phi FTA,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hoãn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70 MTPA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trừng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​​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20 MTPA;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Ukraine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đốt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2024;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nghẽn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mỏ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đốt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suy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120 MTPA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xuất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thượng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đòi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307" w:rsidRPr="00316F7C" w:rsidRDefault="00C95307" w:rsidP="00C953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nhấp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LNG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30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C95307">
        <w:rPr>
          <w:rFonts w:ascii="Times New Roman" w:eastAsia="Times New Roman" w:hAnsi="Times New Roman" w:cs="Times New Roman"/>
          <w:sz w:val="24"/>
          <w:szCs w:val="24"/>
        </w:rPr>
        <w:t xml:space="preserve"> 2024:</w:t>
      </w:r>
    </w:p>
    <w:p w:rsidR="00C95307" w:rsidRDefault="00C95307" w:rsidP="00C95307">
      <w:pPr>
        <w:spacing w:before="120" w:after="120" w:line="450" w:lineRule="atLeast"/>
        <w:outlineLvl w:val="2"/>
        <w:rPr>
          <w:rFonts w:ascii="Arial" w:eastAsia="Times New Roman" w:hAnsi="Arial" w:cs="Arial"/>
          <w:color w:val="222222"/>
          <w:sz w:val="24"/>
          <w:szCs w:val="24"/>
        </w:rPr>
      </w:pPr>
      <w:hyperlink r:id="rId10" w:history="1">
        <w:r w:rsidRPr="00C95307">
          <w:rPr>
            <w:rStyle w:val="Hyperlink"/>
            <w:rFonts w:ascii="Arial" w:eastAsia="Times New Roman" w:hAnsi="Arial" w:cs="Arial"/>
            <w:sz w:val="24"/>
            <w:szCs w:val="24"/>
          </w:rPr>
          <w:t>https://maritimecyprus.com/wp-content/uploads/2024/06/IGU-2024-LNG-Report_c.pdf</w:t>
        </w:r>
      </w:hyperlink>
    </w:p>
    <w:p w:rsidR="00C95307" w:rsidRPr="00C95307" w:rsidRDefault="00C95307" w:rsidP="00C95307">
      <w:pPr>
        <w:spacing w:before="120" w:after="120" w:line="450" w:lineRule="atLeast"/>
        <w:jc w:val="center"/>
        <w:outlineLvl w:val="2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</w:t>
      </w:r>
    </w:p>
    <w:p w:rsidR="00C95307" w:rsidRPr="00316F7C" w:rsidRDefault="00C95307" w:rsidP="00316F7C">
      <w:pPr>
        <w:spacing w:before="405" w:after="255" w:line="450" w:lineRule="atLeast"/>
        <w:outlineLvl w:val="2"/>
        <w:rPr>
          <w:rFonts w:ascii="Arial" w:eastAsia="Times New Roman" w:hAnsi="Arial" w:cs="Arial"/>
          <w:color w:val="222222"/>
          <w:sz w:val="33"/>
          <w:szCs w:val="33"/>
        </w:rPr>
      </w:pPr>
    </w:p>
    <w:p w:rsidR="002D2D45" w:rsidRDefault="002D2D45"/>
    <w:sectPr w:rsidR="002D2D45" w:rsidSect="00316F7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7C"/>
    <w:rsid w:val="002D2D45"/>
    <w:rsid w:val="00316F7C"/>
    <w:rsid w:val="004321D9"/>
    <w:rsid w:val="00C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EE4B"/>
  <w15:chartTrackingRefBased/>
  <w15:docId w15:val="{6B0A6B69-357E-4E9D-8DB0-7EA1061E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16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16F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16F7C"/>
    <w:rPr>
      <w:color w:val="0000FF"/>
      <w:u w:val="single"/>
    </w:rPr>
  </w:style>
  <w:style w:type="character" w:customStyle="1" w:styleId="td-post-date">
    <w:name w:val="td-post-date"/>
    <w:basedOn w:val="DefaultParagraphFont"/>
    <w:rsid w:val="00316F7C"/>
  </w:style>
  <w:style w:type="character" w:customStyle="1" w:styleId="td-nr-views-38180">
    <w:name w:val="td-nr-views-38180"/>
    <w:basedOn w:val="DefaultParagraphFont"/>
    <w:rsid w:val="00316F7C"/>
  </w:style>
  <w:style w:type="paragraph" w:styleId="NormalWeb">
    <w:name w:val="Normal (Web)"/>
    <w:basedOn w:val="Normal"/>
    <w:uiPriority w:val="99"/>
    <w:semiHidden/>
    <w:unhideWhenUsed/>
    <w:rsid w:val="0031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112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9034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800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04117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aritimecyprus.com/wp-content/uploads/2024/06/IGU-2024-LNG-Report_c.pdf" TargetMode="External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2024-07-07T10:12:00Z</dcterms:created>
  <dcterms:modified xsi:type="dcterms:W3CDTF">2024-07-07T10:54:00Z</dcterms:modified>
</cp:coreProperties>
</file>