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FD" w:rsidRPr="003572FD" w:rsidRDefault="003572FD" w:rsidP="003572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bookmarkStart w:id="0" w:name="_GoBack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sỹ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quan</w:t>
      </w:r>
      <w:proofErr w:type="spellEnd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boong</w:t>
      </w:r>
      <w:proofErr w:type="spellEnd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phải</w:t>
      </w:r>
      <w:proofErr w:type="spellEnd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biết</w:t>
      </w:r>
      <w:proofErr w:type="spellEnd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khi</w:t>
      </w:r>
      <w:proofErr w:type="spellEnd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vận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chuyển</w:t>
      </w:r>
      <w:proofErr w:type="spellEnd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hàng</w:t>
      </w:r>
      <w:proofErr w:type="spellEnd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IMDG được </w:t>
      </w:r>
      <w:proofErr w:type="spellStart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đóng</w:t>
      </w:r>
      <w:proofErr w:type="spellEnd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bao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572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gói</w:t>
      </w:r>
      <w:proofErr w:type="spellEnd"/>
    </w:p>
    <w:bookmarkEnd w:id="0"/>
    <w:p w:rsidR="003572FD" w:rsidRPr="003572FD" w:rsidRDefault="003572FD" w:rsidP="003572FD">
      <w:pPr>
        <w:spacing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572FD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Theo </w:t>
      </w:r>
      <w:hyperlink r:id="rId5" w:history="1">
        <w:proofErr w:type="spellStart"/>
        <w:r w:rsidRPr="003572F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</w:rPr>
          <w:t>KaranC</w:t>
        </w:r>
        <w:proofErr w:type="spellEnd"/>
      </w:hyperlink>
    </w:p>
    <w:p w:rsidR="003572FD" w:rsidRPr="003572FD" w:rsidRDefault="003572FD" w:rsidP="003572FD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hyperlink r:id="rId6" w:tgtFrame="_blank" w:history="1">
        <w:proofErr w:type="spellStart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Bộ</w:t>
        </w:r>
        <w:proofErr w:type="spellEnd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luật</w:t>
        </w:r>
        <w:proofErr w:type="spellEnd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vận</w:t>
        </w:r>
        <w:proofErr w:type="spellEnd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chuyển</w:t>
        </w:r>
        <w:proofErr w:type="spellEnd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hàng</w:t>
        </w:r>
        <w:proofErr w:type="spellEnd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nguy</w:t>
        </w:r>
        <w:proofErr w:type="spellEnd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hiểm</w:t>
        </w:r>
        <w:proofErr w:type="spellEnd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bằng</w:t>
        </w:r>
        <w:proofErr w:type="spellEnd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đường</w:t>
        </w:r>
        <w:proofErr w:type="spellEnd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biển</w:t>
        </w:r>
        <w:proofErr w:type="spellEnd"/>
        <w:r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572F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(IMDG Code</w:t>
        </w:r>
      </w:hyperlink>
      <w:r>
        <w:rPr>
          <w:rFonts w:ascii="Arial" w:eastAsia="Times New Roman" w:hAnsi="Arial" w:cs="Arial"/>
          <w:color w:val="2D3748"/>
          <w:sz w:val="24"/>
          <w:szCs w:val="24"/>
        </w:rPr>
        <w:t xml:space="preserve">)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quy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định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cụ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thể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và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đưa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ra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các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tiêu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chuẩn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và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quy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định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đối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với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các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tàu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chở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các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loại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nguy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hiểm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khác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nhau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.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Bộ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luật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này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được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thực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hiện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nhằm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ngăn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ngừa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tai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nạn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cháy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>/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nổ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và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đảm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bảo an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toàn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tối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cho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tàu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và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thủy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thủ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đoàn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khi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vận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chuyển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nguy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hiểm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trên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tàu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>.</w:t>
      </w:r>
    </w:p>
    <w:p w:rsidR="003572FD" w:rsidRPr="003572FD" w:rsidRDefault="003572FD" w:rsidP="003572FD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Là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sĩ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quan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boong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phụ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trách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việc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bốc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>/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dỡ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hóa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và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an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toàn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chung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của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hóa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khi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chúng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được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vận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chuyển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trên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tàu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,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anh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ta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phải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biết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những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điểm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sau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để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tránh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bất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kỳ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loại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tai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nạn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nào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có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thể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gây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ra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do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loại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hóa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nhạy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cảm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này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>.</w:t>
      </w:r>
    </w:p>
    <w:p w:rsidR="003572FD" w:rsidRPr="003572FD" w:rsidRDefault="003572FD" w:rsidP="003572FD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3572FD">
        <w:rPr>
          <w:rFonts w:ascii="Segoe UI" w:eastAsia="Times New Roman" w:hAnsi="Segoe UI" w:cs="Segoe UI"/>
          <w:b/>
          <w:sz w:val="24"/>
          <w:szCs w:val="24"/>
        </w:rPr>
        <w:t xml:space="preserve">1. </w:t>
      </w:r>
      <w:proofErr w:type="spellStart"/>
      <w:r w:rsidRPr="003572FD">
        <w:rPr>
          <w:rFonts w:ascii="Segoe UI" w:eastAsia="Times New Roman" w:hAnsi="Segoe UI" w:cs="Segoe UI"/>
          <w:b/>
          <w:sz w:val="24"/>
          <w:szCs w:val="24"/>
        </w:rPr>
        <w:t>Biết</w:t>
      </w:r>
      <w:proofErr w:type="spellEnd"/>
      <w:r w:rsidRPr="003572FD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b/>
          <w:sz w:val="24"/>
          <w:szCs w:val="24"/>
        </w:rPr>
        <w:t>phân</w:t>
      </w:r>
      <w:proofErr w:type="spellEnd"/>
      <w:r w:rsidRPr="003572FD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b/>
          <w:sz w:val="24"/>
          <w:szCs w:val="24"/>
        </w:rPr>
        <w:t>loại</w:t>
      </w:r>
      <w:proofErr w:type="spellEnd"/>
      <w:r w:rsidRPr="003572FD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b/>
          <w:sz w:val="24"/>
          <w:szCs w:val="24"/>
        </w:rPr>
        <w:t>hàng</w:t>
      </w:r>
      <w:proofErr w:type="spellEnd"/>
      <w:r w:rsidRPr="003572FD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b/>
          <w:sz w:val="24"/>
          <w:szCs w:val="24"/>
        </w:rPr>
        <w:t>nguy</w:t>
      </w:r>
      <w:proofErr w:type="spellEnd"/>
      <w:r w:rsidRPr="003572FD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b/>
          <w:sz w:val="24"/>
          <w:szCs w:val="24"/>
        </w:rPr>
        <w:t>hiểm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: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nguy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hiểm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được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phân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thành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nhiều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nhóm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nhỏ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khác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nhau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để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lập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sơ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đồ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xếp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phù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hợp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với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yêu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cầu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của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hóa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.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Việc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này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tránh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được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những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sai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sót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và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có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những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hành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động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phòng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ngừa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thích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hợp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có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thể được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thực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hiện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trong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trường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hợp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xảy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ra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bất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kỳ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sự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cố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hoặc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tai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nạn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3572FD">
        <w:rPr>
          <w:rFonts w:ascii="Segoe UI" w:eastAsia="Times New Roman" w:hAnsi="Segoe UI" w:cs="Segoe UI"/>
          <w:sz w:val="24"/>
          <w:szCs w:val="24"/>
        </w:rPr>
        <w:t>nào</w:t>
      </w:r>
      <w:proofErr w:type="spellEnd"/>
      <w:r w:rsidRPr="003572FD">
        <w:rPr>
          <w:rFonts w:ascii="Segoe UI" w:eastAsia="Times New Roman" w:hAnsi="Segoe UI" w:cs="Segoe UI"/>
          <w:sz w:val="24"/>
          <w:szCs w:val="24"/>
        </w:rPr>
        <w:t>.</w:t>
      </w:r>
    </w:p>
    <w:p w:rsidR="003572FD" w:rsidRPr="003572FD" w:rsidRDefault="003572FD" w:rsidP="003572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3572FD">
        <w:rPr>
          <w:rFonts w:ascii="Segoe UI" w:eastAsia="Times New Roman" w:hAnsi="Segoe UI" w:cs="Segoe UI"/>
          <w:noProof/>
          <w:color w:val="0000FF"/>
          <w:sz w:val="27"/>
          <w:szCs w:val="27"/>
        </w:rPr>
        <w:drawing>
          <wp:inline distT="0" distB="0" distL="0" distR="0">
            <wp:extent cx="5966460" cy="3977640"/>
            <wp:effectExtent l="0" t="0" r="0" b="3810"/>
            <wp:docPr id="2" name="Picture 2" descr="ship fi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p fi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FD" w:rsidRPr="00045DE6" w:rsidRDefault="003572FD" w:rsidP="003572FD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IMDG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thường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được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phân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loại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thành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>:</w:t>
      </w:r>
    </w:p>
    <w:p w:rsidR="003572FD" w:rsidRPr="00045DE6" w:rsidRDefault="003572FD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Chất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nổ</w:t>
      </w:r>
      <w:proofErr w:type="spellEnd"/>
    </w:p>
    <w:p w:rsidR="003572FD" w:rsidRPr="00045DE6" w:rsidRDefault="003572FD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Khí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dễ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cháy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>/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không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cháy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>/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độc</w:t>
      </w:r>
      <w:proofErr w:type="spellEnd"/>
    </w:p>
    <w:p w:rsidR="003572FD" w:rsidRPr="00045DE6" w:rsidRDefault="003572FD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Chất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lỏng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dễ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cháy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>-</w:t>
      </w:r>
      <w:r w:rsidR="0092175C"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92175C" w:rsidRPr="00045DE6">
        <w:rPr>
          <w:rFonts w:ascii="Segoe UI" w:eastAsia="Times New Roman" w:hAnsi="Segoe UI" w:cs="Segoe UI"/>
          <w:sz w:val="24"/>
          <w:szCs w:val="24"/>
        </w:rPr>
        <w:t>có</w:t>
      </w:r>
      <w:proofErr w:type="spellEnd"/>
      <w:r w:rsidR="0092175C"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92175C" w:rsidRPr="00045DE6">
        <w:rPr>
          <w:rFonts w:ascii="Segoe UI" w:eastAsia="Times New Roman" w:hAnsi="Segoe UI" w:cs="Segoe UI"/>
          <w:sz w:val="24"/>
          <w:szCs w:val="24"/>
        </w:rPr>
        <w:t>nhiệt</w:t>
      </w:r>
      <w:proofErr w:type="spellEnd"/>
      <w:r w:rsidR="0092175C"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92175C" w:rsidRPr="00045DE6">
        <w:rPr>
          <w:rFonts w:ascii="Segoe UI" w:eastAsia="Times New Roman" w:hAnsi="Segoe UI" w:cs="Segoe UI"/>
          <w:sz w:val="24"/>
          <w:szCs w:val="24"/>
        </w:rPr>
        <w:t>độ</w:t>
      </w:r>
      <w:proofErr w:type="spellEnd"/>
      <w:r w:rsidR="0092175C"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92175C" w:rsidRPr="00045DE6">
        <w:rPr>
          <w:rFonts w:ascii="Segoe UI" w:eastAsia="Times New Roman" w:hAnsi="Segoe UI" w:cs="Segoe UI"/>
          <w:sz w:val="24"/>
          <w:szCs w:val="24"/>
        </w:rPr>
        <w:t>bắt</w:t>
      </w:r>
      <w:proofErr w:type="spellEnd"/>
      <w:r w:rsidR="0092175C"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92175C" w:rsidRPr="00045DE6">
        <w:rPr>
          <w:rFonts w:ascii="Segoe UI" w:eastAsia="Times New Roman" w:hAnsi="Segoe UI" w:cs="Segoe UI"/>
          <w:sz w:val="24"/>
          <w:szCs w:val="24"/>
        </w:rPr>
        <w:t>lửa</w:t>
      </w:r>
      <w:proofErr w:type="spellEnd"/>
      <w:r w:rsidR="0092175C" w:rsidRPr="00045DE6">
        <w:rPr>
          <w:rFonts w:ascii="Segoe UI" w:eastAsia="Times New Roman" w:hAnsi="Segoe UI" w:cs="Segoe UI"/>
          <w:sz w:val="24"/>
          <w:szCs w:val="24"/>
        </w:rPr>
        <w:t xml:space="preserve"> (</w:t>
      </w:r>
      <w:r w:rsidRPr="00045DE6">
        <w:rPr>
          <w:rFonts w:ascii="Segoe UI" w:eastAsia="Times New Roman" w:hAnsi="Segoe UI" w:cs="Segoe UI"/>
          <w:sz w:val="24"/>
          <w:szCs w:val="24"/>
        </w:rPr>
        <w:t>FP</w:t>
      </w:r>
      <w:r w:rsidR="0092175C" w:rsidRPr="00045DE6">
        <w:rPr>
          <w:rFonts w:ascii="Segoe UI" w:eastAsia="Times New Roman" w:hAnsi="Segoe UI" w:cs="Segoe UI"/>
          <w:sz w:val="24"/>
          <w:szCs w:val="24"/>
        </w:rPr>
        <w:t>)</w:t>
      </w:r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thấp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/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trung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bình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/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cao</w:t>
      </w:r>
      <w:proofErr w:type="spellEnd"/>
    </w:p>
    <w:p w:rsidR="003572FD" w:rsidRPr="00045DE6" w:rsidRDefault="003572FD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lastRenderedPageBreak/>
        <w:t>Chất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rắn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dễ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cháy</w:t>
      </w:r>
      <w:proofErr w:type="spellEnd"/>
    </w:p>
    <w:p w:rsidR="003572FD" w:rsidRPr="00045DE6" w:rsidRDefault="003572FD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Các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chất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có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khả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năng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tự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bốc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cháy</w:t>
      </w:r>
      <w:proofErr w:type="spellEnd"/>
    </w:p>
    <w:p w:rsidR="003572FD" w:rsidRPr="00045DE6" w:rsidRDefault="003572FD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tạo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ra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khí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dễ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cháy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92175C" w:rsidRPr="00045DE6">
        <w:rPr>
          <w:rFonts w:ascii="Segoe UI" w:eastAsia="Times New Roman" w:hAnsi="Segoe UI" w:cs="Segoe UI"/>
          <w:sz w:val="24"/>
          <w:szCs w:val="24"/>
        </w:rPr>
        <w:t>khi</w:t>
      </w:r>
      <w:proofErr w:type="spellEnd"/>
      <w:r w:rsidR="0092175C"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92175C" w:rsidRPr="00045DE6">
        <w:rPr>
          <w:rFonts w:ascii="Segoe UI" w:eastAsia="Times New Roman" w:hAnsi="Segoe UI" w:cs="Segoe UI"/>
          <w:sz w:val="24"/>
          <w:szCs w:val="24"/>
        </w:rPr>
        <w:t>tiếp</w:t>
      </w:r>
      <w:proofErr w:type="spellEnd"/>
      <w:r w:rsidR="0092175C"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92175C" w:rsidRPr="00045DE6">
        <w:rPr>
          <w:rFonts w:ascii="Segoe UI" w:eastAsia="Times New Roman" w:hAnsi="Segoe UI" w:cs="Segoe UI"/>
          <w:sz w:val="24"/>
          <w:szCs w:val="24"/>
        </w:rPr>
        <w:t>xúc</w:t>
      </w:r>
      <w:proofErr w:type="spellEnd"/>
      <w:r w:rsidR="0092175C"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với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nước</w:t>
      </w:r>
      <w:proofErr w:type="spellEnd"/>
    </w:p>
    <w:p w:rsidR="003572FD" w:rsidRPr="00045DE6" w:rsidRDefault="003572FD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Chất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phóng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xạ</w:t>
      </w:r>
      <w:proofErr w:type="spellEnd"/>
    </w:p>
    <w:p w:rsidR="003572FD" w:rsidRPr="00045DE6" w:rsidRDefault="003572FD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Chất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ăn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mòn</w:t>
      </w:r>
      <w:proofErr w:type="spellEnd"/>
    </w:p>
    <w:p w:rsidR="003572FD" w:rsidRPr="00045DE6" w:rsidRDefault="003572FD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Các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chất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nguy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hiểm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khác</w:t>
      </w:r>
      <w:proofErr w:type="spellEnd"/>
    </w:p>
    <w:p w:rsidR="003572FD" w:rsidRPr="003572FD" w:rsidRDefault="003572FD" w:rsidP="003572FD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Kiểm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tra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việc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phân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loại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nguy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hiểm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tại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đây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>.</w:t>
      </w:r>
    </w:p>
    <w:p w:rsidR="003572FD" w:rsidRPr="003572FD" w:rsidRDefault="003572FD" w:rsidP="0092175C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2D3748"/>
          <w:sz w:val="24"/>
          <w:szCs w:val="24"/>
        </w:rPr>
      </w:pPr>
      <w:hyperlink r:id="rId9" w:tgtFrame="_blank" w:history="1">
        <w:proofErr w:type="spellStart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Kiểm</w:t>
        </w:r>
        <w:proofErr w:type="spellEnd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tra</w:t>
        </w:r>
        <w:proofErr w:type="spellEnd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việc</w:t>
        </w:r>
        <w:proofErr w:type="spellEnd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phân</w:t>
        </w:r>
        <w:proofErr w:type="spellEnd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loại</w:t>
        </w:r>
        <w:proofErr w:type="spellEnd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hàng</w:t>
        </w:r>
        <w:proofErr w:type="spellEnd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nguy</w:t>
        </w:r>
        <w:proofErr w:type="spellEnd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hiểm</w:t>
        </w:r>
        <w:proofErr w:type="spellEnd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tại</w:t>
        </w:r>
        <w:proofErr w:type="spellEnd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92175C"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đây</w:t>
        </w:r>
        <w:proofErr w:type="spellEnd"/>
        <w:r w:rsidRPr="00045DE6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.</w:t>
        </w:r>
      </w:hyperlink>
    </w:p>
    <w:p w:rsidR="0092175C" w:rsidRPr="00045DE6" w:rsidRDefault="0092175C" w:rsidP="0092175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r w:rsidRPr="00045DE6">
        <w:rPr>
          <w:rFonts w:ascii="Segoe UI" w:eastAsia="Times New Roman" w:hAnsi="Segoe UI" w:cs="Segoe UI"/>
          <w:sz w:val="24"/>
          <w:szCs w:val="24"/>
        </w:rPr>
        <w:t xml:space="preserve">2.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Kiểm</w:t>
      </w:r>
      <w:proofErr w:type="spellEnd"/>
      <w:r w:rsidRPr="00045DE6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tra</w:t>
      </w:r>
      <w:proofErr w:type="spellEnd"/>
      <w:r w:rsidRPr="00045DE6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việc</w:t>
      </w:r>
      <w:proofErr w:type="spellEnd"/>
      <w:r w:rsidRPr="00045DE6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đóng</w:t>
      </w:r>
      <w:proofErr w:type="spellEnd"/>
      <w:r w:rsidRPr="00045DE6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gói</w:t>
      </w:r>
      <w:proofErr w:type="spellEnd"/>
      <w:r w:rsidRPr="00045DE6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hóa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có</w:t>
      </w:r>
      <w:proofErr w:type="spellEnd"/>
      <w:r w:rsidRPr="00045DE6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đúng</w:t>
      </w:r>
      <w:proofErr w:type="spellEnd"/>
      <w:r w:rsidRPr="00045DE6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cách</w:t>
      </w:r>
      <w:proofErr w:type="spellEnd"/>
      <w:r w:rsidRPr="00045DE6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b/>
          <w:sz w:val="24"/>
          <w:szCs w:val="24"/>
        </w:rPr>
        <w:t>không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: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Nếu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IMDG được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xếp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trong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một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kiện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,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hãy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đảm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bảo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kiểm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tra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>:</w:t>
      </w:r>
    </w:p>
    <w:p w:rsidR="0092175C" w:rsidRPr="00045DE6" w:rsidRDefault="0092175C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Nếu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có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v</w:t>
      </w:r>
      <w:r w:rsidRPr="00045DE6">
        <w:rPr>
          <w:rFonts w:ascii="Segoe UI" w:eastAsia="Times New Roman" w:hAnsi="Segoe UI" w:cs="Segoe UI"/>
          <w:sz w:val="24"/>
          <w:szCs w:val="24"/>
        </w:rPr>
        <w:t>ật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liệu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hấp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thụ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hoặc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đệm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lót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045DE6">
        <w:rPr>
          <w:rFonts w:ascii="Segoe UI" w:eastAsia="Times New Roman" w:hAnsi="Segoe UI" w:cs="Segoe UI"/>
          <w:sz w:val="24"/>
          <w:szCs w:val="24"/>
        </w:rPr>
        <w:t xml:space="preserve">được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sử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dụng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với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kiện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chứa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lỏng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,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thì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vật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liệu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này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phải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có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khả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năng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hấp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thụ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045DE6">
        <w:rPr>
          <w:rFonts w:ascii="Segoe UI" w:eastAsia="Times New Roman" w:hAnsi="Segoe UI" w:cs="Segoe UI"/>
          <w:sz w:val="24"/>
          <w:szCs w:val="24"/>
        </w:rPr>
        <w:t xml:space="preserve">được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chất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lỏng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đó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trong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trường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hợp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rò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rỉ</w:t>
      </w:r>
      <w:proofErr w:type="spellEnd"/>
    </w:p>
    <w:p w:rsidR="0092175C" w:rsidRPr="00045DE6" w:rsidRDefault="0092175C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Kiện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được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giữ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đủ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khoảng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trống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nếu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được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vận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chuyển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là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lỏng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để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chống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tràn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do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dãn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nở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khi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gặp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nhiệt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độ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cao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>.</w:t>
      </w:r>
    </w:p>
    <w:p w:rsidR="0092175C" w:rsidRPr="00045DE6" w:rsidRDefault="0092175C" w:rsidP="0092175C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Tất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cả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các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045DE6">
        <w:rPr>
          <w:rFonts w:ascii="Segoe UI" w:eastAsia="Times New Roman" w:hAnsi="Segoe UI" w:cs="Segoe UI"/>
          <w:sz w:val="24"/>
          <w:szCs w:val="24"/>
        </w:rPr>
        <w:t>chai</w:t>
      </w:r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chứa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hàng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IMDG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đều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phải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045DE6">
        <w:rPr>
          <w:rFonts w:ascii="Segoe UI" w:eastAsia="Times New Roman" w:hAnsi="Segoe UI" w:cs="Segoe UI"/>
          <w:sz w:val="24"/>
          <w:szCs w:val="24"/>
        </w:rPr>
        <w:t xml:space="preserve">được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kiểm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tra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áp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suất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và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được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chứng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nhận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là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sử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045DE6">
        <w:rPr>
          <w:rFonts w:ascii="Segoe UI" w:eastAsia="Times New Roman" w:hAnsi="Segoe UI" w:cs="Segoe UI"/>
          <w:sz w:val="24"/>
          <w:szCs w:val="24"/>
        </w:rPr>
        <w:t>dụng</w:t>
      </w:r>
      <w:proofErr w:type="spellEnd"/>
      <w:r w:rsidRPr="00045DE6">
        <w:rPr>
          <w:rFonts w:ascii="Segoe UI" w:eastAsia="Times New Roman" w:hAnsi="Segoe UI" w:cs="Segoe UI"/>
          <w:sz w:val="24"/>
          <w:szCs w:val="24"/>
        </w:rPr>
        <w:t xml:space="preserve"> được</w:t>
      </w:r>
    </w:p>
    <w:p w:rsidR="003572FD" w:rsidRDefault="003572FD" w:rsidP="003572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3572FD">
        <w:rPr>
          <w:rFonts w:ascii="Segoe UI" w:eastAsia="Times New Roman" w:hAnsi="Segoe UI" w:cs="Segoe UI"/>
          <w:noProof/>
          <w:color w:val="0000FF"/>
          <w:sz w:val="27"/>
          <w:szCs w:val="27"/>
        </w:rPr>
        <w:drawing>
          <wp:inline distT="0" distB="0" distL="0" distR="0">
            <wp:extent cx="5966460" cy="4004158"/>
            <wp:effectExtent l="0" t="0" r="0" b="0"/>
            <wp:docPr id="1" name="Picture 1" descr="ship fir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ip fir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272" cy="400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5C" w:rsidRPr="0092175C" w:rsidRDefault="0092175C" w:rsidP="0092175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75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3. </w:t>
      </w:r>
      <w:proofErr w:type="spellStart"/>
      <w:r w:rsidRPr="0092175C">
        <w:rPr>
          <w:rFonts w:ascii="Times New Roman" w:eastAsia="Times New Roman" w:hAnsi="Times New Roman" w:cs="Times New Roman"/>
          <w:b/>
          <w:sz w:val="26"/>
          <w:szCs w:val="26"/>
        </w:rPr>
        <w:t>Biết</w:t>
      </w:r>
      <w:proofErr w:type="spellEnd"/>
      <w:r w:rsidRPr="009217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được </w:t>
      </w:r>
      <w:proofErr w:type="spellStart"/>
      <w:r w:rsidRPr="0092175C">
        <w:rPr>
          <w:rFonts w:ascii="Times New Roman" w:eastAsia="Times New Roman" w:hAnsi="Times New Roman" w:cs="Times New Roman"/>
          <w:b/>
          <w:sz w:val="26"/>
          <w:szCs w:val="26"/>
        </w:rPr>
        <w:t>nhóm</w:t>
      </w:r>
      <w:proofErr w:type="spellEnd"/>
      <w:r w:rsidRPr="009217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9217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b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IMDG được chia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="00045DE6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proofErr w:type="gram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thể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tai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tràn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2175C" w:rsidRPr="0092175C" w:rsidRDefault="0092175C" w:rsidP="00045DE6">
      <w:pPr>
        <w:shd w:val="clear" w:color="auto" w:fill="FFFFFF"/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1: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nguy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</w:p>
    <w:p w:rsidR="0092175C" w:rsidRPr="0092175C" w:rsidRDefault="0092175C" w:rsidP="00045DE6">
      <w:pPr>
        <w:shd w:val="clear" w:color="auto" w:fill="FFFFFF"/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2: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nguy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</w:p>
    <w:p w:rsidR="0092175C" w:rsidRPr="0092175C" w:rsidRDefault="0092175C" w:rsidP="00045DE6">
      <w:pPr>
        <w:shd w:val="clear" w:color="auto" w:fill="FFFFFF"/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3: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nguy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</w:p>
    <w:p w:rsidR="0092175C" w:rsidRPr="0092175C" w:rsidRDefault="0092175C" w:rsidP="0092175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Kiểm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tra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nhãn</w:t>
      </w:r>
      <w:proofErr w:type="spellEnd"/>
      <w:r w:rsidR="00045DE6"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45DE6" w:rsidRPr="00045DE6">
        <w:rPr>
          <w:rFonts w:ascii="Times New Roman" w:eastAsia="Times New Roman" w:hAnsi="Times New Roman" w:cs="Times New Roman"/>
          <w:b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nhãn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bì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5DE6">
        <w:rPr>
          <w:rFonts w:ascii="Times New Roman" w:eastAsia="Times New Roman" w:hAnsi="Times New Roman" w:cs="Times New Roman"/>
          <w:sz w:val="26"/>
          <w:szCs w:val="26"/>
        </w:rPr>
        <w:t>được</w:t>
      </w:r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nhãn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hiển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nguy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Dễ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cháy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hại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mòn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, v.v.)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dán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bì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Nhãn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chống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ngay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ngâm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045DE6"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 w:rsidRPr="0092175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045DE6"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 w:rsidRPr="0092175C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="00045DE6"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 w:rsidRPr="0092175C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="00045DE6" w:rsidRPr="0092175C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="00045DE6" w:rsidRPr="0092175C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thể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được.</w:t>
      </w:r>
    </w:p>
    <w:p w:rsidR="0092175C" w:rsidRPr="0092175C" w:rsidRDefault="0092175C" w:rsidP="0092175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Kiểm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tra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b/>
          <w:sz w:val="26"/>
          <w:szCs w:val="26"/>
        </w:rPr>
        <w:t>hồ</w:t>
      </w:r>
      <w:proofErr w:type="spellEnd"/>
      <w:r w:rsid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b/>
          <w:sz w:val="26"/>
          <w:szCs w:val="26"/>
        </w:rPr>
        <w:t>sơ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hóa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IMDG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>:</w:t>
      </w:r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2175C" w:rsidRPr="0092175C" w:rsidRDefault="0092175C" w:rsidP="00045DE6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•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được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chở</w:t>
      </w:r>
      <w:proofErr w:type="spellEnd"/>
    </w:p>
    <w:p w:rsidR="0092175C" w:rsidRDefault="0092175C" w:rsidP="00045DE6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•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gói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175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5DE6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92175C">
        <w:rPr>
          <w:rFonts w:ascii="Times New Roman" w:eastAsia="Times New Roman" w:hAnsi="Times New Roman" w:cs="Times New Roman"/>
          <w:sz w:val="26"/>
          <w:szCs w:val="26"/>
        </w:rPr>
        <w:t xml:space="preserve"> IMDG</w:t>
      </w:r>
    </w:p>
    <w:p w:rsidR="00045DE6" w:rsidRPr="00045DE6" w:rsidRDefault="00045DE6" w:rsidP="00045DE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6.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Kiểm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tra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khi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xếp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IMDG,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dừng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hang.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DE6">
        <w:rPr>
          <w:rFonts w:ascii="Times New Roman" w:eastAsia="Times New Roman" w:hAnsi="Times New Roman" w:cs="Times New Roman"/>
          <w:sz w:val="26"/>
          <w:szCs w:val="26"/>
        </w:rPr>
        <w:t>Radar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bì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hư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hỏng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rò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rỉ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cảng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IMDG</w:t>
      </w:r>
    </w:p>
    <w:p w:rsidR="00045DE6" w:rsidRPr="00045DE6" w:rsidRDefault="00045DE6" w:rsidP="00045DE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7.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Kiểm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tra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việc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xếp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dễ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nổ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IMDG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nhãn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dễ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nổ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6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được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pallet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gỗ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6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ngắt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khỏi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6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dây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bọc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6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xa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buồng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ở</w:t>
      </w:r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vách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ngăn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nóng</w:t>
      </w:r>
      <w:proofErr w:type="spellEnd"/>
    </w:p>
    <w:p w:rsidR="00045DE6" w:rsidRPr="00045DE6" w:rsidRDefault="00045DE6" w:rsidP="00045DE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8.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Biết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Quy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trình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Khẩn</w:t>
      </w:r>
      <w:proofErr w:type="spellEnd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b/>
          <w:sz w:val="26"/>
          <w:szCs w:val="26"/>
        </w:rPr>
        <w:t>cấp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OOW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sẵn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sàng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tai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bốc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nguy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boong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17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khẩn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chở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IMDG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1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DE6">
        <w:rPr>
          <w:rFonts w:ascii="Times New Roman" w:eastAsia="Times New Roman" w:hAnsi="Times New Roman" w:cs="Times New Roman"/>
          <w:sz w:val="26"/>
          <w:szCs w:val="26"/>
        </w:rPr>
        <w:t>MFAG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DE6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tai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IMDG</w:t>
      </w:r>
    </w:p>
    <w:p w:rsidR="00045DE6" w:rsidRPr="00045DE6" w:rsidRDefault="00045DE6" w:rsidP="00045DE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ind w:left="117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Rủi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ro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kèm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được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nhãn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mác</w:t>
      </w:r>
      <w:proofErr w:type="spellEnd"/>
    </w:p>
    <w:p w:rsidR="00045DE6" w:rsidRDefault="00045DE6" w:rsidP="00045DE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chở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nguy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Tuy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chú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xuất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5DE6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045DE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45DE6" w:rsidRPr="003572FD" w:rsidRDefault="00045DE6" w:rsidP="00045DE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------------------------------------</w:t>
      </w:r>
    </w:p>
    <w:p w:rsidR="00EB1372" w:rsidRDefault="00EB1372"/>
    <w:sectPr w:rsidR="00EB1372" w:rsidSect="003572F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FE9"/>
    <w:multiLevelType w:val="multilevel"/>
    <w:tmpl w:val="E0747B36"/>
    <w:lvl w:ilvl="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E96"/>
    <w:multiLevelType w:val="multilevel"/>
    <w:tmpl w:val="E0747B36"/>
    <w:lvl w:ilvl="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BD5"/>
    <w:multiLevelType w:val="multilevel"/>
    <w:tmpl w:val="E0747B36"/>
    <w:lvl w:ilvl="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2B25"/>
    <w:multiLevelType w:val="multilevel"/>
    <w:tmpl w:val="EAC4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D641C3"/>
    <w:multiLevelType w:val="hybridMultilevel"/>
    <w:tmpl w:val="E0747B36"/>
    <w:lvl w:ilvl="0" w:tplc="08A4E34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10022"/>
    <w:multiLevelType w:val="multilevel"/>
    <w:tmpl w:val="ABFE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696CF2"/>
    <w:multiLevelType w:val="multilevel"/>
    <w:tmpl w:val="C24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7C6508"/>
    <w:multiLevelType w:val="multilevel"/>
    <w:tmpl w:val="5824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DB5E6D"/>
    <w:multiLevelType w:val="multilevel"/>
    <w:tmpl w:val="7A20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7A5036"/>
    <w:multiLevelType w:val="hybridMultilevel"/>
    <w:tmpl w:val="E330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E640F"/>
    <w:multiLevelType w:val="multilevel"/>
    <w:tmpl w:val="C24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287290"/>
    <w:multiLevelType w:val="multilevel"/>
    <w:tmpl w:val="B5CA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D33E66"/>
    <w:multiLevelType w:val="multilevel"/>
    <w:tmpl w:val="FA94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11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FD"/>
    <w:rsid w:val="00045DE6"/>
    <w:rsid w:val="003572FD"/>
    <w:rsid w:val="0092175C"/>
    <w:rsid w:val="00EB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A996"/>
  <w15:chartTrackingRefBased/>
  <w15:docId w15:val="{6B591ACC-2768-42D8-AD06-1B2F3087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7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3572FD"/>
  </w:style>
  <w:style w:type="character" w:customStyle="1" w:styleId="author">
    <w:name w:val="author"/>
    <w:basedOn w:val="DefaultParagraphFont"/>
    <w:rsid w:val="003572FD"/>
  </w:style>
  <w:style w:type="character" w:styleId="Hyperlink">
    <w:name w:val="Hyperlink"/>
    <w:basedOn w:val="DefaultParagraphFont"/>
    <w:uiPriority w:val="99"/>
    <w:semiHidden/>
    <w:unhideWhenUsed/>
    <w:rsid w:val="003572FD"/>
    <w:rPr>
      <w:color w:val="0000FF"/>
      <w:u w:val="single"/>
    </w:rPr>
  </w:style>
  <w:style w:type="character" w:customStyle="1" w:styleId="posted-on">
    <w:name w:val="posted-on"/>
    <w:basedOn w:val="DefaultParagraphFont"/>
    <w:rsid w:val="003572FD"/>
  </w:style>
  <w:style w:type="character" w:customStyle="1" w:styleId="category-link-items">
    <w:name w:val="category-link-items"/>
    <w:basedOn w:val="DefaultParagraphFont"/>
    <w:rsid w:val="003572FD"/>
  </w:style>
  <w:style w:type="paragraph" w:styleId="NormalWeb">
    <w:name w:val="Normal (Web)"/>
    <w:basedOn w:val="Normal"/>
    <w:uiPriority w:val="99"/>
    <w:semiHidden/>
    <w:unhideWhenUsed/>
    <w:rsid w:val="0035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72FD"/>
    <w:rPr>
      <w:b/>
      <w:bCs/>
    </w:rPr>
  </w:style>
  <w:style w:type="paragraph" w:styleId="ListParagraph">
    <w:name w:val="List Paragraph"/>
    <w:basedOn w:val="Normal"/>
    <w:uiPriority w:val="34"/>
    <w:qFormat/>
    <w:rsid w:val="0092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3776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673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rineinsight.com/wp-content/uploads/2013/11/fire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ineinsight.com/maritime-law/what-is-international-maritime-dangerous-goods-code-imdg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marineinsight.com/author/karanc/" TargetMode="External"/><Relationship Id="rId10" Type="http://schemas.openxmlformats.org/officeDocument/2006/relationships/hyperlink" Target="https://www.marineinsight.com/wp-content/uploads/2013/11/ship-fire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ineinsight.com/maritime-law/a-classification-of-dangerous-goo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2024-07-05T03:07:00Z</dcterms:created>
  <dcterms:modified xsi:type="dcterms:W3CDTF">2024-07-05T03:46:00Z</dcterms:modified>
</cp:coreProperties>
</file>