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18" w:rsidRPr="005D1818" w:rsidRDefault="005D1818" w:rsidP="005D181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ISWAN: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Số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trường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hợp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hồi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hương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và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bỏ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rơi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thuyền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viên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gia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tăng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trong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bookmarkStart w:id="0" w:name="_GoBack"/>
      <w:bookmarkEnd w:id="0"/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Quý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1 </w:t>
      </w:r>
      <w:proofErr w:type="spellStart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năm</w:t>
      </w:r>
      <w:proofErr w:type="spellEnd"/>
      <w:r w:rsidRPr="005D1818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2024</w:t>
      </w:r>
    </w:p>
    <w:p w:rsidR="005D1818" w:rsidRPr="005D1818" w:rsidRDefault="005D1818" w:rsidP="005D181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5D1818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5D1818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"https://safety4sea.com/wp-content/uploads/2022/04/shutterstock_1523263859-scaled-e1649320178972.jpg" </w:instrText>
      </w:r>
      <w:r w:rsidRPr="005D1818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5D1818" w:rsidRPr="005D1818" w:rsidRDefault="005D1818" w:rsidP="005D18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1818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951220" cy="2978786"/>
            <wp:effectExtent l="0" t="0" r="0" b="0"/>
            <wp:docPr id="2" name="Picture 2" descr="Indian seafarers kept the global supply chain operational during the pandemic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seafarers kept the global supply chain operational during the pandemic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735" cy="298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18" w:rsidRPr="005D1818" w:rsidRDefault="005D1818" w:rsidP="005D1818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D1818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Dữ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quý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2024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đường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dây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giúp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SeafarerHelp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lưới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Hỗ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Phúc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lợi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(ISWAN)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điều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kiện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làm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phức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tạp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mà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nhiều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phải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đối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mặt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D1818" w:rsidRPr="005D1818" w:rsidRDefault="005D1818" w:rsidP="005D181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Quý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2024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chứng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kiến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​​​​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mối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nguy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hiểm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càng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nổi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bật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tiêu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đề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thống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3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2024,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Diễn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đàn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Thỏa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(IBF)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định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vực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Biển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Đỏ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Vịnh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Aden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vùng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tranh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'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chết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cuộc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tấn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bằng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lửa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lượng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Houthi.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Ngoài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cuộc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tấn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tổ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chức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nhằm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buôn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ở Biển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Đỏ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hoạt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động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vận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tải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còn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phải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đối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mặt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sự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tăng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trở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lại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cướp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Somali,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buộc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ngành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phải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nhanh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chóng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thay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đổi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tuyến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đường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thương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mại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giao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thức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ninh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D1818" w:rsidRPr="005D1818" w:rsidRDefault="005D1818" w:rsidP="005D181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bối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cảnh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địa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chính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trị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nguy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SeafarerHelp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</w:t>
      </w:r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đường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dây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giúp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bí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mật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miễn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phí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ISWAN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dành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đình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họ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thấy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nhiều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phải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đối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mặt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những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tình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huống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làm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việc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phức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tạp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thẳng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3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2024, ISWAN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chứng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kiến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​​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số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lượng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hệ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SeafarerHelp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tăng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mạnh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loạt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vấn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đề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hợp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đồng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bao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gồm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khó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khăn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hồi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hương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lương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thải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bỏ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rơi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bằng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5D1818" w:rsidRPr="005D1818" w:rsidRDefault="005D1818" w:rsidP="005D181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2024,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SeafarerHelp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được 63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nhắn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hương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57,5% so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2023 –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ISWAN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18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29%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hương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sớm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, 71%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trễ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hương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ty,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khỏe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trễ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818" w:rsidRPr="005D1818" w:rsidRDefault="005D1818" w:rsidP="005D181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3,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SeafarerHelp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được 69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261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lương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19,0% so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58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, ISWAN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112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rơi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bởi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18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D1818">
        <w:rPr>
          <w:rFonts w:ascii="Times New Roman" w:eastAsia="Times New Roman" w:hAnsi="Times New Roman" w:cs="Times New Roman"/>
          <w:sz w:val="24"/>
          <w:szCs w:val="24"/>
        </w:rPr>
        <w:t>rong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2024, ISWAN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rơi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618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181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D1818">
        <w:rPr>
          <w:rFonts w:ascii="Times New Roman" w:eastAsia="Times New Roman" w:hAnsi="Times New Roman" w:cs="Times New Roman"/>
          <w:sz w:val="24"/>
          <w:szCs w:val="24"/>
        </w:rPr>
        <w:t xml:space="preserve"> 2023.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818" w:rsidRPr="005D1818" w:rsidRDefault="005D1818" w:rsidP="005D1818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5D1818">
        <w:rPr>
          <w:rFonts w:ascii="inherit" w:eastAsia="Times New Roman" w:hAnsi="inherit" w:cs="Helvetica"/>
          <w:noProof/>
          <w:color w:val="0087CD"/>
          <w:sz w:val="24"/>
          <w:szCs w:val="24"/>
          <w:bdr w:val="none" w:sz="0" w:space="0" w:color="auto" w:frame="1"/>
        </w:rPr>
        <w:drawing>
          <wp:inline distT="0" distB="0" distL="0" distR="0">
            <wp:extent cx="5913120" cy="4178605"/>
            <wp:effectExtent l="0" t="0" r="0" b="0"/>
            <wp:docPr id="1" name="Picture 1" descr="ISWAN: Increase in repatriation and crew abandonment cases during Q1 202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WAN: Increase in repatriation and crew abandonment cases during Q1 202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256" cy="418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81" w:rsidRPr="00B86181" w:rsidRDefault="00B86181" w:rsidP="00B86181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​​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ngại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kiếm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SeafarerHelp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phó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lạm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nạt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quấy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rối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bạo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(ABHDV)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6181" w:rsidRPr="00B86181" w:rsidRDefault="00B86181" w:rsidP="00B86181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SeafarerHelp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được 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ABHDV,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63,6% so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2019.</w:t>
      </w:r>
    </w:p>
    <w:p w:rsidR="00B86181" w:rsidRPr="00B86181" w:rsidRDefault="00B86181" w:rsidP="00B86181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lastRenderedPageBreak/>
        <w:t>Trong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bởi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ngược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lương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ngơi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kiếm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SeafarerHelp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. Anh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dây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đe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dọa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Mặc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dù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khỏe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ấy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sợ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. ISWAN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6181" w:rsidRPr="00B86181" w:rsidRDefault="00B86181" w:rsidP="00B86181">
      <w:pPr>
        <w:shd w:val="clear" w:color="auto" w:fill="FFFFFF"/>
        <w:spacing w:before="120" w:after="120" w:line="390" w:lineRule="atLeast"/>
        <w:ind w:left="360" w:right="450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B86181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tang </w:t>
      </w:r>
      <w:proofErr w:type="spellStart"/>
      <w:r>
        <w:rPr>
          <w:rFonts w:ascii="Arial" w:eastAsia="Times New Roman" w:hAnsi="Arial" w:cs="Arial"/>
          <w:sz w:val="24"/>
          <w:szCs w:val="24"/>
        </w:rPr>
        <w:t>số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cuộc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SeafarerHelp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hồi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hương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lương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chưa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trả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lạm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bắt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nạt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quấy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rối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bạo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biệt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xử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rất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đáng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lo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ngại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kiện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gần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ở Biển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Đỏ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nơi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giới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thấy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nguy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hiểm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nghề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>.</w:t>
      </w:r>
    </w:p>
    <w:p w:rsidR="00B86181" w:rsidRPr="00B86181" w:rsidRDefault="00B86181" w:rsidP="00B86181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6181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Simon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Grainge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ISWAN,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6181" w:rsidRPr="00B86181" w:rsidRDefault="00B86181" w:rsidP="00B86181">
      <w:pPr>
        <w:shd w:val="clear" w:color="auto" w:fill="FFFFFF"/>
        <w:spacing w:before="120" w:after="120" w:line="390" w:lineRule="atLeast"/>
        <w:ind w:left="360" w:right="360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Ở</w:t>
      </w:r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kỳ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mà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thuyền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đang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mục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rõ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ràng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cuộc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xung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đột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trị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ngành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nhanh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chóng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phúc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lợi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họ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đang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mặt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căng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thẳng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đặc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biệt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nhưng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bất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chấp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rằng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phúc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lợi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thuyền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ảnh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86181">
        <w:rPr>
          <w:rFonts w:ascii="Arial" w:eastAsia="Times New Roman" w:hAnsi="Arial" w:cs="Arial"/>
          <w:sz w:val="24"/>
          <w:szCs w:val="24"/>
        </w:rPr>
        <w:t>hưởng</w:t>
      </w:r>
      <w:proofErr w:type="spellEnd"/>
      <w:r w:rsidRPr="00B86181">
        <w:rPr>
          <w:rFonts w:ascii="Arial" w:eastAsia="Times New Roman" w:hAnsi="Arial" w:cs="Arial"/>
          <w:sz w:val="24"/>
          <w:szCs w:val="24"/>
        </w:rPr>
        <w:t>.</w:t>
      </w:r>
    </w:p>
    <w:p w:rsidR="00B86181" w:rsidRPr="005D1818" w:rsidRDefault="00B86181" w:rsidP="00B86181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6181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Simon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6181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B861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818" w:rsidRPr="005D1818" w:rsidRDefault="005D1818" w:rsidP="005D1818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Helvetica"/>
          <w:color w:val="111111"/>
          <w:sz w:val="36"/>
          <w:szCs w:val="36"/>
        </w:rPr>
      </w:pPr>
      <w:r w:rsidRPr="005D1818">
        <w:rPr>
          <w:rFonts w:ascii="inherit" w:eastAsia="Times New Roman" w:hAnsi="inherit" w:cs="Helvetica"/>
          <w:color w:val="111111"/>
          <w:sz w:val="36"/>
          <w:szCs w:val="36"/>
        </w:rPr>
        <w:t> </w:t>
      </w:r>
      <w:r w:rsidR="00B86181">
        <w:rPr>
          <w:rFonts w:ascii="inherit" w:eastAsia="Times New Roman" w:hAnsi="inherit" w:cs="Helvetica"/>
          <w:color w:val="111111"/>
          <w:sz w:val="36"/>
          <w:szCs w:val="36"/>
        </w:rPr>
        <w:t>---------------------------------</w:t>
      </w:r>
    </w:p>
    <w:sectPr w:rsidR="005D1818" w:rsidRPr="005D1818" w:rsidSect="005D181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18"/>
    <w:rsid w:val="005D1818"/>
    <w:rsid w:val="00990656"/>
    <w:rsid w:val="00B8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F83A"/>
  <w15:chartTrackingRefBased/>
  <w15:docId w15:val="{7918E95F-F384-4ABB-A69A-985CDD2C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1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D1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8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D18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5D1818"/>
  </w:style>
  <w:style w:type="character" w:styleId="Hyperlink">
    <w:name w:val="Hyperlink"/>
    <w:basedOn w:val="DefaultParagraphFont"/>
    <w:uiPriority w:val="99"/>
    <w:semiHidden/>
    <w:unhideWhenUsed/>
    <w:rsid w:val="005D1818"/>
    <w:rPr>
      <w:color w:val="0000FF"/>
      <w:u w:val="single"/>
    </w:rPr>
  </w:style>
  <w:style w:type="paragraph" w:customStyle="1" w:styleId="wp-caption-text">
    <w:name w:val="wp-caption-text"/>
    <w:basedOn w:val="Normal"/>
    <w:rsid w:val="005D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5D1818"/>
  </w:style>
  <w:style w:type="character" w:styleId="Strong">
    <w:name w:val="Strong"/>
    <w:basedOn w:val="DefaultParagraphFont"/>
    <w:uiPriority w:val="22"/>
    <w:qFormat/>
    <w:rsid w:val="005D1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6788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65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24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54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120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63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57090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24594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8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1287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1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13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42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63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659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526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78104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5516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ty4sea.com/wp-content/uploads/2024/06/ISWAN-Insights-Spotlight-on-SeafarerHelp-Q1-2024.pn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afety4sea.com/wp-content/uploads/2022/04/shutterstock_1523263859-scaled-e164932017897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2024-06-05T00:49:00Z</dcterms:created>
  <dcterms:modified xsi:type="dcterms:W3CDTF">2024-06-05T01:07:00Z</dcterms:modified>
</cp:coreProperties>
</file>