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792" w:rsidRDefault="00D20792" w:rsidP="00D207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Các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công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đoàn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ngành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Vận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tải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kêu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gọi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bookmarkStart w:id="0" w:name="_GoBack"/>
      <w:bookmarkEnd w:id="0"/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các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nước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EU </w:t>
      </w:r>
    </w:p>
    <w:p w:rsidR="00D20792" w:rsidRPr="00D20792" w:rsidRDefault="00D20792" w:rsidP="00D207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tăng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cường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luật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về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chuỗi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cung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ứng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để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bảo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vệ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người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lao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động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khỏi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bị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lạm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dụng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trong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doanh</w:t>
      </w:r>
      <w:proofErr w:type="spellEnd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D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nghiệp</w:t>
      </w:r>
      <w:proofErr w:type="spellEnd"/>
    </w:p>
    <w:p w:rsidR="00D20792" w:rsidRPr="00D20792" w:rsidRDefault="00D20792" w:rsidP="00D20792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0792">
        <w:rPr>
          <w:rFonts w:ascii="Times New Roman" w:eastAsia="Times New Roman" w:hAnsi="Times New Roman" w:cs="Times New Roman"/>
          <w:sz w:val="24"/>
          <w:szCs w:val="24"/>
        </w:rPr>
        <w:t xml:space="preserve">Theo </w:t>
      </w:r>
      <w:hyperlink r:id="rId4" w:history="1">
        <w:r w:rsidRPr="00D207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 News Network</w:t>
        </w:r>
      </w:hyperlink>
    </w:p>
    <w:p w:rsidR="00D20792" w:rsidRPr="00D20792" w:rsidRDefault="00D20792" w:rsidP="00D2079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3748"/>
          <w:sz w:val="27"/>
          <w:szCs w:val="27"/>
        </w:rPr>
      </w:pPr>
      <w:r w:rsidRPr="00D20792">
        <w:rPr>
          <w:rFonts w:ascii="Segoe UI" w:eastAsia="Times New Roman" w:hAnsi="Segoe UI" w:cs="Segoe UI"/>
          <w:noProof/>
          <w:color w:val="2D3748"/>
          <w:sz w:val="27"/>
          <w:szCs w:val="27"/>
        </w:rPr>
        <w:drawing>
          <wp:inline distT="0" distB="0" distL="0" distR="0">
            <wp:extent cx="5989320" cy="3134411"/>
            <wp:effectExtent l="0" t="0" r="0" b="8890"/>
            <wp:docPr id="1" name="Picture 1" descr="Cargo 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go Sh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61" cy="314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92" w:rsidRPr="00D20792" w:rsidRDefault="00D20792" w:rsidP="00D2079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D20792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bật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đèn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xanh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thị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của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EU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chuỗi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cung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ứng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thì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ETF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ITF </w:t>
      </w:r>
      <w:proofErr w:type="spellStart"/>
      <w:r>
        <w:rPr>
          <w:rFonts w:ascii="Arial" w:eastAsia="Times New Roman" w:hAnsi="Arial" w:cs="Arial"/>
          <w:sz w:val="24"/>
          <w:szCs w:val="24"/>
        </w:rPr>
        <w:t>lại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đòi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hỏi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nhiều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hơn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luật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mang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tính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bước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ngoặt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này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D20792" w:rsidRPr="00D20792" w:rsidRDefault="00D20792" w:rsidP="00D2079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D20792">
        <w:rPr>
          <w:rFonts w:ascii="Arial" w:eastAsia="Times New Roman" w:hAnsi="Arial" w:cs="Arial"/>
          <w:sz w:val="24"/>
          <w:szCs w:val="24"/>
        </w:rPr>
        <w:t>Liên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nhân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tải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Châu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Âu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(ETF)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Liên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nhân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tải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tế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(ITF)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đang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kêu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gọi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viên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Liên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minh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Châu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Âu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(EU)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nhanh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chóng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đưa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luật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thẩm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chuỗi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cung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ứng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nội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địa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mạnh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mẽ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bảo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vệ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nhân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tải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khỏi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bị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lạm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dụng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doanh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nghiệp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>.</w:t>
      </w:r>
    </w:p>
    <w:p w:rsidR="00D20792" w:rsidRPr="00D20792" w:rsidRDefault="00D20792" w:rsidP="00D2079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D20792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thị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trên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toàn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EU </w:t>
      </w:r>
      <w:proofErr w:type="spellStart"/>
      <w:r>
        <w:rPr>
          <w:rFonts w:ascii="Arial" w:eastAsia="Times New Roman" w:hAnsi="Arial" w:cs="Arial"/>
          <w:sz w:val="24"/>
          <w:szCs w:val="24"/>
        </w:rPr>
        <w:t>này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yêu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cầu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ty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ít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nhất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1.000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nhân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viên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doanh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thu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hàng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450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triệu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euro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phải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tiến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‘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thẩm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nhân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quyền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’ (HRDD).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Điều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nghĩa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khoảng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5.500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ty </w:t>
      </w:r>
      <w:proofErr w:type="spellStart"/>
      <w:r>
        <w:rPr>
          <w:rFonts w:ascii="Arial" w:eastAsia="Times New Roman" w:hAnsi="Arial" w:cs="Arial"/>
          <w:sz w:val="24"/>
          <w:szCs w:val="24"/>
        </w:rPr>
        <w:t>của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20792">
        <w:rPr>
          <w:rFonts w:ascii="Arial" w:eastAsia="Times New Roman" w:hAnsi="Arial" w:cs="Arial"/>
          <w:sz w:val="24"/>
          <w:szCs w:val="24"/>
        </w:rPr>
        <w:t xml:space="preserve">EU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ngoài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EU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sẽ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phải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xác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đánh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giá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ngăn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chặn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giảm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thiểu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khắc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phục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bất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lợi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chuỗi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giá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trị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họ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>.</w:t>
      </w:r>
    </w:p>
    <w:p w:rsidR="00D20792" w:rsidRPr="00D20792" w:rsidRDefault="00D20792" w:rsidP="00D2079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D20792">
        <w:rPr>
          <w:rFonts w:ascii="Arial" w:eastAsia="Times New Roman" w:hAnsi="Arial" w:cs="Arial"/>
          <w:sz w:val="24"/>
          <w:szCs w:val="24"/>
        </w:rPr>
        <w:t>Giờ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luật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của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Châu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Âu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qua,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viên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hạn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hai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năm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để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triển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khai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theo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đó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họ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phải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đưa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chúng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vào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luật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mình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–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thị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thể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ngưỡng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tối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thiểu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>.</w:t>
      </w:r>
    </w:p>
    <w:p w:rsidR="00D20792" w:rsidRPr="00D20792" w:rsidRDefault="00D20792" w:rsidP="00D2079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D20792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thị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bước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đột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phá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đáng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kể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đạt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trách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giải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trình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doanh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nghiệp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đối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vi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phạm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nhân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quyền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chuỗi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cung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ứng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đó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đóng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vai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trò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quan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trọng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thị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>.</w:t>
      </w:r>
    </w:p>
    <w:p w:rsidR="00D20792" w:rsidRDefault="00D20792" w:rsidP="00D2079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Đôi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suốt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quá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trình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kéo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dài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4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bố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phê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duyệt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bế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tắc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trị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đe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dọa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qua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thị</w:t>
      </w:r>
      <w:proofErr w:type="spellEnd"/>
      <w:r w:rsid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36121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Nó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bị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suy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yếu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đáng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kể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dưới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lang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viên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EU,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dẫn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thị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36121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="00C36121">
        <w:rPr>
          <w:rFonts w:ascii="Arial" w:eastAsia="Times New Roman" w:hAnsi="Arial" w:cs="Arial"/>
          <w:sz w:val="24"/>
          <w:szCs w:val="24"/>
        </w:rPr>
        <w:t xml:space="preserve"> chi </w:t>
      </w:r>
      <w:proofErr w:type="spellStart"/>
      <w:r w:rsidR="00C36121">
        <w:rPr>
          <w:rFonts w:ascii="Arial" w:eastAsia="Times New Roman" w:hAnsi="Arial" w:cs="Arial"/>
          <w:sz w:val="24"/>
          <w:szCs w:val="24"/>
        </w:rPr>
        <w:t>phối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ít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hơn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0,05%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ty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trụ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sở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20792">
        <w:rPr>
          <w:rFonts w:ascii="Arial" w:eastAsia="Times New Roman" w:hAnsi="Arial" w:cs="Arial"/>
          <w:sz w:val="24"/>
          <w:szCs w:val="24"/>
        </w:rPr>
        <w:t>tại</w:t>
      </w:r>
      <w:proofErr w:type="spellEnd"/>
      <w:r w:rsidRPr="00D20792">
        <w:rPr>
          <w:rFonts w:ascii="Arial" w:eastAsia="Times New Roman" w:hAnsi="Arial" w:cs="Arial"/>
          <w:sz w:val="24"/>
          <w:szCs w:val="24"/>
        </w:rPr>
        <w:t xml:space="preserve"> EU.</w:t>
      </w:r>
    </w:p>
    <w:p w:rsidR="00C36121" w:rsidRPr="00C36121" w:rsidRDefault="00C36121" w:rsidP="00C3612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lastRenderedPageBreak/>
        <w:t>Ông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36121">
        <w:rPr>
          <w:rFonts w:ascii="Arial" w:eastAsia="Times New Roman" w:hAnsi="Arial" w:cs="Arial"/>
          <w:sz w:val="24"/>
          <w:szCs w:val="24"/>
        </w:rPr>
        <w:t>Stephen Cotton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Tổng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thư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ký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ITF,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biết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>: “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Luật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bước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quan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trọng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cuộc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đấu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tranh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nhằm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ngăn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chặn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đảm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bảo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trách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giải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trình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đối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vi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lạm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dụng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nhân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quyền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quyền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lao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doanh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nghiệp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đồng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đặt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tiêu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chuẩn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mà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phải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vượt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qua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nếu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họ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nghiêm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túc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bảo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vệ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quyền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chung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chúng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ta.</w:t>
      </w:r>
    </w:p>
    <w:p w:rsidR="00C36121" w:rsidRPr="00C36121" w:rsidRDefault="00C36121" w:rsidP="00C3612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6121"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Tuy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nhiên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suy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yếu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thị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so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gì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đưa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ban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nhằm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mục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đích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suy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yếu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bảo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vệ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quyền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con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quyền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lao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chung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chúng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ta -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giờ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EU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phải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đẩy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mạnh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đảm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bảo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họ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tiến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xa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hơn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luật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riêng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mình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>.</w:t>
      </w:r>
    </w:p>
    <w:p w:rsidR="00C36121" w:rsidRPr="00C36121" w:rsidRDefault="00C36121" w:rsidP="00C3612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6121"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nắm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bắt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cơ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hội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to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lớn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chấm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dứt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quyền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miễn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trừ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doanh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nghiệp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lần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mãi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mãi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>.”</w:t>
      </w:r>
    </w:p>
    <w:p w:rsidR="00C36121" w:rsidRPr="00C36121" w:rsidRDefault="00C36121" w:rsidP="00C3612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36121">
        <w:rPr>
          <w:rFonts w:ascii="Arial" w:eastAsia="Times New Roman" w:hAnsi="Arial" w:cs="Arial"/>
          <w:sz w:val="24"/>
          <w:szCs w:val="24"/>
        </w:rPr>
        <w:t>Tổng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thư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ký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ETF, Livia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Spera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biết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>: “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thị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Thẩm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bước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tiên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rất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hoan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nghênh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chờ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đợi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lâu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cụ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ràng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buộc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pháp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lý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tế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tiên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buộc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ty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phải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chịu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trách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vi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phạm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nhân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quyền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toàn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cầu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họ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>.</w:t>
      </w:r>
    </w:p>
    <w:p w:rsidR="00C36121" w:rsidRPr="00C36121" w:rsidRDefault="00C36121" w:rsidP="00C3612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6121">
        <w:rPr>
          <w:rFonts w:ascii="Arial" w:eastAsia="Times New Roman" w:hAnsi="Arial" w:cs="Arial"/>
          <w:sz w:val="24"/>
          <w:szCs w:val="24"/>
        </w:rPr>
        <w:t>“</w:t>
      </w:r>
      <w:proofErr w:type="spellStart"/>
      <w:r>
        <w:rPr>
          <w:rFonts w:ascii="Arial" w:eastAsia="Times New Roman" w:hAnsi="Arial" w:cs="Arial"/>
          <w:sz w:val="24"/>
          <w:szCs w:val="24"/>
        </w:rPr>
        <w:t>Công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nhân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trong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ngành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tải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logistic</w:t>
      </w:r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nhân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tố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chuỗi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cung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ứng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toàn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cầu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giúp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chúng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trên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khắp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thế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giới</w:t>
      </w:r>
      <w:proofErr w:type="spellEnd"/>
      <w:r>
        <w:rPr>
          <w:rFonts w:ascii="Arial" w:eastAsia="Times New Roman" w:hAnsi="Arial" w:cs="Arial"/>
          <w:sz w:val="24"/>
          <w:szCs w:val="24"/>
        </w:rPr>
        <w:t>”</w:t>
      </w:r>
      <w:r w:rsidRPr="00C36121">
        <w:rPr>
          <w:rFonts w:ascii="Arial" w:eastAsia="Times New Roman" w:hAnsi="Arial" w:cs="Arial"/>
          <w:sz w:val="24"/>
          <w:szCs w:val="24"/>
        </w:rPr>
        <w:t>.</w:t>
      </w:r>
    </w:p>
    <w:p w:rsidR="00C36121" w:rsidRPr="00C36121" w:rsidRDefault="00C36121" w:rsidP="00C3612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6121"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thị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thể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giúp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ngăn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chặn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ty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đa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lạm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dụng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cấu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trúc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phức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tạp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chuỗi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đồng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phụ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lách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luật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nhân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quyền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xã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hội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môi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Đồng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thể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hữu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ích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nếu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ty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sử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dụng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dịch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tải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chỉ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ty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tôn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trọng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lao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>.</w:t>
      </w:r>
    </w:p>
    <w:p w:rsidR="00C36121" w:rsidRDefault="00C36121" w:rsidP="00C3612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6121">
        <w:rPr>
          <w:rFonts w:ascii="Arial" w:eastAsia="Times New Roman" w:hAnsi="Arial" w:cs="Arial"/>
          <w:sz w:val="24"/>
          <w:szCs w:val="24"/>
        </w:rPr>
        <w:t>"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Nhưng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phải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cuối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cùng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Bước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tiếp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theo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chúng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tôi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muốn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thấy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các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luật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nội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địa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mạnh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mẽ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hơn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hiệu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lực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càng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sớm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càng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tốt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Chúng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tôi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đặc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biệt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muốn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thấy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nhiều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ty được bảo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vệ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bởi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quy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thậm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chí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còn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mạnh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mẽ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hơn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bên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cạnh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vai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trò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xác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rõ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ràng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hơn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giám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sát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thi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thẩm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bảo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vệ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lao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trong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ngành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36121">
        <w:rPr>
          <w:rFonts w:ascii="Arial" w:eastAsia="Times New Roman" w:hAnsi="Arial" w:cs="Arial"/>
          <w:sz w:val="24"/>
          <w:szCs w:val="24"/>
        </w:rPr>
        <w:t>tải</w:t>
      </w:r>
      <w:proofErr w:type="spellEnd"/>
      <w:r w:rsidRPr="00C36121">
        <w:rPr>
          <w:rFonts w:ascii="Arial" w:eastAsia="Times New Roman" w:hAnsi="Arial" w:cs="Arial"/>
          <w:sz w:val="24"/>
          <w:szCs w:val="24"/>
        </w:rPr>
        <w:t>.”</w:t>
      </w:r>
    </w:p>
    <w:p w:rsidR="00C36121" w:rsidRPr="00D20792" w:rsidRDefault="00C36121" w:rsidP="00C36121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------------------------------------------------</w:t>
      </w:r>
    </w:p>
    <w:sectPr w:rsidR="00C36121" w:rsidRPr="00D20792" w:rsidSect="00D2079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92"/>
    <w:rsid w:val="007648C8"/>
    <w:rsid w:val="00C36121"/>
    <w:rsid w:val="00D2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1357D"/>
  <w15:chartTrackingRefBased/>
  <w15:docId w15:val="{ED0F207F-B43C-48A4-B88E-DFA22D8F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0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7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label">
    <w:name w:val="meta-label"/>
    <w:basedOn w:val="DefaultParagraphFont"/>
    <w:rsid w:val="00D20792"/>
  </w:style>
  <w:style w:type="character" w:customStyle="1" w:styleId="author">
    <w:name w:val="author"/>
    <w:basedOn w:val="DefaultParagraphFont"/>
    <w:rsid w:val="00D20792"/>
  </w:style>
  <w:style w:type="character" w:styleId="Hyperlink">
    <w:name w:val="Hyperlink"/>
    <w:basedOn w:val="DefaultParagraphFont"/>
    <w:uiPriority w:val="99"/>
    <w:semiHidden/>
    <w:unhideWhenUsed/>
    <w:rsid w:val="00D20792"/>
    <w:rPr>
      <w:color w:val="0000FF"/>
      <w:u w:val="single"/>
    </w:rPr>
  </w:style>
  <w:style w:type="character" w:customStyle="1" w:styleId="posted-on">
    <w:name w:val="posted-on"/>
    <w:basedOn w:val="DefaultParagraphFont"/>
    <w:rsid w:val="00D20792"/>
  </w:style>
  <w:style w:type="character" w:customStyle="1" w:styleId="category-link-items">
    <w:name w:val="category-link-items"/>
    <w:basedOn w:val="DefaultParagraphFont"/>
    <w:rsid w:val="00D20792"/>
  </w:style>
  <w:style w:type="paragraph" w:styleId="NormalWeb">
    <w:name w:val="Normal (Web)"/>
    <w:basedOn w:val="Normal"/>
    <w:uiPriority w:val="99"/>
    <w:semiHidden/>
    <w:unhideWhenUsed/>
    <w:rsid w:val="00D2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6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6922">
          <w:marLeft w:val="0"/>
          <w:marRight w:val="0"/>
          <w:marTop w:val="240"/>
          <w:marBottom w:val="240"/>
          <w:divBdr>
            <w:top w:val="dotted" w:sz="6" w:space="4" w:color="EBEBEB"/>
            <w:left w:val="none" w:sz="0" w:space="0" w:color="auto"/>
            <w:bottom w:val="dotted" w:sz="6" w:space="4" w:color="EBEBEB"/>
            <w:right w:val="none" w:sz="0" w:space="0" w:color="auto"/>
          </w:divBdr>
        </w:div>
        <w:div w:id="742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marineinsight.com/author/marine-insight-news-net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2024-06-30T03:41:00Z</dcterms:created>
  <dcterms:modified xsi:type="dcterms:W3CDTF">2024-06-30T03:59:00Z</dcterms:modified>
</cp:coreProperties>
</file>